
<file path=[Content_Types].xml><?xml version="1.0" encoding="utf-8"?>
<Types xmlns="http://schemas.openxmlformats.org/package/2006/content-types">
  <Default Extension="xlsx" ContentType="application/vnd.openxmlformats-officedocument.spreadsheetml.sheet"/>
  <Default Extension="wmf" ContentType="image/x-wmf"/>
  <Default Extension="png" ContentType="image/png"/>
  <Default Extension="jpg" ContentType="image/jpeg"/>
  <Default Extension="jpeg" ContentType="image/jpeg"/>
  <Default Extension="xml" ContentType="application/xml"/>
  <Default Extension="rels" ContentType="application/vnd.openxmlformats-package.relationships+xml"/>
  <Default Extension="bin" ContentType="application/vnd.openxmlformats-officedocument.oleObject"/>
  <Override PartName="/docProps/app.xml" ContentType="application/vnd.openxmlformats-officedocument.extended-properties+xml"/>
  <Override PartName="/word/charts/chart14.xml" ContentType="application/vnd.openxmlformats-officedocument.drawingml.chart+xml"/>
  <Override PartName="/word/charts/chart12.xml" ContentType="application/vnd.openxmlformats-officedocument.drawingml.chart+xml"/>
  <Override PartName="/word/charts/chart11.xml" ContentType="application/vnd.openxmlformats-officedocument.drawingml.chart+xml"/>
  <Override PartName="/word/charts/chart9.xml" ContentType="application/vnd.openxmlformats-officedocument.drawingml.chart+xml"/>
  <Override PartName="/word/charts/chart7.xml" ContentType="application/vnd.openxmlformats-officedocument.drawingml.chart+xml"/>
  <Override PartName="/word/charts/chart5.xml" ContentType="application/vnd.openxmlformats-officedocument.drawingml.chart+xml"/>
  <Override PartName="/docProps/core.xml" ContentType="application/vnd.openxmlformats-package.core-properties+xml"/>
  <Override PartName="/word/charts/chart4.xml" ContentType="application/vnd.openxmlformats-officedocument.drawingml.chart+xml"/>
  <Override PartName="/word/charts/chart13.xml" ContentType="application/vnd.openxmlformats-officedocument.drawingml.chart+xml"/>
  <Override PartName="/word/charts/chart3.xml" ContentType="application/vnd.openxmlformats-officedocument.drawingml.chart+xml"/>
  <Override PartName="/word/charts/chart2.xml" ContentType="application/vnd.openxmlformats-officedocument.drawingml.chart+xml"/>
  <Override PartName="/word/diagrams/quickStyle1.xml" ContentType="application/vnd.openxmlformats-officedocument.drawingml.diagramQuickStyle+xml"/>
  <Override PartName="/word/diagrams/colors1.xml" ContentType="application/vnd.openxmlformats-officedocument.drawingml.diagramColors+xml"/>
  <Override PartName="/word/diagrams/drawing1.xml" ContentType="application/vnd.openxmlformats-officedocument.drawingml.diagramDrawing+xml"/>
  <Override PartName="/word/diagrams/data1.xml" ContentType="application/vnd.openxmlformats-officedocument.drawingml.diagramData+xml"/>
  <Override PartName="/word/charts/chart1.xml" ContentType="application/vnd.openxmlformats-officedocument.drawingml.chart+xml"/>
  <Override PartName="/word/footer1.xml" ContentType="application/vnd.openxmlformats-officedocument.wordprocessingml.footer+xml"/>
  <Override PartName="/word/theme/theme1.xml" ContentType="application/vnd.openxmlformats-officedocument.theme+xml"/>
  <Override PartName="/word/diagrams/layout1.xml" ContentType="application/vnd.openxmlformats-officedocument.drawingml.diagramLayout+xml"/>
  <Override PartName="/word/fontTable.xml" ContentType="application/vnd.openxmlformats-officedocument.wordprocessingml.fontTable+xml"/>
  <Override PartName="/word/endnotes.xml" ContentType="application/vnd.openxmlformats-officedocument.wordprocessingml.endnotes+xml"/>
  <Override PartName="/word/charts/chart6.xml" ContentType="application/vnd.openxmlformats-officedocument.drawingml.chart+xml"/>
  <Override PartName="/word/webSettings.xml" ContentType="application/vnd.openxmlformats-officedocument.wordprocessingml.webSettings+xml"/>
  <Override PartName="/word/numbering.xml" ContentType="application/vnd.openxmlformats-officedocument.wordprocessingml.numbering+xml"/>
  <Override PartName="/word/footnotes.xml" ContentType="application/vnd.openxmlformats-officedocument.wordprocessingml.footnotes+xml"/>
  <Override PartName="/word/charts/chart10.xml" ContentType="application/vnd.openxmlformats-officedocument.drawingml.chart+xml"/>
  <Override PartName="/word/settings.xml" ContentType="application/vnd.openxmlformats-officedocument.wordprocessingml.settings+xml"/>
  <Override PartName="/word/styles.xml" ContentType="application/vnd.openxmlformats-officedocument.wordprocessingml.styles+xml"/>
  <Override PartName="/word/charts/chart8.xml" ContentType="application/vnd.openxmlformats-officedocument.drawingml.chart+xml"/>
  <Override PartName="/word/charts/chart15.xml" ContentType="application/vnd.openxmlformats-officedocument.drawingml.chart+xml"/>
  <Override PartName="/word/document.xml" ContentType="application/vnd.openxmlformats-officedocument.wordprocessingml.document.main+xml"/>
  <Override PartName="/customXml/itemProps1.xml" ContentType="application/vnd.openxmlformats-officedocument.customXmlProperties+xml"/>
</Types>
</file>

<file path=_rels/.rels><?xml version="1.0" encoding="UTF-8" standalone="yes"?> <Relationships xmlns="http://schemas.openxmlformats.org/package/2006/relationships"> <Relationship Id="rId1" Type="http://schemas.openxmlformats.org/officeDocument/2006/relationships/officeDocument" Target="word/document.xml"/> <Relationship Id="rId2" Type="http://schemas.openxmlformats.org/package/2006/relationships/metadata/core-properties" Target="docProps/core.xml"/> <Relationship Id="rId3"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a="http://schemas.openxmlformats.org/drawingml/2006/main" xmlns:wne="http://schemas.microsoft.com/office/word/2006/wordml" xmlns:wps="http://schemas.microsoft.com/office/word/2010/wordprocessingShape" mc:Ignorable="w14 w15 wp14">
  <w:body>
    <w:p>
      <w:pPr>
        <w:jc w:val="center"/>
        <w:spacing w:after="0" w:line="240" w:lineRule="auto"/>
        <w:rPr>
          <w:rFonts w:ascii="Times New Roman" w:hAnsi="Times New Roman"/>
          <w:sz w:val="28"/>
          <w:szCs w:val="28"/>
        </w:rPr>
      </w:pPr>
      <w:r>
        <w:rPr>
          <w:rFonts w:ascii="Times New Roman" w:hAnsi="Times New Roman"/>
          <w:sz w:val="28"/>
          <w:szCs w:val="28"/>
          <w:lang w:eastAsia="ru-RU"/>
        </w:rPr>
      </w:r>
      <w:r>
        <w:rPr>
          <w:rFonts w:ascii="Times New Roman" w:hAnsi="Times New Roman"/>
          <w:sz w:val="28"/>
          <w:szCs w:val="28"/>
          <w:lang w:eastAsia="ru-RU"/>
        </w:rPr>
        <mc:AlternateContent>
          <mc:Choice Requires="wpg">
            <w:drawing>
              <wp:inline xmlns:wp="http://schemas.openxmlformats.org/drawingml/2006/wordprocessingDrawing" distT="0" distB="0" distL="0" distR="0">
                <wp:extent cx="2686050" cy="2609850"/>
                <wp:effectExtent l="0" t="0" r="0" b="0"/>
                <wp:docPr id="1" name="_x0000_i0"/>
                <wp:cNvGraphicFramePr/>
                <a:graphic xmlns:a="http://schemas.openxmlformats.org/drawingml/2006/main">
                  <a:graphicData uri="http://schemas.openxmlformats.org/drawingml/2006/picture">
                    <pic:pic xmlns:pic="http://schemas.openxmlformats.org/drawingml/2006/picture">
                      <pic:nvPicPr>
                        <pic:cNvPr id="0" name=""/>
                        <pic:cNvPicPr/>
                        <pic:nvPr/>
                      </pic:nvPicPr>
                      <pic:blipFill>
                        <a:blip r:embed="rId11"/>
                        <a:stretch/>
                      </pic:blipFill>
                      <pic:spPr bwMode="auto">
                        <a:xfrm>
                          <a:off x="0" y="0"/>
                          <a:ext cx="2686050" cy="2609850"/>
                        </a:xfrm>
                        <a:prstGeom prst="rect">
                          <a:avLst/>
                        </a:prstGeom>
                        <a:noFill/>
                        <a:ln>
                          <a:no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0" o:spid="_x0000_s0" type="#_x0000_t75" style="width:211.50pt;height:205.50pt;mso-wrap-distance-left:0.00pt;mso-wrap-distance-top:0.00pt;mso-wrap-distance-right:0.00pt;mso-wrap-distance-bottom:0.00pt;" stroked="f">
                <v:path textboxrect="0,0,0,0"/>
                <v:imagedata r:id="rId11" o:title=""/>
              </v:shape>
            </w:pict>
          </mc:Fallback>
        </mc:AlternateContent>
      </w:r>
      <w:r>
        <w:rPr>
          <w:rFonts w:ascii="Times New Roman" w:hAnsi="Times New Roman"/>
          <w:sz w:val="28"/>
          <w:szCs w:val="28"/>
        </w:rPr>
      </w:r>
      <w:r>
        <w:rPr>
          <w:rFonts w:ascii="Times New Roman" w:hAnsi="Times New Roman"/>
          <w:sz w:val="28"/>
          <w:szCs w:val="28"/>
        </w:rPr>
      </w:r>
    </w:p>
    <w:p>
      <w:pPr>
        <w:spacing w:after="0" w:line="240" w:lineRule="auto"/>
        <w:rPr>
          <w:rFonts w:ascii="Times New Roman" w:hAnsi="Times New Roman"/>
          <w:sz w:val="28"/>
          <w:szCs w:val="28"/>
        </w:rPr>
      </w:pPr>
      <w:r>
        <w:rPr>
          <w:rFonts w:ascii="Times New Roman" w:hAnsi="Times New Roman"/>
          <w:sz w:val="28"/>
          <w:szCs w:val="28"/>
        </w:rPr>
      </w:r>
      <w:r>
        <w:rPr>
          <w:rFonts w:ascii="Times New Roman" w:hAnsi="Times New Roman"/>
          <w:sz w:val="28"/>
          <w:szCs w:val="28"/>
        </w:rPr>
      </w:r>
      <w:r>
        <w:rPr>
          <w:rFonts w:ascii="Times New Roman" w:hAnsi="Times New Roman"/>
          <w:sz w:val="28"/>
          <w:szCs w:val="28"/>
        </w:rPr>
      </w:r>
    </w:p>
    <w:p>
      <w:pPr>
        <w:spacing w:after="0" w:line="240" w:lineRule="auto"/>
        <w:rPr>
          <w:rFonts w:ascii="Times New Roman" w:hAnsi="Times New Roman"/>
          <w:sz w:val="28"/>
          <w:szCs w:val="28"/>
        </w:rPr>
      </w:pPr>
      <w:r>
        <w:rPr>
          <w:rFonts w:ascii="Times New Roman" w:hAnsi="Times New Roman"/>
          <w:sz w:val="28"/>
          <w:szCs w:val="28"/>
        </w:rPr>
      </w:r>
      <w:r>
        <w:rPr>
          <w:rFonts w:ascii="Times New Roman" w:hAnsi="Times New Roman"/>
          <w:sz w:val="28"/>
          <w:szCs w:val="28"/>
        </w:rPr>
      </w:r>
      <w:r>
        <w:rPr>
          <w:rFonts w:ascii="Times New Roman" w:hAnsi="Times New Roman"/>
          <w:sz w:val="28"/>
          <w:szCs w:val="28"/>
        </w:rPr>
      </w:r>
    </w:p>
    <w:p>
      <w:pPr>
        <w:spacing w:after="0" w:line="240" w:lineRule="auto"/>
        <w:rPr>
          <w:rFonts w:ascii="Times New Roman" w:hAnsi="Times New Roman"/>
          <w:sz w:val="28"/>
          <w:szCs w:val="28"/>
        </w:rPr>
      </w:pPr>
      <w:r>
        <w:rPr>
          <w:rFonts w:ascii="Times New Roman" w:hAnsi="Times New Roman"/>
          <w:sz w:val="28"/>
          <w:szCs w:val="28"/>
        </w:rPr>
      </w:r>
      <w:r>
        <w:rPr>
          <w:rFonts w:ascii="Times New Roman" w:hAnsi="Times New Roman"/>
          <w:sz w:val="28"/>
          <w:szCs w:val="28"/>
        </w:rPr>
      </w:r>
      <w:r>
        <w:rPr>
          <w:rFonts w:ascii="Times New Roman" w:hAnsi="Times New Roman"/>
          <w:sz w:val="28"/>
          <w:szCs w:val="28"/>
        </w:rPr>
      </w:r>
    </w:p>
    <w:p>
      <w:pPr>
        <w:spacing w:after="0" w:line="240" w:lineRule="auto"/>
        <w:rPr>
          <w:rFonts w:ascii="Times New Roman" w:hAnsi="Times New Roman"/>
          <w:sz w:val="28"/>
          <w:szCs w:val="28"/>
        </w:rPr>
      </w:pPr>
      <w:r>
        <w:rPr>
          <w:rFonts w:ascii="Times New Roman" w:hAnsi="Times New Roman"/>
          <w:sz w:val="28"/>
          <w:szCs w:val="28"/>
        </w:rPr>
      </w:r>
      <w:r>
        <w:rPr>
          <w:rFonts w:ascii="Times New Roman" w:hAnsi="Times New Roman"/>
          <w:sz w:val="28"/>
          <w:szCs w:val="28"/>
        </w:rPr>
      </w:r>
      <w:r>
        <w:rPr>
          <w:rFonts w:ascii="Times New Roman" w:hAnsi="Times New Roman"/>
          <w:sz w:val="28"/>
          <w:szCs w:val="28"/>
        </w:rPr>
      </w:r>
    </w:p>
    <w:p>
      <w:pPr>
        <w:spacing w:after="0" w:line="240" w:lineRule="auto"/>
        <w:rPr>
          <w:rFonts w:ascii="Times New Roman" w:hAnsi="Times New Roman"/>
          <w:sz w:val="28"/>
          <w:szCs w:val="28"/>
        </w:rPr>
      </w:pPr>
      <w:r>
        <w:rPr>
          <w:rFonts w:ascii="Times New Roman" w:hAnsi="Times New Roman"/>
          <w:sz w:val="28"/>
          <w:szCs w:val="28"/>
        </w:rPr>
      </w:r>
      <w:r>
        <w:rPr>
          <w:rFonts w:ascii="Times New Roman" w:hAnsi="Times New Roman"/>
          <w:sz w:val="28"/>
          <w:szCs w:val="28"/>
        </w:rPr>
      </w:r>
      <w:r>
        <w:rPr>
          <w:rFonts w:ascii="Times New Roman" w:hAnsi="Times New Roman"/>
          <w:sz w:val="28"/>
          <w:szCs w:val="28"/>
        </w:rPr>
      </w:r>
    </w:p>
    <w:p>
      <w:pPr>
        <w:jc w:val="center"/>
        <w:spacing w:after="0" w:line="240" w:lineRule="auto"/>
        <w:rPr>
          <w:rFonts w:ascii="Times New Roman" w:hAnsi="Times New Roman"/>
          <w:b/>
          <w:sz w:val="44"/>
          <w:szCs w:val="44"/>
        </w:rPr>
      </w:pPr>
      <w:r>
        <w:rPr>
          <w:rFonts w:ascii="Times New Roman" w:hAnsi="Times New Roman"/>
          <w:b/>
          <w:sz w:val="44"/>
          <w:szCs w:val="44"/>
        </w:rPr>
        <w:t xml:space="preserve">ДОКЛАД</w:t>
      </w:r>
      <w:r>
        <w:rPr>
          <w:rFonts w:ascii="Times New Roman" w:hAnsi="Times New Roman"/>
          <w:b/>
          <w:sz w:val="44"/>
          <w:szCs w:val="44"/>
        </w:rPr>
      </w:r>
      <w:r>
        <w:rPr>
          <w:rFonts w:ascii="Times New Roman" w:hAnsi="Times New Roman"/>
          <w:b/>
          <w:sz w:val="44"/>
          <w:szCs w:val="44"/>
        </w:rPr>
      </w:r>
    </w:p>
    <w:p>
      <w:pPr>
        <w:jc w:val="center"/>
        <w:spacing w:after="0" w:line="240" w:lineRule="auto"/>
        <w:rPr>
          <w:rFonts w:ascii="Times New Roman" w:hAnsi="Times New Roman"/>
          <w:b/>
          <w:sz w:val="44"/>
          <w:szCs w:val="44"/>
        </w:rPr>
      </w:pPr>
      <w:r>
        <w:rPr>
          <w:rFonts w:ascii="Times New Roman" w:hAnsi="Times New Roman"/>
          <w:b/>
          <w:sz w:val="44"/>
          <w:szCs w:val="44"/>
        </w:rPr>
      </w:r>
      <w:r>
        <w:rPr>
          <w:rFonts w:ascii="Times New Roman" w:hAnsi="Times New Roman"/>
          <w:b/>
          <w:sz w:val="44"/>
          <w:szCs w:val="44"/>
        </w:rPr>
      </w:r>
      <w:r>
        <w:rPr>
          <w:rFonts w:ascii="Times New Roman" w:hAnsi="Times New Roman"/>
          <w:b/>
          <w:sz w:val="44"/>
          <w:szCs w:val="44"/>
        </w:rPr>
      </w:r>
    </w:p>
    <w:p>
      <w:pPr>
        <w:jc w:val="center"/>
        <w:spacing w:after="0" w:line="240" w:lineRule="auto"/>
        <w:rPr>
          <w:rFonts w:ascii="Times New Roman" w:hAnsi="Times New Roman"/>
          <w:b/>
          <w:sz w:val="44"/>
          <w:szCs w:val="44"/>
        </w:rPr>
      </w:pPr>
      <w:r>
        <w:rPr>
          <w:rFonts w:ascii="Times New Roman" w:hAnsi="Times New Roman"/>
          <w:b/>
          <w:sz w:val="44"/>
          <w:szCs w:val="44"/>
        </w:rPr>
      </w:r>
      <w:r>
        <w:rPr>
          <w:rFonts w:ascii="Times New Roman" w:hAnsi="Times New Roman"/>
          <w:b/>
          <w:sz w:val="44"/>
          <w:szCs w:val="44"/>
        </w:rPr>
      </w:r>
      <w:r>
        <w:rPr>
          <w:rFonts w:ascii="Times New Roman" w:hAnsi="Times New Roman"/>
          <w:b/>
          <w:sz w:val="44"/>
          <w:szCs w:val="44"/>
        </w:rPr>
      </w:r>
    </w:p>
    <w:p>
      <w:pPr>
        <w:jc w:val="center"/>
        <w:spacing w:after="0" w:line="240" w:lineRule="auto"/>
        <w:rPr>
          <w:rFonts w:ascii="Times New Roman" w:hAnsi="Times New Roman"/>
          <w:b/>
          <w:sz w:val="44"/>
          <w:szCs w:val="44"/>
        </w:rPr>
      </w:pPr>
      <w:r>
        <w:rPr>
          <w:rFonts w:ascii="Times New Roman" w:hAnsi="Times New Roman"/>
          <w:b/>
          <w:sz w:val="44"/>
          <w:szCs w:val="44"/>
        </w:rPr>
        <w:t xml:space="preserve">«О соблюдении прав и свобод человека</w:t>
      </w:r>
      <w:r>
        <w:rPr>
          <w:rFonts w:ascii="Times New Roman" w:hAnsi="Times New Roman"/>
          <w:b/>
          <w:sz w:val="44"/>
          <w:szCs w:val="44"/>
        </w:rPr>
      </w:r>
      <w:r>
        <w:rPr>
          <w:rFonts w:ascii="Times New Roman" w:hAnsi="Times New Roman"/>
          <w:b/>
          <w:sz w:val="44"/>
          <w:szCs w:val="44"/>
        </w:rPr>
      </w:r>
    </w:p>
    <w:p>
      <w:pPr>
        <w:jc w:val="center"/>
        <w:spacing w:after="0" w:line="240" w:lineRule="auto"/>
        <w:rPr>
          <w:rFonts w:ascii="Times New Roman" w:hAnsi="Times New Roman"/>
          <w:b/>
          <w:sz w:val="44"/>
          <w:szCs w:val="44"/>
        </w:rPr>
      </w:pPr>
      <w:r>
        <w:rPr>
          <w:rFonts w:ascii="Times New Roman" w:hAnsi="Times New Roman"/>
          <w:b/>
          <w:sz w:val="44"/>
          <w:szCs w:val="44"/>
        </w:rPr>
        <w:t xml:space="preserve">и гражданина в Ивановской области и деятельности Уполномоченного по правам человека в Ивановской области в 2025 году»</w:t>
      </w:r>
      <w:r>
        <w:rPr>
          <w:rFonts w:ascii="Times New Roman" w:hAnsi="Times New Roman"/>
          <w:b/>
          <w:sz w:val="44"/>
          <w:szCs w:val="44"/>
        </w:rPr>
      </w:r>
      <w:r>
        <w:rPr>
          <w:rFonts w:ascii="Times New Roman" w:hAnsi="Times New Roman"/>
          <w:b/>
          <w:sz w:val="44"/>
          <w:szCs w:val="44"/>
        </w:rPr>
      </w:r>
    </w:p>
    <w:p>
      <w:pPr>
        <w:jc w:val="center"/>
        <w:spacing w:after="0" w:line="240" w:lineRule="auto"/>
        <w:rPr>
          <w:rFonts w:ascii="Times New Roman" w:hAnsi="Times New Roman"/>
          <w:b/>
          <w:sz w:val="44"/>
          <w:szCs w:val="44"/>
        </w:rPr>
      </w:pPr>
      <w:r>
        <w:rPr>
          <w:rFonts w:ascii="Times New Roman" w:hAnsi="Times New Roman"/>
          <w:b/>
          <w:sz w:val="44"/>
          <w:szCs w:val="44"/>
        </w:rPr>
      </w:r>
      <w:r>
        <w:rPr>
          <w:rFonts w:ascii="Times New Roman" w:hAnsi="Times New Roman"/>
          <w:b/>
          <w:sz w:val="44"/>
          <w:szCs w:val="44"/>
        </w:rPr>
      </w:r>
      <w:r>
        <w:rPr>
          <w:rFonts w:ascii="Times New Roman" w:hAnsi="Times New Roman"/>
          <w:b/>
          <w:sz w:val="44"/>
          <w:szCs w:val="44"/>
        </w:rPr>
      </w:r>
    </w:p>
    <w:p>
      <w:pPr>
        <w:jc w:val="center"/>
        <w:spacing w:after="0" w:line="240" w:lineRule="auto"/>
        <w:rPr>
          <w:rFonts w:ascii="Times New Roman" w:hAnsi="Times New Roman"/>
          <w:sz w:val="44"/>
          <w:szCs w:val="44"/>
        </w:rPr>
      </w:pPr>
      <w:r>
        <w:rPr>
          <w:rFonts w:ascii="Times New Roman" w:hAnsi="Times New Roman"/>
          <w:sz w:val="44"/>
          <w:szCs w:val="44"/>
        </w:rPr>
      </w:r>
      <w:r>
        <w:rPr>
          <w:rFonts w:ascii="Times New Roman" w:hAnsi="Times New Roman"/>
          <w:sz w:val="44"/>
          <w:szCs w:val="44"/>
        </w:rPr>
      </w:r>
      <w:r>
        <w:rPr>
          <w:rFonts w:ascii="Times New Roman" w:hAnsi="Times New Roman"/>
          <w:sz w:val="44"/>
          <w:szCs w:val="44"/>
        </w:rPr>
      </w:r>
    </w:p>
    <w:p>
      <w:pPr>
        <w:jc w:val="center"/>
        <w:spacing w:after="0" w:line="240" w:lineRule="auto"/>
        <w:rPr>
          <w:rFonts w:ascii="Times New Roman" w:hAnsi="Times New Roman"/>
          <w:sz w:val="44"/>
          <w:szCs w:val="44"/>
        </w:rPr>
      </w:pPr>
      <w:r>
        <w:rPr>
          <w:rFonts w:ascii="Times New Roman" w:hAnsi="Times New Roman"/>
          <w:sz w:val="44"/>
          <w:szCs w:val="44"/>
        </w:rPr>
      </w:r>
      <w:r>
        <w:rPr>
          <w:rFonts w:ascii="Times New Roman" w:hAnsi="Times New Roman"/>
          <w:sz w:val="44"/>
          <w:szCs w:val="44"/>
        </w:rPr>
      </w:r>
      <w:r>
        <w:rPr>
          <w:rFonts w:ascii="Times New Roman" w:hAnsi="Times New Roman"/>
          <w:sz w:val="44"/>
          <w:szCs w:val="44"/>
        </w:rPr>
      </w:r>
    </w:p>
    <w:p>
      <w:pPr>
        <w:jc w:val="center"/>
        <w:spacing w:after="0" w:line="240" w:lineRule="auto"/>
        <w:rPr>
          <w:rFonts w:ascii="Times New Roman" w:hAnsi="Times New Roman"/>
          <w:sz w:val="44"/>
          <w:szCs w:val="44"/>
        </w:rPr>
      </w:pPr>
      <w:r>
        <w:rPr>
          <w:rFonts w:ascii="Times New Roman" w:hAnsi="Times New Roman"/>
          <w:sz w:val="44"/>
          <w:szCs w:val="44"/>
        </w:rPr>
      </w:r>
      <w:r>
        <w:rPr>
          <w:rFonts w:ascii="Times New Roman" w:hAnsi="Times New Roman"/>
          <w:sz w:val="44"/>
          <w:szCs w:val="44"/>
        </w:rPr>
      </w:r>
      <w:r>
        <w:rPr>
          <w:rFonts w:ascii="Times New Roman" w:hAnsi="Times New Roman"/>
          <w:sz w:val="44"/>
          <w:szCs w:val="44"/>
        </w:rPr>
      </w:r>
    </w:p>
    <w:p>
      <w:pPr>
        <w:spacing w:after="0" w:line="240" w:lineRule="auto"/>
        <w:rPr>
          <w:rFonts w:ascii="Times New Roman" w:hAnsi="Times New Roman"/>
          <w:sz w:val="44"/>
          <w:szCs w:val="44"/>
        </w:rPr>
      </w:pPr>
      <w:r>
        <w:rPr>
          <w:rFonts w:ascii="Times New Roman" w:hAnsi="Times New Roman"/>
          <w:sz w:val="44"/>
          <w:szCs w:val="44"/>
        </w:rPr>
      </w:r>
      <w:r>
        <w:rPr>
          <w:rFonts w:ascii="Times New Roman" w:hAnsi="Times New Roman"/>
          <w:sz w:val="44"/>
          <w:szCs w:val="44"/>
        </w:rPr>
      </w:r>
      <w:r>
        <w:rPr>
          <w:rFonts w:ascii="Times New Roman" w:hAnsi="Times New Roman"/>
          <w:sz w:val="44"/>
          <w:szCs w:val="44"/>
        </w:rPr>
      </w:r>
    </w:p>
    <w:p>
      <w:pPr>
        <w:spacing w:after="0" w:line="240" w:lineRule="auto"/>
        <w:rPr>
          <w:rFonts w:ascii="Times New Roman" w:hAnsi="Times New Roman"/>
          <w:b/>
          <w:sz w:val="36"/>
          <w:szCs w:val="36"/>
        </w:rPr>
      </w:pPr>
      <w:r>
        <w:rPr>
          <w:rFonts w:ascii="Times New Roman" w:hAnsi="Times New Roman"/>
          <w:b/>
          <w:sz w:val="36"/>
          <w:szCs w:val="36"/>
        </w:rPr>
      </w:r>
      <w:r>
        <w:rPr>
          <w:rFonts w:ascii="Times New Roman" w:hAnsi="Times New Roman"/>
          <w:b/>
          <w:sz w:val="36"/>
          <w:szCs w:val="36"/>
        </w:rPr>
      </w:r>
      <w:r>
        <w:rPr>
          <w:rFonts w:ascii="Times New Roman" w:hAnsi="Times New Roman"/>
          <w:b/>
          <w:sz w:val="36"/>
          <w:szCs w:val="36"/>
        </w:rPr>
      </w:r>
    </w:p>
    <w:p>
      <w:pPr>
        <w:jc w:val="center"/>
        <w:spacing w:after="0" w:line="240" w:lineRule="auto"/>
        <w:rPr>
          <w:rFonts w:ascii="Times New Roman" w:hAnsi="Times New Roman"/>
          <w:b/>
          <w:sz w:val="36"/>
          <w:szCs w:val="36"/>
        </w:rPr>
      </w:pPr>
      <w:r>
        <w:rPr>
          <w:rFonts w:ascii="Times New Roman" w:hAnsi="Times New Roman"/>
          <w:b/>
          <w:sz w:val="36"/>
          <w:szCs w:val="36"/>
        </w:rPr>
      </w:r>
      <w:r>
        <w:rPr>
          <w:rFonts w:ascii="Times New Roman" w:hAnsi="Times New Roman"/>
          <w:b/>
          <w:sz w:val="36"/>
          <w:szCs w:val="36"/>
        </w:rPr>
      </w:r>
      <w:r>
        <w:rPr>
          <w:rFonts w:ascii="Times New Roman" w:hAnsi="Times New Roman"/>
          <w:b/>
          <w:sz w:val="36"/>
          <w:szCs w:val="36"/>
        </w:rPr>
      </w:r>
    </w:p>
    <w:p>
      <w:pPr>
        <w:jc w:val="center"/>
        <w:spacing w:after="0" w:line="240" w:lineRule="auto"/>
        <w:rPr>
          <w:rFonts w:ascii="Times New Roman" w:hAnsi="Times New Roman"/>
          <w:b/>
          <w:sz w:val="36"/>
          <w:szCs w:val="36"/>
        </w:rPr>
      </w:pPr>
      <w:r>
        <w:rPr>
          <w:rFonts w:ascii="Times New Roman" w:hAnsi="Times New Roman"/>
          <w:b/>
          <w:sz w:val="36"/>
          <w:szCs w:val="36"/>
        </w:rPr>
      </w:r>
      <w:r>
        <w:rPr>
          <w:rFonts w:ascii="Times New Roman" w:hAnsi="Times New Roman"/>
          <w:b/>
          <w:sz w:val="36"/>
          <w:szCs w:val="36"/>
        </w:rPr>
      </w:r>
      <w:r>
        <w:rPr>
          <w:rFonts w:ascii="Times New Roman" w:hAnsi="Times New Roman"/>
          <w:b/>
          <w:sz w:val="36"/>
          <w:szCs w:val="36"/>
        </w:rPr>
      </w:r>
    </w:p>
    <w:p>
      <w:pPr>
        <w:jc w:val="center"/>
        <w:spacing w:after="0" w:line="240" w:lineRule="auto"/>
        <w:rPr>
          <w:rFonts w:ascii="Times New Roman" w:hAnsi="Times New Roman"/>
          <w:b/>
          <w:sz w:val="36"/>
          <w:szCs w:val="36"/>
        </w:rPr>
      </w:pPr>
      <w:r>
        <w:rPr>
          <w:rFonts w:ascii="Times New Roman" w:hAnsi="Times New Roman"/>
          <w:b/>
          <w:sz w:val="36"/>
          <w:szCs w:val="36"/>
        </w:rPr>
      </w:r>
      <w:r>
        <w:rPr>
          <w:rFonts w:ascii="Times New Roman" w:hAnsi="Times New Roman"/>
          <w:b/>
          <w:sz w:val="36"/>
          <w:szCs w:val="36"/>
        </w:rPr>
      </w:r>
      <w:r>
        <w:rPr>
          <w:rFonts w:ascii="Times New Roman" w:hAnsi="Times New Roman"/>
          <w:b/>
          <w:sz w:val="36"/>
          <w:szCs w:val="36"/>
        </w:rPr>
      </w:r>
    </w:p>
    <w:p>
      <w:pPr>
        <w:jc w:val="center"/>
        <w:spacing w:after="0" w:line="240" w:lineRule="auto"/>
        <w:rPr>
          <w:rFonts w:ascii="Times New Roman" w:hAnsi="Times New Roman"/>
          <w:b/>
          <w:sz w:val="36"/>
          <w:szCs w:val="36"/>
        </w:rPr>
      </w:pPr>
      <w:r>
        <w:rPr>
          <w:rFonts w:ascii="Times New Roman" w:hAnsi="Times New Roman"/>
          <w:b/>
          <w:sz w:val="36"/>
          <w:szCs w:val="36"/>
        </w:rPr>
      </w:r>
      <w:r>
        <w:rPr>
          <w:rFonts w:ascii="Times New Roman" w:hAnsi="Times New Roman"/>
          <w:b/>
          <w:sz w:val="36"/>
          <w:szCs w:val="36"/>
        </w:rPr>
      </w:r>
      <w:r>
        <w:rPr>
          <w:rFonts w:ascii="Times New Roman" w:hAnsi="Times New Roman"/>
          <w:b/>
          <w:sz w:val="36"/>
          <w:szCs w:val="36"/>
        </w:rPr>
      </w:r>
    </w:p>
    <w:p>
      <w:pPr>
        <w:jc w:val="center"/>
        <w:spacing w:after="0" w:line="240" w:lineRule="auto"/>
        <w:rPr>
          <w:rFonts w:ascii="Times New Roman" w:hAnsi="Times New Roman"/>
          <w:b/>
          <w:sz w:val="36"/>
          <w:szCs w:val="36"/>
        </w:rPr>
      </w:pPr>
      <w:r>
        <w:rPr>
          <w:rFonts w:ascii="Times New Roman" w:hAnsi="Times New Roman"/>
          <w:b/>
          <w:sz w:val="36"/>
          <w:szCs w:val="36"/>
        </w:rPr>
        <w:t xml:space="preserve">Иваново – 2026</w:t>
      </w:r>
      <w:r>
        <w:rPr>
          <w:rFonts w:ascii="Times New Roman" w:hAnsi="Times New Roman"/>
          <w:b/>
          <w:sz w:val="36"/>
          <w:szCs w:val="36"/>
        </w:rPr>
      </w:r>
      <w:r>
        <w:rPr>
          <w:rFonts w:ascii="Times New Roman" w:hAnsi="Times New Roman"/>
          <w:b/>
          <w:sz w:val="36"/>
          <w:szCs w:val="36"/>
        </w:rPr>
      </w:r>
    </w:p>
    <w:p>
      <w:pPr>
        <w:jc w:val="center"/>
        <w:spacing w:after="0"/>
        <w:rPr>
          <w:rFonts w:ascii="Times New Roman" w:hAnsi="Times New Roman"/>
          <w:sz w:val="28"/>
          <w:szCs w:val="28"/>
        </w:rPr>
      </w:pPr>
      <w:r>
        <w:rPr>
          <w:rFonts w:ascii="Times New Roman" w:hAnsi="Times New Roman"/>
          <w:b/>
          <w:sz w:val="28"/>
          <w:szCs w:val="28"/>
        </w:rPr>
        <w:t xml:space="preserve">СОДЕРЖАНИЕ</w:t>
      </w:r>
      <w:r>
        <w:rPr>
          <w:rFonts w:ascii="Times New Roman" w:hAnsi="Times New Roman"/>
          <w:sz w:val="28"/>
          <w:szCs w:val="28"/>
        </w:rPr>
      </w:r>
      <w:r>
        <w:rPr>
          <w:rFonts w:ascii="Times New Roman" w:hAnsi="Times New Roman"/>
          <w:sz w:val="28"/>
          <w:szCs w:val="28"/>
        </w:rPr>
      </w:r>
    </w:p>
    <w:sdt>
      <w:sdtPr>
        <w15:appearance w15:val="boundingBox"/>
        <w:id w:val="16705852"/>
        <w:docPartObj>
          <w:docPartGallery w:val="Table of Contents"/>
          <w:docPartUnique w:val="true"/>
        </w:docPartObj>
        <w:rPr>
          <w:rFonts w:ascii="Times New Roman" w:hAnsi="Times New Roman" w:eastAsia="Calibri" w:cs="Times New Roman"/>
          <w:b w:val="0"/>
          <w:bCs w:val="0"/>
          <w:color w:val="auto"/>
          <w:sz w:val="24"/>
          <w:szCs w:val="24"/>
          <w:lang w:eastAsia="en-US"/>
        </w:rPr>
      </w:sdtPr>
      <w:sdtContent>
        <w:p>
          <w:pPr>
            <w:pStyle w:val="1258"/>
            <w:spacing w:before="0" w:after="0" w:afterAutospacing="0" w:line="240" w:lineRule="auto"/>
            <w:rPr>
              <w:rFonts w:ascii="Times New Roman" w:hAnsi="Times New Roman" w:cs="Times New Roman"/>
              <w:b w:val="0"/>
              <w:bCs w:val="0"/>
              <w:sz w:val="24"/>
              <w:szCs w:val="24"/>
            </w:rPr>
          </w:pPr>
          <w:r>
            <w:rPr>
              <w:rFonts w:ascii="Times New Roman" w:hAnsi="Times New Roman" w:eastAsia="Times New Roman" w:cs="Times New Roman"/>
              <w:b w:val="0"/>
              <w:bCs w:val="0"/>
              <w:sz w:val="24"/>
              <w:szCs w:val="24"/>
            </w:rPr>
          </w:r>
          <w:r>
            <w:rPr>
              <w:rFonts w:ascii="Times New Roman" w:hAnsi="Times New Roman" w:cs="Times New Roman"/>
              <w:b w:val="0"/>
              <w:bCs w:val="0"/>
              <w:sz w:val="24"/>
              <w:szCs w:val="24"/>
            </w:rPr>
          </w:r>
          <w:r>
            <w:rPr>
              <w:rFonts w:ascii="Times New Roman" w:hAnsi="Times New Roman" w:cs="Times New Roman"/>
              <w:b w:val="0"/>
              <w:bCs w:val="0"/>
              <w:sz w:val="24"/>
              <w:szCs w:val="24"/>
            </w:rPr>
          </w:r>
        </w:p>
        <w:p>
          <w:pPr>
            <w:pStyle w:val="1259"/>
            <w:spacing w:after="0" w:afterAutospacing="0" w:line="240" w:lineRule="auto"/>
            <w:tabs>
              <w:tab w:val="right" w:pos="9345" w:leader="dot"/>
            </w:tabs>
            <w:rPr>
              <w:rFonts w:ascii="Times New Roman" w:hAnsi="Times New Roman" w:cs="Times New Roman"/>
              <w:b w:val="0"/>
              <w:bCs w:val="0"/>
              <w:sz w:val="24"/>
              <w:szCs w:val="24"/>
              <w:highlight w:val="none"/>
            </w:rPr>
          </w:pPr>
          <w:r>
            <w:rPr>
              <w:rFonts w:ascii="Times New Roman" w:hAnsi="Times New Roman" w:eastAsia="Times New Roman" w:cs="Times New Roman"/>
              <w:b w:val="0"/>
              <w:bCs w:val="0"/>
              <w:sz w:val="24"/>
              <w:szCs w:val="24"/>
            </w:rPr>
            <w:fldChar w:fldCharType="begin"/>
          </w:r>
          <w:r>
            <w:rPr>
              <w:rFonts w:ascii="Times New Roman" w:hAnsi="Times New Roman" w:eastAsia="Times New Roman" w:cs="Times New Roman"/>
              <w:b w:val="0"/>
              <w:bCs w:val="0"/>
              <w:sz w:val="24"/>
              <w:szCs w:val="24"/>
            </w:rPr>
            <w:instrText xml:space="preserve"> TOC \o "1-3" \h \z \u </w:instrText>
          </w:r>
          <w:r>
            <w:rPr>
              <w:rFonts w:ascii="Times New Roman" w:hAnsi="Times New Roman" w:eastAsia="Times New Roman" w:cs="Times New Roman"/>
              <w:b w:val="0"/>
              <w:bCs w:val="0"/>
              <w:sz w:val="24"/>
              <w:szCs w:val="24"/>
            </w:rPr>
            <w:fldChar w:fldCharType="separate"/>
          </w:r>
          <w:r>
            <w:rPr>
              <w:rFonts w:ascii="Times New Roman" w:hAnsi="Times New Roman" w:eastAsia="Times New Roman" w:cs="Times New Roman"/>
              <w:b w:val="0"/>
              <w:bCs w:val="0"/>
              <w:sz w:val="24"/>
              <w:szCs w:val="24"/>
            </w:rPr>
          </w:r>
          <w:hyperlink w:tooltip="#_Toc1" w:anchor="_Toc1" w:history="1">
            <w:r>
              <w:rPr>
                <w:rStyle w:val="1237"/>
                <w:rFonts w:ascii="Times New Roman" w:hAnsi="Times New Roman" w:eastAsia="Times New Roman" w:cs="Times New Roman"/>
              </w:rPr>
            </w:r>
            <w:r>
              <w:rPr>
                <w:rStyle w:val="1237"/>
                <w:rFonts w:ascii="Times New Roman" w:hAnsi="Times New Roman" w:eastAsia="Times New Roman" w:cs="Times New Roman"/>
                <w:b w:val="0"/>
                <w:bCs w:val="0"/>
                <w:sz w:val="24"/>
                <w:szCs w:val="24"/>
              </w:rPr>
              <w:t xml:space="preserve">ВВЕДЕНИЕ</w:t>
            </w:r>
            <w:r>
              <w:rPr>
                <w:rStyle w:val="1237"/>
                <w:rFonts w:ascii="Times New Roman" w:hAnsi="Times New Roman" w:eastAsia="Times New Roman" w:cs="Times New Roman"/>
                <w:b w:val="0"/>
                <w:bCs w:val="0"/>
                <w:sz w:val="24"/>
                <w:szCs w:val="24"/>
                <w:highlight w:val="none"/>
              </w:rPr>
            </w:r>
            <w:r>
              <w:rPr>
                <w:rFonts w:ascii="Times New Roman" w:hAnsi="Times New Roman" w:eastAsia="Times New Roman" w:cs="Times New Roman"/>
                <w:b w:val="0"/>
                <w:bCs w:val="0"/>
                <w:sz w:val="24"/>
                <w:szCs w:val="24"/>
              </w:rPr>
              <w:tab/>
            </w:r>
            <w:r>
              <w:rPr>
                <w:rFonts w:ascii="Times New Roman" w:hAnsi="Times New Roman" w:eastAsia="Times New Roman" w:cs="Times New Roman"/>
                <w:b w:val="0"/>
                <w:bCs w:val="0"/>
                <w:sz w:val="24"/>
                <w:szCs w:val="24"/>
              </w:rPr>
              <w:fldChar w:fldCharType="begin"/>
              <w:instrText xml:space="preserve">PAGEREF _Toc1 \h</w:instrText>
              <w:fldChar w:fldCharType="separate"/>
              <w:t xml:space="preserve">4</w:t>
              <w:fldChar w:fldCharType="end"/>
            </w:r>
          </w:hyperlink>
          <w:r>
            <w:rPr>
              <w:rFonts w:ascii="Times New Roman" w:hAnsi="Times New Roman" w:cs="Times New Roman"/>
              <w:b w:val="0"/>
              <w:bCs w:val="0"/>
              <w:sz w:val="24"/>
              <w:szCs w:val="24"/>
              <w:highlight w:val="none"/>
            </w:rPr>
          </w:r>
          <w:r>
            <w:rPr>
              <w:rFonts w:ascii="Times New Roman" w:hAnsi="Times New Roman" w:cs="Times New Roman"/>
              <w:b w:val="0"/>
              <w:bCs w:val="0"/>
              <w:sz w:val="24"/>
              <w:szCs w:val="24"/>
              <w:highlight w:val="none"/>
            </w:rPr>
          </w:r>
        </w:p>
        <w:p>
          <w:pPr>
            <w:pStyle w:val="1259"/>
            <w:spacing w:after="0" w:afterAutospacing="0" w:line="240" w:lineRule="auto"/>
            <w:tabs>
              <w:tab w:val="right" w:pos="9345" w:leader="dot"/>
            </w:tabs>
            <w:rPr>
              <w:rFonts w:ascii="Times New Roman" w:hAnsi="Times New Roman" w:cs="Times New Roman"/>
              <w:b w:val="0"/>
              <w:bCs w:val="0"/>
              <w:sz w:val="24"/>
              <w:szCs w:val="24"/>
            </w:rPr>
          </w:pPr>
          <w:r/>
          <w:hyperlink w:tooltip="#_Toc2" w:anchor="_Toc2" w:history="1">
            <w:r>
              <w:rPr>
                <w:rStyle w:val="1237"/>
                <w:rFonts w:ascii="Times New Roman" w:hAnsi="Times New Roman" w:eastAsia="Times New Roman" w:cs="Times New Roman"/>
              </w:rPr>
            </w:r>
            <w:r>
              <w:rPr>
                <w:rStyle w:val="1237"/>
                <w:rFonts w:ascii="Times New Roman" w:hAnsi="Times New Roman" w:eastAsia="Times New Roman" w:cs="Times New Roman"/>
                <w:b w:val="0"/>
                <w:bCs w:val="0"/>
                <w:sz w:val="24"/>
                <w:szCs w:val="24"/>
              </w:rPr>
              <w:t xml:space="preserve">РАЗДЕЛ 1.  ИНФОРМАЦИОННО-СТАТИСТИЧЕСКИЙ ОБЗОР ОБРАЩЕНИЙ, ПОСТУПИВШИХ В АДРЕС УПОЛНОМОЧЕННОГО ПО ПРАВАМ ЧЕЛОВЕКА</w:t>
            </w:r>
            <w:r>
              <w:rPr>
                <w:rStyle w:val="1237"/>
                <w:rFonts w:ascii="Times New Roman" w:hAnsi="Times New Roman" w:eastAsia="Times New Roman" w:cs="Times New Roman"/>
                <w:b w:val="0"/>
                <w:bCs w:val="0"/>
                <w:sz w:val="24"/>
                <w:szCs w:val="24"/>
              </w:rPr>
              <w:t xml:space="preserve"> </w:t>
            </w:r>
            <w:r>
              <w:rPr>
                <w:rStyle w:val="1237"/>
                <w:rFonts w:ascii="Times New Roman" w:hAnsi="Times New Roman" w:eastAsia="Times New Roman" w:cs="Times New Roman"/>
                <w:b w:val="0"/>
                <w:bCs w:val="0"/>
                <w:sz w:val="24"/>
                <w:szCs w:val="24"/>
              </w:rPr>
            </w:r>
            <w:r>
              <w:rPr>
                <w:rFonts w:ascii="Times New Roman" w:hAnsi="Times New Roman" w:eastAsia="Times New Roman" w:cs="Times New Roman"/>
                <w:b w:val="0"/>
                <w:bCs w:val="0"/>
                <w:sz w:val="24"/>
                <w:szCs w:val="24"/>
              </w:rPr>
              <w:tab/>
            </w:r>
            <w:r>
              <w:rPr>
                <w:rFonts w:ascii="Times New Roman" w:hAnsi="Times New Roman" w:eastAsia="Times New Roman" w:cs="Times New Roman"/>
                <w:b w:val="0"/>
                <w:bCs w:val="0"/>
                <w:sz w:val="24"/>
                <w:szCs w:val="24"/>
              </w:rPr>
              <w:fldChar w:fldCharType="begin"/>
              <w:instrText xml:space="preserve">PAGEREF _Toc2 \h</w:instrText>
              <w:fldChar w:fldCharType="separate"/>
              <w:t xml:space="preserve">7</w:t>
              <w:fldChar w:fldCharType="end"/>
            </w:r>
          </w:hyperlink>
          <w:r>
            <w:rPr>
              <w:rFonts w:ascii="Times New Roman" w:hAnsi="Times New Roman" w:cs="Times New Roman"/>
              <w:b w:val="0"/>
              <w:bCs w:val="0"/>
              <w:sz w:val="24"/>
              <w:szCs w:val="24"/>
            </w:rPr>
          </w:r>
          <w:r>
            <w:rPr>
              <w:rFonts w:ascii="Times New Roman" w:hAnsi="Times New Roman" w:cs="Times New Roman"/>
              <w:b w:val="0"/>
              <w:bCs w:val="0"/>
              <w:sz w:val="24"/>
              <w:szCs w:val="24"/>
            </w:rPr>
          </w:r>
        </w:p>
        <w:p>
          <w:pPr>
            <w:pStyle w:val="1259"/>
            <w:spacing w:after="0" w:afterAutospacing="0" w:line="240" w:lineRule="auto"/>
            <w:tabs>
              <w:tab w:val="right" w:pos="9345" w:leader="dot"/>
            </w:tabs>
            <w:rPr>
              <w:rFonts w:ascii="Times New Roman" w:hAnsi="Times New Roman" w:cs="Times New Roman"/>
              <w:b w:val="0"/>
              <w:bCs w:val="0"/>
              <w:sz w:val="24"/>
              <w:szCs w:val="24"/>
            </w:rPr>
          </w:pPr>
          <w:r/>
          <w:hyperlink w:tooltip="#_Toc3" w:anchor="_Toc3" w:history="1">
            <w:r>
              <w:rPr>
                <w:rStyle w:val="1237"/>
                <w:rFonts w:ascii="Times New Roman" w:hAnsi="Times New Roman" w:eastAsia="Times New Roman" w:cs="Times New Roman"/>
              </w:rPr>
            </w:r>
            <w:r>
              <w:rPr>
                <w:rStyle w:val="1237"/>
                <w:rFonts w:ascii="Times New Roman" w:hAnsi="Times New Roman" w:eastAsia="Times New Roman" w:cs="Times New Roman"/>
                <w:b w:val="0"/>
                <w:bCs w:val="0"/>
                <w:sz w:val="24"/>
                <w:szCs w:val="24"/>
              </w:rPr>
              <w:t xml:space="preserve">РАЗДЕЛ 2. ЗАЩИТА ПРАВ УЧАСТНИКОВ СПЕЦИАЛЬНОЙ ВОЕННОЙ ОПЕРАЦИИ И ЧЛЕНОВ ИХ СЕМЕЙ</w:t>
            </w:r>
            <w:r>
              <w:rPr>
                <w:rStyle w:val="1237"/>
                <w:rFonts w:ascii="Times New Roman" w:hAnsi="Times New Roman" w:eastAsia="Times New Roman" w:cs="Times New Roman"/>
                <w:b w:val="0"/>
                <w:bCs w:val="0"/>
                <w:sz w:val="24"/>
                <w:szCs w:val="24"/>
              </w:rPr>
            </w:r>
            <w:r>
              <w:rPr>
                <w:rFonts w:ascii="Times New Roman" w:hAnsi="Times New Roman" w:eastAsia="Times New Roman" w:cs="Times New Roman"/>
                <w:b w:val="0"/>
                <w:bCs w:val="0"/>
                <w:sz w:val="24"/>
                <w:szCs w:val="24"/>
              </w:rPr>
              <w:tab/>
            </w:r>
            <w:r>
              <w:rPr>
                <w:rFonts w:ascii="Times New Roman" w:hAnsi="Times New Roman" w:eastAsia="Times New Roman" w:cs="Times New Roman"/>
                <w:b w:val="0"/>
                <w:bCs w:val="0"/>
                <w:sz w:val="24"/>
                <w:szCs w:val="24"/>
              </w:rPr>
              <w:fldChar w:fldCharType="begin"/>
              <w:instrText xml:space="preserve">PAGEREF _Toc3 \h</w:instrText>
              <w:fldChar w:fldCharType="separate"/>
              <w:t xml:space="preserve">15</w:t>
              <w:fldChar w:fldCharType="end"/>
            </w:r>
          </w:hyperlink>
          <w:r>
            <w:rPr>
              <w:rFonts w:ascii="Times New Roman" w:hAnsi="Times New Roman" w:cs="Times New Roman"/>
              <w:b w:val="0"/>
              <w:bCs w:val="0"/>
              <w:sz w:val="24"/>
              <w:szCs w:val="24"/>
            </w:rPr>
          </w:r>
          <w:r>
            <w:rPr>
              <w:rFonts w:ascii="Times New Roman" w:hAnsi="Times New Roman" w:cs="Times New Roman"/>
              <w:b w:val="0"/>
              <w:bCs w:val="0"/>
              <w:sz w:val="24"/>
              <w:szCs w:val="24"/>
            </w:rPr>
          </w:r>
        </w:p>
        <w:p>
          <w:pPr>
            <w:pStyle w:val="1260"/>
            <w:spacing w:after="0" w:afterAutospacing="0" w:line="240" w:lineRule="auto"/>
            <w:tabs>
              <w:tab w:val="right" w:pos="9345" w:leader="dot"/>
            </w:tabs>
            <w:rPr>
              <w:rFonts w:ascii="Times New Roman" w:hAnsi="Times New Roman" w:cs="Times New Roman"/>
              <w:b w:val="0"/>
              <w:bCs w:val="0"/>
              <w:sz w:val="24"/>
              <w:szCs w:val="24"/>
            </w:rPr>
          </w:pPr>
          <w:r/>
          <w:hyperlink w:tooltip="#_Toc4" w:anchor="_Toc4" w:history="1">
            <w:r>
              <w:rPr>
                <w:rStyle w:val="1237"/>
                <w:rFonts w:ascii="Times New Roman" w:hAnsi="Times New Roman" w:eastAsia="Times New Roman" w:cs="Times New Roman"/>
              </w:rPr>
            </w:r>
            <w:r>
              <w:rPr>
                <w:rStyle w:val="1237"/>
                <w:rFonts w:ascii="Times New Roman" w:hAnsi="Times New Roman" w:eastAsia="Times New Roman" w:cs="Times New Roman"/>
                <w:b w:val="0"/>
                <w:bCs w:val="0"/>
                <w:sz w:val="24"/>
                <w:szCs w:val="24"/>
              </w:rPr>
              <w:t xml:space="preserve">Уполномоченный рекомендует</w:t>
            </w:r>
            <w:r>
              <w:rPr>
                <w:rStyle w:val="1237"/>
                <w:rFonts w:ascii="Times New Roman" w:hAnsi="Times New Roman" w:eastAsia="Times New Roman" w:cs="Times New Roman"/>
                <w:b w:val="0"/>
                <w:bCs w:val="0"/>
                <w:sz w:val="24"/>
                <w:szCs w:val="24"/>
                <w:highlight w:val="none"/>
              </w:rPr>
              <w:t xml:space="preserve"> </w:t>
            </w:r>
            <w:r>
              <w:rPr>
                <w:rStyle w:val="1237"/>
                <w:rFonts w:ascii="Times New Roman" w:hAnsi="Times New Roman" w:eastAsia="Times New Roman" w:cs="Times New Roman"/>
                <w:b w:val="0"/>
                <w:bCs w:val="0"/>
                <w:sz w:val="24"/>
                <w:szCs w:val="24"/>
              </w:rPr>
            </w:r>
            <w:r>
              <w:rPr>
                <w:rFonts w:ascii="Times New Roman" w:hAnsi="Times New Roman" w:eastAsia="Times New Roman" w:cs="Times New Roman"/>
                <w:b w:val="0"/>
                <w:bCs w:val="0"/>
                <w:sz w:val="24"/>
                <w:szCs w:val="24"/>
              </w:rPr>
              <w:tab/>
            </w:r>
            <w:r>
              <w:rPr>
                <w:rFonts w:ascii="Times New Roman" w:hAnsi="Times New Roman" w:eastAsia="Times New Roman" w:cs="Times New Roman"/>
                <w:b w:val="0"/>
                <w:bCs w:val="0"/>
                <w:sz w:val="24"/>
                <w:szCs w:val="24"/>
              </w:rPr>
              <w:fldChar w:fldCharType="begin"/>
              <w:instrText xml:space="preserve">PAGEREF _Toc4 \h</w:instrText>
              <w:fldChar w:fldCharType="separate"/>
              <w:t xml:space="preserve">29</w:t>
              <w:fldChar w:fldCharType="end"/>
            </w:r>
          </w:hyperlink>
          <w:r>
            <w:rPr>
              <w:rFonts w:ascii="Times New Roman" w:hAnsi="Times New Roman" w:cs="Times New Roman"/>
              <w:b w:val="0"/>
              <w:bCs w:val="0"/>
              <w:sz w:val="24"/>
              <w:szCs w:val="24"/>
            </w:rPr>
          </w:r>
          <w:r>
            <w:rPr>
              <w:rFonts w:ascii="Times New Roman" w:hAnsi="Times New Roman" w:cs="Times New Roman"/>
              <w:b w:val="0"/>
              <w:bCs w:val="0"/>
              <w:sz w:val="24"/>
              <w:szCs w:val="24"/>
            </w:rPr>
          </w:r>
        </w:p>
        <w:p>
          <w:pPr>
            <w:pStyle w:val="1259"/>
            <w:spacing w:after="0" w:afterAutospacing="0" w:line="240" w:lineRule="auto"/>
            <w:tabs>
              <w:tab w:val="right" w:pos="9345" w:leader="dot"/>
            </w:tabs>
            <w:rPr>
              <w:rFonts w:ascii="Times New Roman" w:hAnsi="Times New Roman" w:cs="Times New Roman"/>
              <w:b w:val="0"/>
              <w:bCs w:val="0"/>
              <w:sz w:val="24"/>
              <w:szCs w:val="24"/>
            </w:rPr>
          </w:pPr>
          <w:r/>
          <w:hyperlink w:tooltip="#_Toc5" w:anchor="_Toc5" w:history="1">
            <w:r>
              <w:rPr>
                <w:rStyle w:val="1237"/>
                <w:rFonts w:ascii="Times New Roman" w:hAnsi="Times New Roman" w:eastAsia="Times New Roman" w:cs="Times New Roman"/>
              </w:rPr>
            </w:r>
            <w:r>
              <w:rPr>
                <w:rStyle w:val="1237"/>
                <w:rFonts w:ascii="Times New Roman" w:hAnsi="Times New Roman" w:eastAsia="Times New Roman" w:cs="Times New Roman"/>
                <w:b w:val="0"/>
                <w:bCs w:val="0"/>
                <w:sz w:val="24"/>
                <w:szCs w:val="24"/>
              </w:rPr>
              <w:t xml:space="preserve">РАЗДЕЛ 3. </w:t>
            </w:r>
            <w:r>
              <w:rPr>
                <w:rStyle w:val="1237"/>
                <w:rFonts w:ascii="Times New Roman" w:hAnsi="Times New Roman" w:eastAsia="Times New Roman" w:cs="Times New Roman"/>
                <w:b w:val="0"/>
                <w:bCs w:val="0"/>
                <w:sz w:val="24"/>
                <w:szCs w:val="24"/>
              </w:rPr>
              <w:t xml:space="preserve">ПРАВО НА ЖИЛИЩЕ</w:t>
            </w:r>
            <w:r>
              <w:rPr>
                <w:rStyle w:val="1237"/>
                <w:rFonts w:ascii="Times New Roman" w:hAnsi="Times New Roman" w:eastAsia="Times New Roman" w:cs="Times New Roman"/>
                <w:b w:val="0"/>
                <w:bCs w:val="0"/>
                <w:sz w:val="24"/>
                <w:szCs w:val="24"/>
              </w:rPr>
            </w:r>
            <w:r>
              <w:rPr>
                <w:rFonts w:ascii="Times New Roman" w:hAnsi="Times New Roman" w:eastAsia="Times New Roman" w:cs="Times New Roman"/>
                <w:b w:val="0"/>
                <w:bCs w:val="0"/>
                <w:sz w:val="24"/>
                <w:szCs w:val="24"/>
              </w:rPr>
              <w:tab/>
            </w:r>
            <w:r>
              <w:rPr>
                <w:rFonts w:ascii="Times New Roman" w:hAnsi="Times New Roman" w:eastAsia="Times New Roman" w:cs="Times New Roman"/>
                <w:b w:val="0"/>
                <w:bCs w:val="0"/>
                <w:sz w:val="24"/>
                <w:szCs w:val="24"/>
              </w:rPr>
              <w:fldChar w:fldCharType="begin"/>
              <w:instrText xml:space="preserve">PAGEREF _Toc5 \h</w:instrText>
              <w:fldChar w:fldCharType="separate"/>
              <w:t xml:space="preserve">30</w:t>
              <w:fldChar w:fldCharType="end"/>
            </w:r>
          </w:hyperlink>
          <w:r>
            <w:rPr>
              <w:rFonts w:ascii="Times New Roman" w:hAnsi="Times New Roman" w:cs="Times New Roman"/>
              <w:b w:val="0"/>
              <w:bCs w:val="0"/>
              <w:sz w:val="24"/>
              <w:szCs w:val="24"/>
            </w:rPr>
          </w:r>
          <w:r>
            <w:rPr>
              <w:rFonts w:ascii="Times New Roman" w:hAnsi="Times New Roman" w:cs="Times New Roman"/>
              <w:b w:val="0"/>
              <w:bCs w:val="0"/>
              <w:sz w:val="24"/>
              <w:szCs w:val="24"/>
            </w:rPr>
          </w:r>
        </w:p>
        <w:p>
          <w:pPr>
            <w:pStyle w:val="1260"/>
            <w:spacing w:after="0" w:afterAutospacing="0" w:line="240" w:lineRule="auto"/>
            <w:tabs>
              <w:tab w:val="right" w:pos="9345" w:leader="dot"/>
            </w:tabs>
            <w:rPr>
              <w:rFonts w:ascii="Times New Roman" w:hAnsi="Times New Roman" w:cs="Times New Roman"/>
              <w:b w:val="0"/>
              <w:bCs w:val="0"/>
              <w:sz w:val="24"/>
              <w:szCs w:val="24"/>
            </w:rPr>
          </w:pPr>
          <w:r/>
          <w:hyperlink w:tooltip="#_Toc6" w:anchor="_Toc6" w:history="1">
            <w:r>
              <w:rPr>
                <w:rStyle w:val="1237"/>
                <w:rFonts w:ascii="Times New Roman" w:hAnsi="Times New Roman" w:eastAsia="Times New Roman" w:cs="Times New Roman"/>
              </w:rPr>
            </w:r>
            <w:r>
              <w:rPr>
                <w:rStyle w:val="1237"/>
                <w:rFonts w:ascii="Times New Roman" w:hAnsi="Times New Roman" w:eastAsia="Times New Roman" w:cs="Times New Roman"/>
                <w:b w:val="0"/>
                <w:bCs w:val="0"/>
                <w:sz w:val="24"/>
                <w:szCs w:val="24"/>
              </w:rPr>
              <w:t xml:space="preserve">3.1. Обеспечение жилыми помещениями льготных категорий населения</w:t>
            </w:r>
            <w:r>
              <w:rPr>
                <w:rStyle w:val="1237"/>
                <w:rFonts w:ascii="Times New Roman" w:hAnsi="Times New Roman" w:eastAsia="Times New Roman" w:cs="Times New Roman"/>
                <w:b w:val="0"/>
                <w:bCs w:val="0"/>
                <w:sz w:val="24"/>
                <w:szCs w:val="24"/>
              </w:rPr>
            </w:r>
            <w:r>
              <w:rPr>
                <w:rFonts w:ascii="Times New Roman" w:hAnsi="Times New Roman" w:eastAsia="Times New Roman" w:cs="Times New Roman"/>
                <w:b w:val="0"/>
                <w:bCs w:val="0"/>
                <w:sz w:val="24"/>
                <w:szCs w:val="24"/>
              </w:rPr>
              <w:tab/>
            </w:r>
            <w:r>
              <w:rPr>
                <w:rFonts w:ascii="Times New Roman" w:hAnsi="Times New Roman" w:eastAsia="Times New Roman" w:cs="Times New Roman"/>
                <w:b w:val="0"/>
                <w:bCs w:val="0"/>
                <w:sz w:val="24"/>
                <w:szCs w:val="24"/>
              </w:rPr>
              <w:fldChar w:fldCharType="begin"/>
              <w:instrText xml:space="preserve">PAGEREF _Toc6 \h</w:instrText>
              <w:fldChar w:fldCharType="separate"/>
              <w:t xml:space="preserve">30</w:t>
              <w:fldChar w:fldCharType="end"/>
            </w:r>
          </w:hyperlink>
          <w:r>
            <w:rPr>
              <w:rFonts w:ascii="Times New Roman" w:hAnsi="Times New Roman" w:cs="Times New Roman"/>
              <w:b w:val="0"/>
              <w:bCs w:val="0"/>
              <w:sz w:val="24"/>
              <w:szCs w:val="24"/>
            </w:rPr>
          </w:r>
          <w:r>
            <w:rPr>
              <w:rFonts w:ascii="Times New Roman" w:hAnsi="Times New Roman" w:cs="Times New Roman"/>
              <w:b w:val="0"/>
              <w:bCs w:val="0"/>
              <w:sz w:val="24"/>
              <w:szCs w:val="24"/>
            </w:rPr>
          </w:r>
        </w:p>
        <w:p>
          <w:pPr>
            <w:pStyle w:val="1260"/>
            <w:spacing w:after="0" w:afterAutospacing="0" w:line="240" w:lineRule="auto"/>
            <w:tabs>
              <w:tab w:val="right" w:pos="9345" w:leader="dot"/>
            </w:tabs>
            <w:rPr>
              <w:rFonts w:ascii="Times New Roman" w:hAnsi="Times New Roman" w:cs="Times New Roman"/>
              <w:b w:val="0"/>
              <w:bCs w:val="0"/>
              <w:sz w:val="24"/>
              <w:szCs w:val="24"/>
            </w:rPr>
          </w:pPr>
          <w:r/>
          <w:hyperlink w:tooltip="#_Toc7" w:anchor="_Toc7" w:history="1">
            <w:r>
              <w:rPr>
                <w:rStyle w:val="1237"/>
                <w:rFonts w:ascii="Times New Roman" w:hAnsi="Times New Roman" w:eastAsia="Times New Roman" w:cs="Times New Roman"/>
              </w:rPr>
            </w:r>
            <w:r>
              <w:rPr>
                <w:rStyle w:val="1237"/>
                <w:rFonts w:ascii="Times New Roman" w:hAnsi="Times New Roman" w:eastAsia="Times New Roman" w:cs="Times New Roman"/>
                <w:b w:val="0"/>
                <w:bCs w:val="0"/>
                <w:sz w:val="24"/>
                <w:szCs w:val="24"/>
              </w:rPr>
              <w:t xml:space="preserve">3.2. Соблюдение прав граждан в сфере жилищно-коммунального хозяйства</w:t>
            </w:r>
            <w:r>
              <w:rPr>
                <w:rStyle w:val="1237"/>
                <w:rFonts w:ascii="Times New Roman" w:hAnsi="Times New Roman" w:eastAsia="Times New Roman" w:cs="Times New Roman"/>
                <w:b w:val="0"/>
                <w:bCs w:val="0"/>
                <w:sz w:val="24"/>
                <w:szCs w:val="24"/>
              </w:rPr>
              <w:t xml:space="preserve"> </w:t>
            </w:r>
            <w:r>
              <w:rPr>
                <w:rStyle w:val="1237"/>
                <w:rFonts w:ascii="Times New Roman" w:hAnsi="Times New Roman" w:eastAsia="Times New Roman" w:cs="Times New Roman"/>
                <w:b w:val="0"/>
                <w:bCs w:val="0"/>
                <w:sz w:val="24"/>
                <w:szCs w:val="24"/>
              </w:rPr>
            </w:r>
            <w:r>
              <w:rPr>
                <w:rFonts w:ascii="Times New Roman" w:hAnsi="Times New Roman" w:eastAsia="Times New Roman" w:cs="Times New Roman"/>
                <w:b w:val="0"/>
                <w:bCs w:val="0"/>
                <w:sz w:val="24"/>
                <w:szCs w:val="24"/>
              </w:rPr>
              <w:tab/>
            </w:r>
            <w:r>
              <w:rPr>
                <w:rFonts w:ascii="Times New Roman" w:hAnsi="Times New Roman" w:eastAsia="Times New Roman" w:cs="Times New Roman"/>
                <w:b w:val="0"/>
                <w:bCs w:val="0"/>
                <w:sz w:val="24"/>
                <w:szCs w:val="24"/>
              </w:rPr>
              <w:fldChar w:fldCharType="begin"/>
              <w:instrText xml:space="preserve">PAGEREF _Toc7 \h</w:instrText>
              <w:fldChar w:fldCharType="separate"/>
              <w:t xml:space="preserve">36</w:t>
              <w:fldChar w:fldCharType="end"/>
            </w:r>
          </w:hyperlink>
          <w:r>
            <w:rPr>
              <w:rFonts w:ascii="Times New Roman" w:hAnsi="Times New Roman" w:cs="Times New Roman"/>
              <w:b w:val="0"/>
              <w:bCs w:val="0"/>
              <w:sz w:val="24"/>
              <w:szCs w:val="24"/>
            </w:rPr>
          </w:r>
          <w:r>
            <w:rPr>
              <w:rFonts w:ascii="Times New Roman" w:hAnsi="Times New Roman" w:cs="Times New Roman"/>
              <w:b w:val="0"/>
              <w:bCs w:val="0"/>
              <w:sz w:val="24"/>
              <w:szCs w:val="24"/>
            </w:rPr>
          </w:r>
        </w:p>
        <w:p>
          <w:pPr>
            <w:pStyle w:val="1260"/>
            <w:spacing w:after="0" w:afterAutospacing="0" w:line="240" w:lineRule="auto"/>
            <w:tabs>
              <w:tab w:val="right" w:pos="9345" w:leader="dot"/>
            </w:tabs>
            <w:rPr>
              <w:rFonts w:ascii="Times New Roman" w:hAnsi="Times New Roman" w:cs="Times New Roman"/>
              <w:b w:val="0"/>
              <w:bCs w:val="0"/>
              <w:sz w:val="24"/>
              <w:szCs w:val="24"/>
            </w:rPr>
          </w:pPr>
          <w:r/>
          <w:hyperlink w:tooltip="#_Toc8" w:anchor="_Toc8" w:history="1">
            <w:r>
              <w:rPr>
                <w:rStyle w:val="1237"/>
                <w:rFonts w:ascii="Times New Roman" w:hAnsi="Times New Roman" w:eastAsia="Times New Roman" w:cs="Times New Roman"/>
              </w:rPr>
            </w:r>
            <w:r>
              <w:rPr>
                <w:rStyle w:val="1237"/>
                <w:rFonts w:ascii="Times New Roman" w:hAnsi="Times New Roman" w:eastAsia="Times New Roman" w:cs="Times New Roman"/>
                <w:b w:val="0"/>
                <w:bCs w:val="0"/>
                <w:sz w:val="24"/>
                <w:szCs w:val="24"/>
              </w:rPr>
              <w:t xml:space="preserve">Уполномоченный рекомендует</w:t>
            </w:r>
            <w:r>
              <w:rPr>
                <w:rStyle w:val="1237"/>
                <w:rFonts w:ascii="Times New Roman" w:hAnsi="Times New Roman" w:eastAsia="Times New Roman" w:cs="Times New Roman"/>
                <w:b w:val="0"/>
                <w:bCs w:val="0"/>
                <w:sz w:val="24"/>
                <w:szCs w:val="24"/>
              </w:rPr>
            </w:r>
            <w:r>
              <w:rPr>
                <w:rFonts w:ascii="Times New Roman" w:hAnsi="Times New Roman" w:eastAsia="Times New Roman" w:cs="Times New Roman"/>
                <w:b w:val="0"/>
                <w:bCs w:val="0"/>
                <w:sz w:val="24"/>
                <w:szCs w:val="24"/>
              </w:rPr>
              <w:tab/>
            </w:r>
            <w:r>
              <w:rPr>
                <w:rFonts w:ascii="Times New Roman" w:hAnsi="Times New Roman" w:eastAsia="Times New Roman" w:cs="Times New Roman"/>
                <w:b w:val="0"/>
                <w:bCs w:val="0"/>
                <w:sz w:val="24"/>
                <w:szCs w:val="24"/>
              </w:rPr>
              <w:fldChar w:fldCharType="begin"/>
              <w:instrText xml:space="preserve">PAGEREF _Toc8 \h</w:instrText>
              <w:fldChar w:fldCharType="separate"/>
              <w:t xml:space="preserve">48</w:t>
              <w:fldChar w:fldCharType="end"/>
            </w:r>
          </w:hyperlink>
          <w:r>
            <w:rPr>
              <w:rFonts w:ascii="Times New Roman" w:hAnsi="Times New Roman" w:cs="Times New Roman"/>
              <w:b w:val="0"/>
              <w:bCs w:val="0"/>
              <w:sz w:val="24"/>
              <w:szCs w:val="24"/>
            </w:rPr>
          </w:r>
          <w:r>
            <w:rPr>
              <w:rFonts w:ascii="Times New Roman" w:hAnsi="Times New Roman" w:cs="Times New Roman"/>
              <w:b w:val="0"/>
              <w:bCs w:val="0"/>
              <w:sz w:val="24"/>
              <w:szCs w:val="24"/>
            </w:rPr>
          </w:r>
        </w:p>
        <w:p>
          <w:pPr>
            <w:pStyle w:val="1259"/>
            <w:spacing w:after="0" w:afterAutospacing="0" w:line="240" w:lineRule="auto"/>
            <w:tabs>
              <w:tab w:val="right" w:pos="9345" w:leader="dot"/>
            </w:tabs>
            <w:rPr>
              <w:rFonts w:ascii="Times New Roman" w:hAnsi="Times New Roman" w:cs="Times New Roman"/>
              <w:b w:val="0"/>
              <w:bCs w:val="0"/>
              <w:sz w:val="24"/>
              <w:szCs w:val="24"/>
            </w:rPr>
          </w:pPr>
          <w:r/>
          <w:hyperlink w:tooltip="#_Toc9" w:anchor="_Toc9" w:history="1">
            <w:r>
              <w:rPr>
                <w:rStyle w:val="1237"/>
                <w:rFonts w:ascii="Times New Roman" w:hAnsi="Times New Roman" w:eastAsia="Times New Roman" w:cs="Times New Roman"/>
              </w:rPr>
            </w:r>
            <w:r>
              <w:rPr>
                <w:rStyle w:val="1237"/>
                <w:rFonts w:ascii="Times New Roman" w:hAnsi="Times New Roman" w:eastAsia="Times New Roman" w:cs="Times New Roman"/>
                <w:b w:val="0"/>
                <w:bCs w:val="0"/>
                <w:sz w:val="24"/>
                <w:szCs w:val="24"/>
              </w:rPr>
              <w:t xml:space="preserve">РАЗДЕЛ 4. ПРАВО НА ОХРАНУ ЗДОРОВЬЯ И МЕДИЦИНСКУЮ ПОМОЩЬ</w:t>
            </w:r>
            <w:r>
              <w:rPr>
                <w:rStyle w:val="1237"/>
                <w:rFonts w:ascii="Times New Roman" w:hAnsi="Times New Roman" w:eastAsia="Times New Roman" w:cs="Times New Roman"/>
                <w:b w:val="0"/>
                <w:bCs w:val="0"/>
                <w:sz w:val="24"/>
                <w:szCs w:val="24"/>
              </w:rPr>
            </w:r>
            <w:r>
              <w:rPr>
                <w:rFonts w:ascii="Times New Roman" w:hAnsi="Times New Roman" w:eastAsia="Times New Roman" w:cs="Times New Roman"/>
                <w:b w:val="0"/>
                <w:bCs w:val="0"/>
                <w:sz w:val="24"/>
                <w:szCs w:val="24"/>
              </w:rPr>
              <w:tab/>
            </w:r>
            <w:r>
              <w:rPr>
                <w:rFonts w:ascii="Times New Roman" w:hAnsi="Times New Roman" w:eastAsia="Times New Roman" w:cs="Times New Roman"/>
                <w:b w:val="0"/>
                <w:bCs w:val="0"/>
                <w:sz w:val="24"/>
                <w:szCs w:val="24"/>
              </w:rPr>
              <w:fldChar w:fldCharType="begin"/>
              <w:instrText xml:space="preserve">PAGEREF _Toc9 \h</w:instrText>
              <w:fldChar w:fldCharType="separate"/>
              <w:t xml:space="preserve">50</w:t>
              <w:fldChar w:fldCharType="end"/>
            </w:r>
          </w:hyperlink>
          <w:r>
            <w:rPr>
              <w:rFonts w:ascii="Times New Roman" w:hAnsi="Times New Roman" w:cs="Times New Roman"/>
              <w:b w:val="0"/>
              <w:bCs w:val="0"/>
              <w:sz w:val="24"/>
              <w:szCs w:val="24"/>
            </w:rPr>
          </w:r>
          <w:r>
            <w:rPr>
              <w:rFonts w:ascii="Times New Roman" w:hAnsi="Times New Roman" w:cs="Times New Roman"/>
              <w:b w:val="0"/>
              <w:bCs w:val="0"/>
              <w:sz w:val="24"/>
              <w:szCs w:val="24"/>
            </w:rPr>
          </w:r>
        </w:p>
        <w:p>
          <w:pPr>
            <w:pStyle w:val="1260"/>
            <w:spacing w:after="0" w:afterAutospacing="0" w:line="240" w:lineRule="auto"/>
            <w:tabs>
              <w:tab w:val="right" w:pos="9345" w:leader="dot"/>
            </w:tabs>
            <w:rPr>
              <w:rFonts w:ascii="Times New Roman" w:hAnsi="Times New Roman" w:cs="Times New Roman"/>
              <w:b w:val="0"/>
              <w:bCs w:val="0"/>
              <w:sz w:val="24"/>
              <w:szCs w:val="24"/>
              <w14:ligatures w14:val="none"/>
            </w:rPr>
          </w:pPr>
          <w:r/>
          <w:hyperlink w:tooltip="#_Toc10" w:anchor="_Toc10" w:history="1">
            <w:r>
              <w:rPr>
                <w:rStyle w:val="1237"/>
                <w:rFonts w:ascii="Times New Roman" w:hAnsi="Times New Roman" w:eastAsia="Times New Roman" w:cs="Times New Roman"/>
              </w:rPr>
            </w:r>
            <w:r>
              <w:rPr>
                <w:rStyle w:val="1237"/>
                <w:rFonts w:ascii="Times New Roman" w:hAnsi="Times New Roman" w:eastAsia="Times New Roman" w:cs="Times New Roman"/>
                <w:b w:val="0"/>
                <w:bCs w:val="0"/>
                <w:sz w:val="24"/>
                <w:szCs w:val="24"/>
              </w:rPr>
              <w:t xml:space="preserve">Уполномоченный </w:t>
            </w:r>
            <w:r>
              <w:rPr>
                <w:rStyle w:val="1237"/>
                <w:rFonts w:ascii="Times New Roman" w:hAnsi="Times New Roman" w:eastAsia="Times New Roman" w:cs="Times New Roman"/>
                <w:b w:val="0"/>
                <w:bCs w:val="0"/>
                <w:sz w:val="24"/>
                <w:szCs w:val="24"/>
              </w:rPr>
              <w:t xml:space="preserve">рекомендует</w:t>
            </w:r>
            <w:r>
              <w:rPr>
                <w:rStyle w:val="1237"/>
                <w:rFonts w:ascii="Times New Roman" w:hAnsi="Times New Roman" w:eastAsia="Times New Roman" w:cs="Times New Roman"/>
                <w:b w:val="0"/>
                <w:bCs w:val="0"/>
                <w:sz w:val="24"/>
                <w:szCs w:val="24"/>
              </w:rPr>
              <w:t xml:space="preserve"> </w:t>
            </w:r>
            <w:r>
              <w:rPr>
                <w:rStyle w:val="1237"/>
                <w:rFonts w:ascii="Times New Roman" w:hAnsi="Times New Roman" w:eastAsia="Times New Roman" w:cs="Times New Roman"/>
                <w:b w:val="0"/>
                <w:bCs w:val="0"/>
                <w:sz w:val="24"/>
                <w:szCs w:val="24"/>
                <w14:ligatures w14:val="none"/>
              </w:rPr>
            </w:r>
            <w:r>
              <w:rPr>
                <w:rFonts w:ascii="Times New Roman" w:hAnsi="Times New Roman" w:eastAsia="Times New Roman" w:cs="Times New Roman"/>
                <w:b w:val="0"/>
                <w:bCs w:val="0"/>
                <w:sz w:val="24"/>
                <w:szCs w:val="24"/>
              </w:rPr>
              <w:tab/>
            </w:r>
            <w:r>
              <w:rPr>
                <w:rFonts w:ascii="Times New Roman" w:hAnsi="Times New Roman" w:eastAsia="Times New Roman" w:cs="Times New Roman"/>
                <w:b w:val="0"/>
                <w:bCs w:val="0"/>
                <w:sz w:val="24"/>
                <w:szCs w:val="24"/>
              </w:rPr>
              <w:fldChar w:fldCharType="begin"/>
              <w:instrText xml:space="preserve">PAGEREF _Toc10 \h</w:instrText>
              <w:fldChar w:fldCharType="separate"/>
              <w:t xml:space="preserve">57</w:t>
              <w:fldChar w:fldCharType="end"/>
            </w:r>
          </w:hyperlink>
          <w:r>
            <w:rPr>
              <w:rFonts w:ascii="Times New Roman" w:hAnsi="Times New Roman" w:cs="Times New Roman"/>
              <w:b w:val="0"/>
              <w:bCs w:val="0"/>
              <w:sz w:val="24"/>
              <w:szCs w:val="24"/>
              <w14:ligatures w14:val="none"/>
            </w:rPr>
          </w:r>
          <w:r>
            <w:rPr>
              <w:rFonts w:ascii="Times New Roman" w:hAnsi="Times New Roman" w:cs="Times New Roman"/>
              <w:b w:val="0"/>
              <w:bCs w:val="0"/>
              <w:sz w:val="24"/>
              <w:szCs w:val="24"/>
              <w14:ligatures w14:val="none"/>
            </w:rPr>
          </w:r>
        </w:p>
        <w:p>
          <w:pPr>
            <w:pStyle w:val="1259"/>
            <w:spacing w:after="0" w:afterAutospacing="0" w:line="240" w:lineRule="auto"/>
            <w:tabs>
              <w:tab w:val="right" w:pos="9345" w:leader="dot"/>
            </w:tabs>
            <w:rPr>
              <w:rFonts w:ascii="Times New Roman" w:hAnsi="Times New Roman" w:cs="Times New Roman"/>
              <w:b w:val="0"/>
              <w:bCs w:val="0"/>
              <w:sz w:val="24"/>
              <w:szCs w:val="24"/>
            </w:rPr>
          </w:pPr>
          <w:r/>
          <w:hyperlink w:tooltip="#_Toc11" w:anchor="_Toc11" w:history="1">
            <w:r>
              <w:rPr>
                <w:rStyle w:val="1237"/>
                <w:rFonts w:ascii="Times New Roman" w:hAnsi="Times New Roman" w:eastAsia="Times New Roman" w:cs="Times New Roman"/>
              </w:rPr>
            </w:r>
            <w:r>
              <w:rPr>
                <w:rStyle w:val="1237"/>
                <w:rFonts w:ascii="Times New Roman" w:hAnsi="Times New Roman" w:eastAsia="Times New Roman" w:cs="Times New Roman"/>
                <w:b w:val="0"/>
                <w:bCs w:val="0"/>
                <w:sz w:val="24"/>
                <w:szCs w:val="24"/>
              </w:rPr>
              <w:t xml:space="preserve">РАЗДЕЛ 5.  ПРАВО НА СОЦИАЛЬНОЕ И ПЕНСИОННОЕ ОБЕСПЕЧЕНИЕ</w:t>
            </w:r>
            <w:r>
              <w:rPr>
                <w:rStyle w:val="1237"/>
                <w:rFonts w:ascii="Times New Roman" w:hAnsi="Times New Roman" w:eastAsia="Times New Roman" w:cs="Times New Roman"/>
                <w:b w:val="0"/>
                <w:bCs w:val="0"/>
                <w:sz w:val="24"/>
                <w:szCs w:val="24"/>
              </w:rPr>
            </w:r>
            <w:r>
              <w:rPr>
                <w:rFonts w:ascii="Times New Roman" w:hAnsi="Times New Roman" w:eastAsia="Times New Roman" w:cs="Times New Roman"/>
                <w:b w:val="0"/>
                <w:bCs w:val="0"/>
                <w:sz w:val="24"/>
                <w:szCs w:val="24"/>
              </w:rPr>
              <w:tab/>
            </w:r>
            <w:r>
              <w:rPr>
                <w:rFonts w:ascii="Times New Roman" w:hAnsi="Times New Roman" w:eastAsia="Times New Roman" w:cs="Times New Roman"/>
                <w:b w:val="0"/>
                <w:bCs w:val="0"/>
                <w:sz w:val="24"/>
                <w:szCs w:val="24"/>
              </w:rPr>
              <w:fldChar w:fldCharType="begin"/>
              <w:instrText xml:space="preserve">PAGEREF _Toc11 \h</w:instrText>
              <w:fldChar w:fldCharType="separate"/>
              <w:t xml:space="preserve">58</w:t>
              <w:fldChar w:fldCharType="end"/>
            </w:r>
          </w:hyperlink>
          <w:r>
            <w:rPr>
              <w:rFonts w:ascii="Times New Roman" w:hAnsi="Times New Roman" w:cs="Times New Roman"/>
              <w:b w:val="0"/>
              <w:bCs w:val="0"/>
              <w:sz w:val="24"/>
              <w:szCs w:val="24"/>
            </w:rPr>
          </w:r>
          <w:r>
            <w:rPr>
              <w:rFonts w:ascii="Times New Roman" w:hAnsi="Times New Roman" w:cs="Times New Roman"/>
              <w:b w:val="0"/>
              <w:bCs w:val="0"/>
              <w:sz w:val="24"/>
              <w:szCs w:val="24"/>
            </w:rPr>
          </w:r>
        </w:p>
        <w:p>
          <w:pPr>
            <w:pStyle w:val="1260"/>
            <w:spacing w:after="0" w:afterAutospacing="0" w:line="240" w:lineRule="auto"/>
            <w:tabs>
              <w:tab w:val="right" w:pos="9345" w:leader="dot"/>
            </w:tabs>
            <w:rPr>
              <w:rFonts w:ascii="Times New Roman" w:hAnsi="Times New Roman" w:cs="Times New Roman"/>
              <w:b w:val="0"/>
              <w:bCs w:val="0"/>
              <w:sz w:val="24"/>
              <w:szCs w:val="24"/>
            </w:rPr>
          </w:pPr>
          <w:r/>
          <w:hyperlink w:tooltip="#_Toc12" w:anchor="_Toc12" w:history="1">
            <w:r>
              <w:rPr>
                <w:rStyle w:val="1237"/>
                <w:rFonts w:ascii="Times New Roman" w:hAnsi="Times New Roman" w:eastAsia="Times New Roman" w:cs="Times New Roman"/>
              </w:rPr>
            </w:r>
            <w:r>
              <w:rPr>
                <w:rStyle w:val="1237"/>
                <w:rFonts w:ascii="Times New Roman" w:hAnsi="Times New Roman" w:eastAsia="Times New Roman" w:cs="Times New Roman"/>
                <w:b w:val="0"/>
                <w:bCs w:val="0"/>
                <w:sz w:val="24"/>
                <w:szCs w:val="24"/>
              </w:rPr>
              <w:t xml:space="preserve">5.1. Право на социальное обеспечение. Предоставление мер социальной поддержки</w:t>
            </w:r>
            <w:r>
              <w:rPr>
                <w:rStyle w:val="1237"/>
                <w:rFonts w:ascii="Times New Roman" w:hAnsi="Times New Roman" w:eastAsia="Times New Roman" w:cs="Times New Roman"/>
                <w:b w:val="0"/>
                <w:bCs w:val="0"/>
                <w:sz w:val="24"/>
                <w:szCs w:val="24"/>
              </w:rPr>
            </w:r>
            <w:r>
              <w:rPr>
                <w:rFonts w:ascii="Times New Roman" w:hAnsi="Times New Roman" w:eastAsia="Times New Roman" w:cs="Times New Roman"/>
                <w:b w:val="0"/>
                <w:bCs w:val="0"/>
                <w:sz w:val="24"/>
                <w:szCs w:val="24"/>
              </w:rPr>
              <w:tab/>
            </w:r>
            <w:r>
              <w:rPr>
                <w:rFonts w:ascii="Times New Roman" w:hAnsi="Times New Roman" w:eastAsia="Times New Roman" w:cs="Times New Roman"/>
                <w:b w:val="0"/>
                <w:bCs w:val="0"/>
                <w:sz w:val="24"/>
                <w:szCs w:val="24"/>
              </w:rPr>
              <w:fldChar w:fldCharType="begin"/>
              <w:instrText xml:space="preserve">PAGEREF _Toc12 \h</w:instrText>
              <w:fldChar w:fldCharType="separate"/>
              <w:t xml:space="preserve">58</w:t>
              <w:fldChar w:fldCharType="end"/>
            </w:r>
          </w:hyperlink>
          <w:r>
            <w:rPr>
              <w:rFonts w:ascii="Times New Roman" w:hAnsi="Times New Roman" w:cs="Times New Roman"/>
              <w:b w:val="0"/>
              <w:bCs w:val="0"/>
              <w:sz w:val="24"/>
              <w:szCs w:val="24"/>
            </w:rPr>
          </w:r>
          <w:r>
            <w:rPr>
              <w:rFonts w:ascii="Times New Roman" w:hAnsi="Times New Roman" w:cs="Times New Roman"/>
              <w:b w:val="0"/>
              <w:bCs w:val="0"/>
              <w:sz w:val="24"/>
              <w:szCs w:val="24"/>
            </w:rPr>
          </w:r>
        </w:p>
        <w:p>
          <w:pPr>
            <w:pStyle w:val="1260"/>
            <w:spacing w:after="0" w:afterAutospacing="0" w:line="240" w:lineRule="auto"/>
            <w:tabs>
              <w:tab w:val="right" w:pos="9345" w:leader="dot"/>
            </w:tabs>
            <w:rPr>
              <w:rFonts w:ascii="Times New Roman" w:hAnsi="Times New Roman" w:cs="Times New Roman"/>
              <w:b w:val="0"/>
              <w:bCs w:val="0"/>
              <w:sz w:val="24"/>
              <w:szCs w:val="24"/>
              <w:highlight w:val="white"/>
            </w:rPr>
          </w:pPr>
          <w:r/>
          <w:hyperlink w:tooltip="#_Toc13" w:anchor="_Toc13" w:history="1">
            <w:r>
              <w:rPr>
                <w:rStyle w:val="1237"/>
                <w:rFonts w:ascii="Times New Roman" w:hAnsi="Times New Roman" w:eastAsia="Times New Roman" w:cs="Times New Roman"/>
              </w:rPr>
            </w:r>
            <w:r>
              <w:rPr>
                <w:rStyle w:val="1237"/>
                <w:rFonts w:ascii="Times New Roman" w:hAnsi="Times New Roman" w:eastAsia="Times New Roman" w:cs="Times New Roman"/>
                <w:b w:val="0"/>
                <w:bCs w:val="0"/>
                <w:sz w:val="24"/>
                <w:szCs w:val="24"/>
                <w:highlight w:val="white"/>
              </w:rPr>
              <w:t xml:space="preserve">5</w:t>
            </w:r>
            <w:r>
              <w:rPr>
                <w:rStyle w:val="1237"/>
                <w:rFonts w:ascii="Times New Roman" w:hAnsi="Times New Roman" w:eastAsia="Times New Roman" w:cs="Times New Roman"/>
                <w:b w:val="0"/>
                <w:bCs w:val="0"/>
                <w:sz w:val="24"/>
                <w:szCs w:val="24"/>
                <w:highlight w:val="white"/>
              </w:rPr>
              <w:t xml:space="preserve">.2. Содействие в пенсионном обеспечении граждан</w:t>
            </w:r>
            <w:r>
              <w:rPr>
                <w:rStyle w:val="1237"/>
                <w:rFonts w:ascii="Times New Roman" w:hAnsi="Times New Roman" w:eastAsia="Times New Roman" w:cs="Times New Roman"/>
                <w:b w:val="0"/>
                <w:bCs w:val="0"/>
                <w:sz w:val="24"/>
                <w:szCs w:val="24"/>
                <w:highlight w:val="white"/>
              </w:rPr>
            </w:r>
            <w:r>
              <w:rPr>
                <w:rFonts w:ascii="Times New Roman" w:hAnsi="Times New Roman" w:eastAsia="Times New Roman" w:cs="Times New Roman"/>
                <w:b w:val="0"/>
                <w:bCs w:val="0"/>
                <w:sz w:val="24"/>
                <w:szCs w:val="24"/>
              </w:rPr>
              <w:tab/>
            </w:r>
            <w:r>
              <w:rPr>
                <w:rFonts w:ascii="Times New Roman" w:hAnsi="Times New Roman" w:eastAsia="Times New Roman" w:cs="Times New Roman"/>
                <w:b w:val="0"/>
                <w:bCs w:val="0"/>
                <w:sz w:val="24"/>
                <w:szCs w:val="24"/>
              </w:rPr>
              <w:fldChar w:fldCharType="begin"/>
              <w:instrText xml:space="preserve">PAGEREF _Toc13 \h</w:instrText>
              <w:fldChar w:fldCharType="separate"/>
              <w:t xml:space="preserve">61</w:t>
              <w:fldChar w:fldCharType="end"/>
            </w:r>
          </w:hyperlink>
          <w:r>
            <w:rPr>
              <w:rFonts w:ascii="Times New Roman" w:hAnsi="Times New Roman" w:cs="Times New Roman"/>
              <w:b w:val="0"/>
              <w:bCs w:val="0"/>
              <w:sz w:val="24"/>
              <w:szCs w:val="24"/>
              <w:highlight w:val="white"/>
            </w:rPr>
          </w:r>
          <w:r>
            <w:rPr>
              <w:rFonts w:ascii="Times New Roman" w:hAnsi="Times New Roman" w:cs="Times New Roman"/>
              <w:b w:val="0"/>
              <w:bCs w:val="0"/>
              <w:sz w:val="24"/>
              <w:szCs w:val="24"/>
              <w:highlight w:val="white"/>
            </w:rPr>
          </w:r>
        </w:p>
        <w:p>
          <w:pPr>
            <w:pStyle w:val="1260"/>
            <w:spacing w:after="0" w:afterAutospacing="0" w:line="240" w:lineRule="auto"/>
            <w:tabs>
              <w:tab w:val="right" w:pos="9345" w:leader="dot"/>
            </w:tabs>
            <w:rPr>
              <w:rFonts w:ascii="Times New Roman" w:hAnsi="Times New Roman" w:cs="Times New Roman"/>
              <w:b w:val="0"/>
              <w:bCs w:val="0"/>
              <w:sz w:val="24"/>
              <w:szCs w:val="24"/>
            </w:rPr>
          </w:pPr>
          <w:r/>
          <w:hyperlink w:tooltip="#_Toc14" w:anchor="_Toc14" w:history="1">
            <w:r>
              <w:rPr>
                <w:rStyle w:val="1237"/>
                <w:rFonts w:ascii="Times New Roman" w:hAnsi="Times New Roman" w:eastAsia="Times New Roman" w:cs="Times New Roman"/>
              </w:rPr>
            </w:r>
            <w:r>
              <w:rPr>
                <w:rStyle w:val="1237"/>
                <w:rFonts w:ascii="Times New Roman" w:hAnsi="Times New Roman" w:eastAsia="Times New Roman" w:cs="Times New Roman"/>
                <w:b w:val="0"/>
                <w:bCs w:val="0"/>
                <w:sz w:val="24"/>
                <w:szCs w:val="24"/>
              </w:rPr>
              <w:t xml:space="preserve">Уполномоченный рекомендует</w:t>
            </w:r>
            <w:r>
              <w:rPr>
                <w:rStyle w:val="1237"/>
                <w:rFonts w:ascii="Times New Roman" w:hAnsi="Times New Roman" w:eastAsia="Times New Roman" w:cs="Times New Roman"/>
                <w:b w:val="0"/>
                <w:bCs w:val="0"/>
                <w:sz w:val="24"/>
                <w:szCs w:val="24"/>
              </w:rPr>
            </w:r>
            <w:r>
              <w:rPr>
                <w:rFonts w:ascii="Times New Roman" w:hAnsi="Times New Roman" w:eastAsia="Times New Roman" w:cs="Times New Roman"/>
                <w:b w:val="0"/>
                <w:bCs w:val="0"/>
                <w:sz w:val="24"/>
                <w:szCs w:val="24"/>
              </w:rPr>
              <w:tab/>
            </w:r>
            <w:r>
              <w:rPr>
                <w:rFonts w:ascii="Times New Roman" w:hAnsi="Times New Roman" w:eastAsia="Times New Roman" w:cs="Times New Roman"/>
                <w:b w:val="0"/>
                <w:bCs w:val="0"/>
                <w:sz w:val="24"/>
                <w:szCs w:val="24"/>
              </w:rPr>
              <w:fldChar w:fldCharType="begin"/>
              <w:instrText xml:space="preserve">PAGEREF _Toc14 \h</w:instrText>
              <w:fldChar w:fldCharType="separate"/>
              <w:t xml:space="preserve">63</w:t>
              <w:fldChar w:fldCharType="end"/>
            </w:r>
          </w:hyperlink>
          <w:r>
            <w:rPr>
              <w:rFonts w:ascii="Times New Roman" w:hAnsi="Times New Roman" w:cs="Times New Roman"/>
              <w:b w:val="0"/>
              <w:bCs w:val="0"/>
              <w:sz w:val="24"/>
              <w:szCs w:val="24"/>
            </w:rPr>
          </w:r>
          <w:r>
            <w:rPr>
              <w:rFonts w:ascii="Times New Roman" w:hAnsi="Times New Roman" w:cs="Times New Roman"/>
              <w:b w:val="0"/>
              <w:bCs w:val="0"/>
              <w:sz w:val="24"/>
              <w:szCs w:val="24"/>
            </w:rPr>
          </w:r>
        </w:p>
        <w:p>
          <w:pPr>
            <w:pStyle w:val="1259"/>
            <w:spacing w:after="0" w:afterAutospacing="0" w:line="240" w:lineRule="auto"/>
            <w:tabs>
              <w:tab w:val="right" w:pos="9345" w:leader="dot"/>
            </w:tabs>
            <w:rPr>
              <w:rFonts w:ascii="Times New Roman" w:hAnsi="Times New Roman" w:cs="Times New Roman"/>
              <w:b w:val="0"/>
              <w:bCs w:val="0"/>
              <w:sz w:val="24"/>
              <w:szCs w:val="24"/>
            </w:rPr>
          </w:pPr>
          <w:r/>
          <w:hyperlink w:tooltip="#_Toc15" w:anchor="_Toc15" w:history="1">
            <w:r>
              <w:rPr>
                <w:rStyle w:val="1237"/>
                <w:rFonts w:ascii="Times New Roman" w:hAnsi="Times New Roman" w:eastAsia="Times New Roman" w:cs="Times New Roman"/>
              </w:rPr>
            </w:r>
            <w:r>
              <w:rPr>
                <w:rStyle w:val="1237"/>
                <w:rFonts w:ascii="Times New Roman" w:hAnsi="Times New Roman" w:eastAsia="Times New Roman" w:cs="Times New Roman"/>
                <w:b w:val="0"/>
                <w:bCs w:val="0"/>
                <w:sz w:val="24"/>
                <w:szCs w:val="24"/>
              </w:rPr>
              <w:t xml:space="preserve">РАЗДЕЛ 6. СОБЛЮДЕНИЕ ПРАВ ГРАЖДАН, ТРЕБУЮЩИХ СПЕЦИАЛЬНОЙ ЗАЩИТЫ</w:t>
            </w:r>
            <w:r>
              <w:rPr>
                <w:rStyle w:val="1237"/>
                <w:rFonts w:ascii="Times New Roman" w:hAnsi="Times New Roman" w:eastAsia="Times New Roman" w:cs="Times New Roman"/>
                <w:b w:val="0"/>
                <w:bCs w:val="0"/>
                <w:sz w:val="24"/>
                <w:szCs w:val="24"/>
              </w:rPr>
            </w:r>
            <w:r>
              <w:rPr>
                <w:rFonts w:ascii="Times New Roman" w:hAnsi="Times New Roman" w:eastAsia="Times New Roman" w:cs="Times New Roman"/>
                <w:b w:val="0"/>
                <w:bCs w:val="0"/>
                <w:sz w:val="24"/>
                <w:szCs w:val="24"/>
              </w:rPr>
              <w:tab/>
            </w:r>
            <w:r>
              <w:rPr>
                <w:rFonts w:ascii="Times New Roman" w:hAnsi="Times New Roman" w:eastAsia="Times New Roman" w:cs="Times New Roman"/>
                <w:b w:val="0"/>
                <w:bCs w:val="0"/>
                <w:sz w:val="24"/>
                <w:szCs w:val="24"/>
              </w:rPr>
              <w:fldChar w:fldCharType="begin"/>
              <w:instrText xml:space="preserve">PAGEREF _Toc15 \h</w:instrText>
              <w:fldChar w:fldCharType="separate"/>
              <w:t xml:space="preserve">63</w:t>
              <w:fldChar w:fldCharType="end"/>
            </w:r>
          </w:hyperlink>
          <w:r>
            <w:rPr>
              <w:rFonts w:ascii="Times New Roman" w:hAnsi="Times New Roman" w:cs="Times New Roman"/>
              <w:b w:val="0"/>
              <w:bCs w:val="0"/>
              <w:sz w:val="24"/>
              <w:szCs w:val="24"/>
            </w:rPr>
          </w:r>
          <w:r>
            <w:rPr>
              <w:rFonts w:ascii="Times New Roman" w:hAnsi="Times New Roman" w:cs="Times New Roman"/>
              <w:b w:val="0"/>
              <w:bCs w:val="0"/>
              <w:sz w:val="24"/>
              <w:szCs w:val="24"/>
            </w:rPr>
          </w:r>
        </w:p>
        <w:p>
          <w:pPr>
            <w:pStyle w:val="1260"/>
            <w:spacing w:after="0" w:afterAutospacing="0" w:line="240" w:lineRule="auto"/>
            <w:tabs>
              <w:tab w:val="right" w:pos="9345" w:leader="dot"/>
            </w:tabs>
            <w:rPr>
              <w:rFonts w:ascii="Times New Roman" w:hAnsi="Times New Roman" w:cs="Times New Roman"/>
              <w:b w:val="0"/>
              <w:bCs w:val="0"/>
              <w:sz w:val="24"/>
              <w:szCs w:val="24"/>
            </w:rPr>
          </w:pPr>
          <w:r/>
          <w:hyperlink w:tooltip="#_Toc16" w:anchor="_Toc16" w:history="1">
            <w:r>
              <w:rPr>
                <w:rStyle w:val="1237"/>
                <w:rFonts w:ascii="Times New Roman" w:hAnsi="Times New Roman" w:eastAsia="Times New Roman" w:cs="Times New Roman"/>
              </w:rPr>
            </w:r>
            <w:r>
              <w:rPr>
                <w:rStyle w:val="1237"/>
                <w:rFonts w:ascii="Times New Roman" w:hAnsi="Times New Roman" w:eastAsia="Times New Roman" w:cs="Times New Roman"/>
                <w:b w:val="0"/>
                <w:bCs w:val="0"/>
                <w:sz w:val="24"/>
                <w:szCs w:val="24"/>
              </w:rPr>
              <w:t xml:space="preserve">6.1. Реализация прав многодетных семей</w:t>
            </w:r>
            <w:r>
              <w:rPr>
                <w:rStyle w:val="1237"/>
                <w:rFonts w:ascii="Times New Roman" w:hAnsi="Times New Roman" w:eastAsia="Times New Roman" w:cs="Times New Roman"/>
                <w:b w:val="0"/>
                <w:bCs w:val="0"/>
                <w:sz w:val="24"/>
                <w:szCs w:val="24"/>
              </w:rPr>
            </w:r>
            <w:r>
              <w:rPr>
                <w:rFonts w:ascii="Times New Roman" w:hAnsi="Times New Roman" w:eastAsia="Times New Roman" w:cs="Times New Roman"/>
                <w:b w:val="0"/>
                <w:bCs w:val="0"/>
                <w:sz w:val="24"/>
                <w:szCs w:val="24"/>
              </w:rPr>
              <w:tab/>
            </w:r>
            <w:r>
              <w:rPr>
                <w:rFonts w:ascii="Times New Roman" w:hAnsi="Times New Roman" w:eastAsia="Times New Roman" w:cs="Times New Roman"/>
                <w:b w:val="0"/>
                <w:bCs w:val="0"/>
                <w:sz w:val="24"/>
                <w:szCs w:val="24"/>
              </w:rPr>
              <w:fldChar w:fldCharType="begin"/>
              <w:instrText xml:space="preserve">PAGEREF _Toc16 \h</w:instrText>
              <w:fldChar w:fldCharType="separate"/>
              <w:t xml:space="preserve">63</w:t>
              <w:fldChar w:fldCharType="end"/>
            </w:r>
          </w:hyperlink>
          <w:r>
            <w:rPr>
              <w:rFonts w:ascii="Times New Roman" w:hAnsi="Times New Roman" w:cs="Times New Roman"/>
              <w:b w:val="0"/>
              <w:bCs w:val="0"/>
              <w:sz w:val="24"/>
              <w:szCs w:val="24"/>
            </w:rPr>
          </w:r>
          <w:r>
            <w:rPr>
              <w:rFonts w:ascii="Times New Roman" w:hAnsi="Times New Roman" w:cs="Times New Roman"/>
              <w:b w:val="0"/>
              <w:bCs w:val="0"/>
              <w:sz w:val="24"/>
              <w:szCs w:val="24"/>
            </w:rPr>
          </w:r>
        </w:p>
        <w:p>
          <w:pPr>
            <w:pStyle w:val="1259"/>
            <w:ind w:left="0" w:right="0" w:firstLine="142"/>
            <w:spacing w:after="0" w:afterAutospacing="0" w:line="240" w:lineRule="auto"/>
            <w:tabs>
              <w:tab w:val="right" w:pos="9345" w:leader="dot"/>
            </w:tabs>
            <w:rPr>
              <w:rFonts w:ascii="Times New Roman" w:hAnsi="Times New Roman" w:cs="Times New Roman"/>
              <w:b w:val="0"/>
              <w:bCs w:val="0"/>
              <w:sz w:val="24"/>
              <w:szCs w:val="24"/>
            </w:rPr>
          </w:pPr>
          <w:r>
            <w:t xml:space="preserve">  </w:t>
          </w:r>
          <w:hyperlink w:tooltip="#_Toc17" w:anchor="_Toc17" w:history="1">
            <w:r>
              <w:rPr>
                <w:rStyle w:val="1237"/>
                <w:rFonts w:ascii="Times New Roman" w:hAnsi="Times New Roman" w:eastAsia="Times New Roman" w:cs="Times New Roman"/>
              </w:rPr>
            </w:r>
            <w:r>
              <w:rPr>
                <w:rStyle w:val="1237"/>
                <w:rFonts w:ascii="Times New Roman" w:hAnsi="Times New Roman" w:eastAsia="Times New Roman" w:cs="Times New Roman"/>
                <w:b w:val="0"/>
                <w:bCs w:val="0"/>
                <w:sz w:val="24"/>
                <w:szCs w:val="24"/>
              </w:rPr>
              <w:t xml:space="preserve">6.2. Защита прав эвакуированных граждан</w:t>
            </w:r>
            <w:r>
              <w:rPr>
                <w:rStyle w:val="1237"/>
                <w:rFonts w:ascii="Times New Roman" w:hAnsi="Times New Roman" w:eastAsia="Times New Roman" w:cs="Times New Roman"/>
                <w:b w:val="0"/>
                <w:bCs w:val="0"/>
                <w:sz w:val="24"/>
                <w:szCs w:val="24"/>
              </w:rPr>
            </w:r>
            <w:r>
              <w:rPr>
                <w:rFonts w:ascii="Times New Roman" w:hAnsi="Times New Roman" w:eastAsia="Times New Roman" w:cs="Times New Roman"/>
                <w:b w:val="0"/>
                <w:bCs w:val="0"/>
                <w:sz w:val="24"/>
                <w:szCs w:val="24"/>
              </w:rPr>
              <w:tab/>
            </w:r>
            <w:r>
              <w:rPr>
                <w:rFonts w:ascii="Times New Roman" w:hAnsi="Times New Roman" w:eastAsia="Times New Roman" w:cs="Times New Roman"/>
                <w:b w:val="0"/>
                <w:bCs w:val="0"/>
                <w:sz w:val="24"/>
                <w:szCs w:val="24"/>
              </w:rPr>
              <w:fldChar w:fldCharType="begin"/>
              <w:instrText xml:space="preserve">PAGEREF _Toc17 \h</w:instrText>
              <w:fldChar w:fldCharType="separate"/>
              <w:t xml:space="preserve">67</w:t>
              <w:fldChar w:fldCharType="end"/>
            </w:r>
          </w:hyperlink>
          <w:r>
            <w:rPr>
              <w:rFonts w:ascii="Times New Roman" w:hAnsi="Times New Roman" w:cs="Times New Roman"/>
              <w:b w:val="0"/>
              <w:bCs w:val="0"/>
              <w:sz w:val="24"/>
              <w:szCs w:val="24"/>
            </w:rPr>
          </w:r>
          <w:r>
            <w:rPr>
              <w:rFonts w:ascii="Times New Roman" w:hAnsi="Times New Roman" w:cs="Times New Roman"/>
              <w:b w:val="0"/>
              <w:bCs w:val="0"/>
              <w:sz w:val="24"/>
              <w:szCs w:val="24"/>
            </w:rPr>
          </w:r>
        </w:p>
        <w:p>
          <w:pPr>
            <w:pStyle w:val="1259"/>
            <w:ind w:left="0" w:right="0" w:firstLine="142"/>
            <w:spacing w:after="0" w:afterAutospacing="0" w:line="240" w:lineRule="auto"/>
            <w:tabs>
              <w:tab w:val="right" w:pos="9345" w:leader="dot"/>
            </w:tabs>
            <w:rPr>
              <w:rFonts w:ascii="Times New Roman" w:hAnsi="Times New Roman" w:cs="Times New Roman"/>
              <w:b w:val="0"/>
              <w:bCs w:val="0"/>
              <w:sz w:val="24"/>
              <w:szCs w:val="24"/>
            </w:rPr>
          </w:pPr>
          <w:r/>
          <w:hyperlink w:tooltip="#_Toc18" w:anchor="_Toc18" w:history="1">
            <w:r>
              <w:rPr>
                <w:rStyle w:val="1237"/>
                <w:rFonts w:ascii="Times New Roman" w:hAnsi="Times New Roman" w:eastAsia="Times New Roman" w:cs="Times New Roman"/>
              </w:rPr>
            </w:r>
            <w:r>
              <w:rPr>
                <w:rStyle w:val="1237"/>
                <w:rFonts w:ascii="Times New Roman" w:hAnsi="Times New Roman" w:eastAsia="Times New Roman" w:cs="Times New Roman"/>
                <w:b w:val="0"/>
                <w:bCs w:val="0"/>
                <w:sz w:val="24"/>
                <w:szCs w:val="24"/>
              </w:rPr>
              <w:t xml:space="preserve"> Уполномоченный рекомендует</w:t>
            </w:r>
            <w:r>
              <w:rPr>
                <w:rStyle w:val="1237"/>
                <w:rFonts w:ascii="Times New Roman" w:hAnsi="Times New Roman" w:eastAsia="Times New Roman" w:cs="Times New Roman"/>
                <w:b w:val="0"/>
                <w:bCs w:val="0"/>
                <w:sz w:val="24"/>
                <w:szCs w:val="24"/>
              </w:rPr>
            </w:r>
            <w:r>
              <w:rPr>
                <w:rFonts w:ascii="Times New Roman" w:hAnsi="Times New Roman" w:eastAsia="Times New Roman" w:cs="Times New Roman"/>
                <w:b w:val="0"/>
                <w:bCs w:val="0"/>
                <w:sz w:val="24"/>
                <w:szCs w:val="24"/>
              </w:rPr>
              <w:tab/>
            </w:r>
            <w:r>
              <w:rPr>
                <w:rFonts w:ascii="Times New Roman" w:hAnsi="Times New Roman" w:eastAsia="Times New Roman" w:cs="Times New Roman"/>
                <w:b w:val="0"/>
                <w:bCs w:val="0"/>
                <w:sz w:val="24"/>
                <w:szCs w:val="24"/>
              </w:rPr>
              <w:fldChar w:fldCharType="begin"/>
              <w:instrText xml:space="preserve">PAGEREF _Toc18 \h</w:instrText>
              <w:fldChar w:fldCharType="separate"/>
              <w:t xml:space="preserve">71</w:t>
              <w:fldChar w:fldCharType="end"/>
            </w:r>
          </w:hyperlink>
          <w:r>
            <w:rPr>
              <w:rFonts w:ascii="Times New Roman" w:hAnsi="Times New Roman" w:cs="Times New Roman"/>
              <w:b w:val="0"/>
              <w:bCs w:val="0"/>
              <w:sz w:val="24"/>
              <w:szCs w:val="24"/>
            </w:rPr>
          </w:r>
          <w:r>
            <w:rPr>
              <w:rFonts w:ascii="Times New Roman" w:hAnsi="Times New Roman" w:cs="Times New Roman"/>
              <w:b w:val="0"/>
              <w:bCs w:val="0"/>
              <w:sz w:val="24"/>
              <w:szCs w:val="24"/>
            </w:rPr>
          </w:r>
        </w:p>
        <w:p>
          <w:pPr>
            <w:pStyle w:val="1260"/>
            <w:spacing w:after="0" w:afterAutospacing="0" w:line="240" w:lineRule="auto"/>
            <w:tabs>
              <w:tab w:val="right" w:pos="9345" w:leader="dot"/>
            </w:tabs>
            <w:rPr>
              <w:rFonts w:ascii="Times New Roman" w:hAnsi="Times New Roman" w:cs="Times New Roman"/>
              <w:b w:val="0"/>
              <w:bCs w:val="0"/>
              <w:sz w:val="24"/>
              <w:szCs w:val="24"/>
            </w:rPr>
          </w:pPr>
          <w:r/>
          <w:hyperlink w:tooltip="#_Toc19" w:anchor="_Toc19" w:history="1">
            <w:r>
              <w:rPr>
                <w:rStyle w:val="1237"/>
                <w:rFonts w:ascii="Times New Roman" w:hAnsi="Times New Roman" w:eastAsia="Times New Roman" w:cs="Times New Roman"/>
              </w:rPr>
            </w:r>
            <w:r>
              <w:rPr>
                <w:rStyle w:val="1237"/>
                <w:rFonts w:ascii="Times New Roman" w:hAnsi="Times New Roman" w:eastAsia="Times New Roman" w:cs="Times New Roman"/>
                <w:b w:val="0"/>
                <w:bCs w:val="0"/>
                <w:sz w:val="24"/>
                <w:szCs w:val="24"/>
              </w:rPr>
              <w:t xml:space="preserve">6.3. Соблюдение прав лиц с ограниченными возможностями здоровья</w:t>
            </w:r>
            <w:r>
              <w:rPr>
                <w:rStyle w:val="1237"/>
                <w:rFonts w:ascii="Times New Roman" w:hAnsi="Times New Roman" w:eastAsia="Times New Roman" w:cs="Times New Roman"/>
                <w:b w:val="0"/>
                <w:bCs w:val="0"/>
                <w:sz w:val="24"/>
                <w:szCs w:val="24"/>
              </w:rPr>
            </w:r>
            <w:r>
              <w:rPr>
                <w:rFonts w:ascii="Times New Roman" w:hAnsi="Times New Roman" w:eastAsia="Times New Roman" w:cs="Times New Roman"/>
                <w:b w:val="0"/>
                <w:bCs w:val="0"/>
                <w:sz w:val="24"/>
                <w:szCs w:val="24"/>
              </w:rPr>
              <w:tab/>
            </w:r>
            <w:r>
              <w:rPr>
                <w:rFonts w:ascii="Times New Roman" w:hAnsi="Times New Roman" w:eastAsia="Times New Roman" w:cs="Times New Roman"/>
                <w:b w:val="0"/>
                <w:bCs w:val="0"/>
                <w:sz w:val="24"/>
                <w:szCs w:val="24"/>
              </w:rPr>
              <w:fldChar w:fldCharType="begin"/>
              <w:instrText xml:space="preserve">PAGEREF _Toc19 \h</w:instrText>
              <w:fldChar w:fldCharType="separate"/>
              <w:t xml:space="preserve">72</w:t>
              <w:fldChar w:fldCharType="end"/>
            </w:r>
          </w:hyperlink>
          <w:r>
            <w:rPr>
              <w:rFonts w:ascii="Times New Roman" w:hAnsi="Times New Roman" w:cs="Times New Roman"/>
              <w:b w:val="0"/>
              <w:bCs w:val="0"/>
              <w:sz w:val="24"/>
              <w:szCs w:val="24"/>
            </w:rPr>
          </w:r>
          <w:r>
            <w:rPr>
              <w:rFonts w:ascii="Times New Roman" w:hAnsi="Times New Roman" w:cs="Times New Roman"/>
              <w:b w:val="0"/>
              <w:bCs w:val="0"/>
              <w:sz w:val="24"/>
              <w:szCs w:val="24"/>
            </w:rPr>
          </w:r>
        </w:p>
        <w:p>
          <w:pPr>
            <w:pStyle w:val="1260"/>
            <w:spacing w:after="0" w:afterAutospacing="0" w:line="240" w:lineRule="auto"/>
            <w:tabs>
              <w:tab w:val="right" w:pos="9345" w:leader="dot"/>
            </w:tabs>
            <w:rPr>
              <w:rFonts w:ascii="Times New Roman" w:hAnsi="Times New Roman" w:cs="Times New Roman"/>
              <w:b w:val="0"/>
              <w:bCs w:val="0"/>
              <w:sz w:val="24"/>
              <w:szCs w:val="24"/>
            </w:rPr>
          </w:pPr>
          <w:r/>
          <w:hyperlink w:tooltip="#_Toc20" w:anchor="_Toc20" w:history="1">
            <w:r>
              <w:rPr>
                <w:rStyle w:val="1237"/>
                <w:rFonts w:ascii="Times New Roman" w:hAnsi="Times New Roman" w:eastAsia="Times New Roman" w:cs="Times New Roman"/>
              </w:rPr>
            </w:r>
            <w:r>
              <w:rPr>
                <w:rStyle w:val="1237"/>
                <w:rFonts w:ascii="Times New Roman" w:hAnsi="Times New Roman" w:eastAsia="Times New Roman" w:cs="Times New Roman"/>
                <w:b w:val="0"/>
                <w:bCs w:val="0"/>
                <w:sz w:val="24"/>
                <w:szCs w:val="24"/>
              </w:rPr>
              <w:t xml:space="preserve">6.4. Проблема жизнеустройства лиц без определенного места жительства</w:t>
            </w:r>
            <w:r>
              <w:rPr>
                <w:rStyle w:val="1237"/>
                <w:rFonts w:ascii="Times New Roman" w:hAnsi="Times New Roman" w:eastAsia="Times New Roman" w:cs="Times New Roman"/>
                <w:b w:val="0"/>
                <w:bCs w:val="0"/>
                <w:sz w:val="24"/>
                <w:szCs w:val="24"/>
              </w:rPr>
            </w:r>
            <w:r>
              <w:rPr>
                <w:rFonts w:ascii="Times New Roman" w:hAnsi="Times New Roman" w:eastAsia="Times New Roman" w:cs="Times New Roman"/>
                <w:b w:val="0"/>
                <w:bCs w:val="0"/>
                <w:sz w:val="24"/>
                <w:szCs w:val="24"/>
              </w:rPr>
              <w:tab/>
            </w:r>
            <w:r>
              <w:rPr>
                <w:rFonts w:ascii="Times New Roman" w:hAnsi="Times New Roman" w:eastAsia="Times New Roman" w:cs="Times New Roman"/>
                <w:b w:val="0"/>
                <w:bCs w:val="0"/>
                <w:sz w:val="24"/>
                <w:szCs w:val="24"/>
              </w:rPr>
              <w:fldChar w:fldCharType="begin"/>
              <w:instrText xml:space="preserve">PAGEREF _Toc20 \h</w:instrText>
              <w:fldChar w:fldCharType="separate"/>
              <w:t xml:space="preserve">86</w:t>
              <w:fldChar w:fldCharType="end"/>
            </w:r>
          </w:hyperlink>
          <w:r>
            <w:rPr>
              <w:rFonts w:ascii="Times New Roman" w:hAnsi="Times New Roman" w:cs="Times New Roman"/>
              <w:b w:val="0"/>
              <w:bCs w:val="0"/>
              <w:sz w:val="24"/>
              <w:szCs w:val="24"/>
            </w:rPr>
          </w:r>
          <w:r>
            <w:rPr>
              <w:rFonts w:ascii="Times New Roman" w:hAnsi="Times New Roman" w:cs="Times New Roman"/>
              <w:b w:val="0"/>
              <w:bCs w:val="0"/>
              <w:sz w:val="24"/>
              <w:szCs w:val="24"/>
            </w:rPr>
          </w:r>
        </w:p>
        <w:p>
          <w:pPr>
            <w:pStyle w:val="1260"/>
            <w:spacing w:after="0" w:afterAutospacing="0" w:line="240" w:lineRule="auto"/>
            <w:tabs>
              <w:tab w:val="right" w:pos="9345" w:leader="dot"/>
            </w:tabs>
            <w:rPr>
              <w:rFonts w:ascii="Times New Roman" w:hAnsi="Times New Roman" w:cs="Times New Roman"/>
              <w:b w:val="0"/>
              <w:bCs w:val="0"/>
              <w:sz w:val="24"/>
              <w:szCs w:val="24"/>
            </w:rPr>
          </w:pPr>
          <w:r/>
          <w:hyperlink w:tooltip="#_Toc21" w:anchor="_Toc21" w:history="1">
            <w:r>
              <w:rPr>
                <w:rStyle w:val="1237"/>
                <w:rFonts w:ascii="Times New Roman" w:hAnsi="Times New Roman" w:eastAsia="Times New Roman" w:cs="Times New Roman"/>
              </w:rPr>
            </w:r>
            <w:r>
              <w:rPr>
                <w:rStyle w:val="1237"/>
                <w:rFonts w:ascii="Times New Roman" w:hAnsi="Times New Roman" w:eastAsia="Times New Roman" w:cs="Times New Roman"/>
                <w:b w:val="0"/>
                <w:bCs w:val="0"/>
                <w:sz w:val="24"/>
                <w:szCs w:val="24"/>
              </w:rPr>
              <w:t xml:space="preserve">Уполномоченный рекомендует</w:t>
            </w:r>
            <w:r>
              <w:rPr>
                <w:rStyle w:val="1237"/>
                <w:rFonts w:ascii="Times New Roman" w:hAnsi="Times New Roman" w:eastAsia="Times New Roman" w:cs="Times New Roman"/>
                <w:b w:val="0"/>
                <w:bCs w:val="0"/>
                <w:sz w:val="24"/>
                <w:szCs w:val="24"/>
              </w:rPr>
            </w:r>
            <w:r>
              <w:rPr>
                <w:rFonts w:ascii="Times New Roman" w:hAnsi="Times New Roman" w:eastAsia="Times New Roman" w:cs="Times New Roman"/>
                <w:b w:val="0"/>
                <w:bCs w:val="0"/>
                <w:sz w:val="24"/>
                <w:szCs w:val="24"/>
              </w:rPr>
              <w:tab/>
            </w:r>
            <w:r>
              <w:rPr>
                <w:rFonts w:ascii="Times New Roman" w:hAnsi="Times New Roman" w:eastAsia="Times New Roman" w:cs="Times New Roman"/>
                <w:b w:val="0"/>
                <w:bCs w:val="0"/>
                <w:sz w:val="24"/>
                <w:szCs w:val="24"/>
              </w:rPr>
              <w:fldChar w:fldCharType="begin"/>
              <w:instrText xml:space="preserve">PAGEREF _Toc21 \h</w:instrText>
              <w:fldChar w:fldCharType="separate"/>
              <w:t xml:space="preserve">89</w:t>
              <w:fldChar w:fldCharType="end"/>
            </w:r>
          </w:hyperlink>
          <w:r>
            <w:rPr>
              <w:rFonts w:ascii="Times New Roman" w:hAnsi="Times New Roman" w:cs="Times New Roman"/>
              <w:b w:val="0"/>
              <w:bCs w:val="0"/>
              <w:sz w:val="24"/>
              <w:szCs w:val="24"/>
            </w:rPr>
          </w:r>
          <w:r>
            <w:rPr>
              <w:rFonts w:ascii="Times New Roman" w:hAnsi="Times New Roman" w:cs="Times New Roman"/>
              <w:b w:val="0"/>
              <w:bCs w:val="0"/>
              <w:sz w:val="24"/>
              <w:szCs w:val="24"/>
            </w:rPr>
          </w:r>
        </w:p>
        <w:p>
          <w:pPr>
            <w:pStyle w:val="1259"/>
            <w:spacing w:after="0" w:afterAutospacing="0" w:line="240" w:lineRule="auto"/>
            <w:tabs>
              <w:tab w:val="right" w:pos="9345" w:leader="dot"/>
            </w:tabs>
            <w:rPr>
              <w:rFonts w:ascii="Times New Roman" w:hAnsi="Times New Roman" w:cs="Times New Roman"/>
              <w:b w:val="0"/>
              <w:bCs w:val="0"/>
              <w:sz w:val="24"/>
              <w:szCs w:val="24"/>
            </w:rPr>
          </w:pPr>
          <w:r/>
          <w:hyperlink w:tooltip="#_Toc22" w:anchor="_Toc22" w:history="1">
            <w:r>
              <w:rPr>
                <w:rStyle w:val="1237"/>
                <w:rFonts w:ascii="Times New Roman" w:hAnsi="Times New Roman" w:eastAsia="Times New Roman" w:cs="Times New Roman"/>
              </w:rPr>
            </w:r>
            <w:r>
              <w:rPr>
                <w:rStyle w:val="1237"/>
                <w:rFonts w:ascii="Times New Roman" w:hAnsi="Times New Roman" w:eastAsia="Times New Roman" w:cs="Times New Roman"/>
                <w:b w:val="0"/>
                <w:bCs w:val="0"/>
                <w:sz w:val="24"/>
                <w:szCs w:val="24"/>
              </w:rPr>
              <w:t xml:space="preserve">РАЗДЕЛ 7. ЗАЩИТА СЕМЬИ, МАТЕРИНСТВА И ДЕТСТВА</w:t>
            </w:r>
            <w:r>
              <w:rPr>
                <w:rStyle w:val="1237"/>
                <w:rFonts w:ascii="Times New Roman" w:hAnsi="Times New Roman" w:eastAsia="Times New Roman" w:cs="Times New Roman"/>
                <w:b w:val="0"/>
                <w:bCs w:val="0"/>
                <w:sz w:val="24"/>
                <w:szCs w:val="24"/>
              </w:rPr>
            </w:r>
            <w:r>
              <w:rPr>
                <w:rFonts w:ascii="Times New Roman" w:hAnsi="Times New Roman" w:eastAsia="Times New Roman" w:cs="Times New Roman"/>
                <w:b w:val="0"/>
                <w:bCs w:val="0"/>
                <w:sz w:val="24"/>
                <w:szCs w:val="24"/>
              </w:rPr>
              <w:tab/>
            </w:r>
            <w:r>
              <w:rPr>
                <w:rFonts w:ascii="Times New Roman" w:hAnsi="Times New Roman" w:eastAsia="Times New Roman" w:cs="Times New Roman"/>
                <w:b w:val="0"/>
                <w:bCs w:val="0"/>
                <w:sz w:val="24"/>
                <w:szCs w:val="24"/>
              </w:rPr>
              <w:fldChar w:fldCharType="begin"/>
              <w:instrText xml:space="preserve">PAGEREF _Toc22 \h</w:instrText>
              <w:fldChar w:fldCharType="separate"/>
              <w:t xml:space="preserve">90</w:t>
              <w:fldChar w:fldCharType="end"/>
            </w:r>
          </w:hyperlink>
          <w:r>
            <w:rPr>
              <w:rFonts w:ascii="Times New Roman" w:hAnsi="Times New Roman" w:cs="Times New Roman"/>
              <w:b w:val="0"/>
              <w:bCs w:val="0"/>
              <w:sz w:val="24"/>
              <w:szCs w:val="24"/>
            </w:rPr>
          </w:r>
          <w:r>
            <w:rPr>
              <w:rFonts w:ascii="Times New Roman" w:hAnsi="Times New Roman" w:cs="Times New Roman"/>
              <w:b w:val="0"/>
              <w:bCs w:val="0"/>
              <w:sz w:val="24"/>
              <w:szCs w:val="24"/>
            </w:rPr>
          </w:r>
        </w:p>
        <w:p>
          <w:pPr>
            <w:pStyle w:val="1260"/>
            <w:spacing w:after="0" w:afterAutospacing="0" w:line="240" w:lineRule="auto"/>
            <w:tabs>
              <w:tab w:val="right" w:pos="9345" w:leader="dot"/>
            </w:tabs>
            <w:rPr>
              <w:rFonts w:ascii="Times New Roman" w:hAnsi="Times New Roman" w:cs="Times New Roman"/>
              <w:b w:val="0"/>
              <w:bCs w:val="0"/>
              <w:sz w:val="24"/>
              <w:szCs w:val="24"/>
            </w:rPr>
          </w:pPr>
          <w:r/>
          <w:hyperlink w:tooltip="#_Toc23" w:anchor="_Toc23" w:history="1">
            <w:r>
              <w:rPr>
                <w:rStyle w:val="1237"/>
                <w:rFonts w:ascii="Times New Roman" w:hAnsi="Times New Roman" w:eastAsia="Times New Roman" w:cs="Times New Roman"/>
              </w:rPr>
            </w:r>
            <w:r>
              <w:rPr>
                <w:rStyle w:val="1237"/>
                <w:rFonts w:ascii="Times New Roman" w:hAnsi="Times New Roman" w:eastAsia="Times New Roman" w:cs="Times New Roman"/>
                <w:b w:val="0"/>
                <w:bCs w:val="0"/>
                <w:sz w:val="24"/>
                <w:szCs w:val="24"/>
                <w:highlight w:val="none"/>
              </w:rPr>
              <w:t xml:space="preserve">7.1. Домашнее насилие как нарушение прав человека</w:t>
            </w:r>
            <w:r>
              <w:rPr>
                <w:rStyle w:val="1237"/>
                <w:rFonts w:ascii="Times New Roman" w:hAnsi="Times New Roman" w:eastAsia="Times New Roman" w:cs="Times New Roman"/>
                <w:b w:val="0"/>
                <w:bCs w:val="0"/>
                <w:sz w:val="24"/>
                <w:szCs w:val="24"/>
              </w:rPr>
            </w:r>
            <w:r>
              <w:rPr>
                <w:rFonts w:ascii="Times New Roman" w:hAnsi="Times New Roman" w:eastAsia="Times New Roman" w:cs="Times New Roman"/>
                <w:b w:val="0"/>
                <w:bCs w:val="0"/>
                <w:sz w:val="24"/>
                <w:szCs w:val="24"/>
              </w:rPr>
              <w:tab/>
            </w:r>
            <w:r>
              <w:rPr>
                <w:rFonts w:ascii="Times New Roman" w:hAnsi="Times New Roman" w:eastAsia="Times New Roman" w:cs="Times New Roman"/>
                <w:b w:val="0"/>
                <w:bCs w:val="0"/>
                <w:sz w:val="24"/>
                <w:szCs w:val="24"/>
              </w:rPr>
              <w:fldChar w:fldCharType="begin"/>
              <w:instrText xml:space="preserve">PAGEREF _Toc23 \h</w:instrText>
              <w:fldChar w:fldCharType="separate"/>
              <w:t xml:space="preserve">95</w:t>
              <w:fldChar w:fldCharType="end"/>
            </w:r>
          </w:hyperlink>
          <w:r>
            <w:rPr>
              <w:rFonts w:ascii="Times New Roman" w:hAnsi="Times New Roman" w:cs="Times New Roman"/>
              <w:b w:val="0"/>
              <w:bCs w:val="0"/>
              <w:sz w:val="24"/>
              <w:szCs w:val="24"/>
            </w:rPr>
          </w:r>
          <w:r>
            <w:rPr>
              <w:rFonts w:ascii="Times New Roman" w:hAnsi="Times New Roman" w:cs="Times New Roman"/>
              <w:b w:val="0"/>
              <w:bCs w:val="0"/>
              <w:sz w:val="24"/>
              <w:szCs w:val="24"/>
            </w:rPr>
          </w:r>
        </w:p>
        <w:p>
          <w:pPr>
            <w:pStyle w:val="1260"/>
            <w:spacing w:after="0" w:afterAutospacing="0" w:line="240" w:lineRule="auto"/>
            <w:tabs>
              <w:tab w:val="right" w:pos="9345" w:leader="dot"/>
            </w:tabs>
            <w:rPr>
              <w:rFonts w:ascii="Times New Roman" w:hAnsi="Times New Roman" w:cs="Times New Roman"/>
              <w:b w:val="0"/>
              <w:bCs w:val="0"/>
              <w:sz w:val="24"/>
              <w:szCs w:val="24"/>
              <w:highlight w:val="none"/>
            </w:rPr>
          </w:pPr>
          <w:r/>
          <w:hyperlink w:tooltip="#_Toc24" w:anchor="_Toc24" w:history="1">
            <w:r>
              <w:rPr>
                <w:rStyle w:val="1237"/>
                <w:rFonts w:ascii="Times New Roman" w:hAnsi="Times New Roman" w:eastAsia="Times New Roman" w:cs="Times New Roman"/>
              </w:rPr>
            </w:r>
            <w:r>
              <w:rPr>
                <w:rStyle w:val="1237"/>
                <w:rFonts w:ascii="Times New Roman" w:hAnsi="Times New Roman" w:eastAsia="Times New Roman" w:cs="Times New Roman"/>
                <w:b w:val="0"/>
                <w:bCs w:val="0"/>
                <w:sz w:val="24"/>
                <w:szCs w:val="24"/>
              </w:rPr>
              <w:t xml:space="preserve">Уполномоченный рекомендует</w:t>
            </w:r>
            <w:r>
              <w:rPr>
                <w:rStyle w:val="1237"/>
                <w:rFonts w:ascii="Times New Roman" w:hAnsi="Times New Roman" w:eastAsia="Times New Roman" w:cs="Times New Roman"/>
                <w:b w:val="0"/>
                <w:bCs w:val="0"/>
                <w:sz w:val="24"/>
                <w:szCs w:val="24"/>
                <w:highlight w:val="none"/>
              </w:rPr>
            </w:r>
            <w:r>
              <w:rPr>
                <w:rFonts w:ascii="Times New Roman" w:hAnsi="Times New Roman" w:eastAsia="Times New Roman" w:cs="Times New Roman"/>
                <w:b w:val="0"/>
                <w:bCs w:val="0"/>
                <w:sz w:val="24"/>
                <w:szCs w:val="24"/>
              </w:rPr>
              <w:tab/>
            </w:r>
            <w:r>
              <w:rPr>
                <w:rFonts w:ascii="Times New Roman" w:hAnsi="Times New Roman" w:eastAsia="Times New Roman" w:cs="Times New Roman"/>
                <w:b w:val="0"/>
                <w:bCs w:val="0"/>
                <w:sz w:val="24"/>
                <w:szCs w:val="24"/>
              </w:rPr>
              <w:fldChar w:fldCharType="begin"/>
              <w:instrText xml:space="preserve">PAGEREF _Toc24 \h</w:instrText>
              <w:fldChar w:fldCharType="separate"/>
              <w:t xml:space="preserve">96</w:t>
              <w:fldChar w:fldCharType="end"/>
            </w:r>
          </w:hyperlink>
          <w:r>
            <w:rPr>
              <w:rFonts w:ascii="Times New Roman" w:hAnsi="Times New Roman" w:cs="Times New Roman"/>
              <w:b w:val="0"/>
              <w:bCs w:val="0"/>
              <w:sz w:val="24"/>
              <w:szCs w:val="24"/>
              <w:highlight w:val="none"/>
            </w:rPr>
          </w:r>
          <w:r>
            <w:rPr>
              <w:rFonts w:ascii="Times New Roman" w:hAnsi="Times New Roman" w:cs="Times New Roman"/>
              <w:b w:val="0"/>
              <w:bCs w:val="0"/>
              <w:sz w:val="24"/>
              <w:szCs w:val="24"/>
              <w:highlight w:val="none"/>
            </w:rPr>
          </w:r>
        </w:p>
        <w:p>
          <w:pPr>
            <w:pStyle w:val="1260"/>
            <w:ind w:left="0" w:right="0" w:firstLine="0"/>
            <w:spacing w:after="0" w:afterAutospacing="0" w:line="240" w:lineRule="auto"/>
            <w:tabs>
              <w:tab w:val="right" w:pos="9345" w:leader="dot"/>
            </w:tabs>
            <w:rPr>
              <w:rFonts w:ascii="Times New Roman" w:hAnsi="Times New Roman" w:cs="Times New Roman"/>
              <w:b w:val="0"/>
              <w:bCs w:val="0"/>
              <w:sz w:val="24"/>
              <w:szCs w:val="24"/>
            </w:rPr>
          </w:pPr>
          <w:r/>
          <w:hyperlink w:tooltip="#_Toc25" w:anchor="_Toc25" w:history="1">
            <w:r>
              <w:rPr>
                <w:rStyle w:val="1237"/>
                <w:rFonts w:ascii="Times New Roman" w:hAnsi="Times New Roman" w:eastAsia="Times New Roman" w:cs="Times New Roman"/>
              </w:rPr>
            </w:r>
            <w:r>
              <w:rPr>
                <w:rStyle w:val="1237"/>
                <w:rFonts w:ascii="Times New Roman" w:hAnsi="Times New Roman" w:eastAsia="Times New Roman" w:cs="Times New Roman"/>
                <w:b w:val="0"/>
                <w:bCs w:val="0"/>
                <w:sz w:val="24"/>
                <w:szCs w:val="24"/>
              </w:rPr>
              <w:t xml:space="preserve"> </w:t>
            </w:r>
            <w:r>
              <w:rPr>
                <w:rStyle w:val="1237"/>
                <w:rFonts w:ascii="Times New Roman" w:hAnsi="Times New Roman" w:eastAsia="Times New Roman" w:cs="Times New Roman"/>
                <w:b w:val="0"/>
                <w:bCs w:val="0"/>
                <w:sz w:val="24"/>
                <w:szCs w:val="24"/>
              </w:rPr>
              <w:t xml:space="preserve">РАЗДЕЛ 8. ПРАВО НА ОБРАЗОВАНИЕ</w:t>
            </w:r>
            <w:r>
              <w:rPr>
                <w:rStyle w:val="1237"/>
                <w:rFonts w:ascii="Times New Roman" w:hAnsi="Times New Roman" w:eastAsia="Times New Roman" w:cs="Times New Roman"/>
                <w:b w:val="0"/>
                <w:bCs w:val="0"/>
                <w:sz w:val="24"/>
                <w:szCs w:val="24"/>
              </w:rPr>
            </w:r>
            <w:r>
              <w:rPr>
                <w:rFonts w:ascii="Times New Roman" w:hAnsi="Times New Roman" w:eastAsia="Times New Roman" w:cs="Times New Roman"/>
                <w:b w:val="0"/>
                <w:bCs w:val="0"/>
                <w:sz w:val="24"/>
                <w:szCs w:val="24"/>
              </w:rPr>
              <w:tab/>
            </w:r>
            <w:r>
              <w:rPr>
                <w:rFonts w:ascii="Times New Roman" w:hAnsi="Times New Roman" w:eastAsia="Times New Roman" w:cs="Times New Roman"/>
                <w:b w:val="0"/>
                <w:bCs w:val="0"/>
                <w:sz w:val="24"/>
                <w:szCs w:val="24"/>
              </w:rPr>
              <w:fldChar w:fldCharType="begin"/>
              <w:instrText xml:space="preserve">PAGEREF _Toc25 \h</w:instrText>
              <w:fldChar w:fldCharType="separate"/>
              <w:t xml:space="preserve">98</w:t>
              <w:fldChar w:fldCharType="end"/>
            </w:r>
          </w:hyperlink>
          <w:r>
            <w:rPr>
              <w:rFonts w:ascii="Times New Roman" w:hAnsi="Times New Roman" w:cs="Times New Roman"/>
              <w:b w:val="0"/>
              <w:bCs w:val="0"/>
              <w:sz w:val="24"/>
              <w:szCs w:val="24"/>
            </w:rPr>
          </w:r>
          <w:r>
            <w:rPr>
              <w:rFonts w:ascii="Times New Roman" w:hAnsi="Times New Roman" w:cs="Times New Roman"/>
              <w:b w:val="0"/>
              <w:bCs w:val="0"/>
              <w:sz w:val="24"/>
              <w:szCs w:val="24"/>
            </w:rPr>
          </w:r>
        </w:p>
        <w:p>
          <w:pPr>
            <w:pStyle w:val="1260"/>
            <w:spacing w:after="0" w:afterAutospacing="0" w:line="240" w:lineRule="auto"/>
            <w:tabs>
              <w:tab w:val="right" w:pos="9345" w:leader="dot"/>
            </w:tabs>
            <w:rPr>
              <w:rFonts w:ascii="Times New Roman" w:hAnsi="Times New Roman" w:cs="Times New Roman"/>
              <w:b w:val="0"/>
              <w:bCs w:val="0"/>
              <w:sz w:val="24"/>
              <w:szCs w:val="24"/>
            </w:rPr>
          </w:pPr>
          <w:r/>
          <w:hyperlink w:tooltip="#_Toc26" w:anchor="_Toc26" w:history="1">
            <w:r>
              <w:rPr>
                <w:rStyle w:val="1237"/>
                <w:rFonts w:ascii="Times New Roman" w:hAnsi="Times New Roman" w:eastAsia="Times New Roman" w:cs="Times New Roman"/>
              </w:rPr>
            </w:r>
            <w:r>
              <w:rPr>
                <w:rStyle w:val="1237"/>
                <w:rFonts w:ascii="Times New Roman" w:hAnsi="Times New Roman" w:eastAsia="Times New Roman" w:cs="Times New Roman"/>
                <w:b w:val="0"/>
                <w:bCs w:val="0"/>
                <w:sz w:val="24"/>
                <w:szCs w:val="24"/>
              </w:rPr>
              <w:t xml:space="preserve">Уполномоченный рекомендует</w:t>
            </w:r>
            <w:r>
              <w:rPr>
                <w:rStyle w:val="1237"/>
                <w:rFonts w:ascii="Times New Roman" w:hAnsi="Times New Roman" w:eastAsia="Times New Roman" w:cs="Times New Roman"/>
                <w:b w:val="0"/>
                <w:bCs w:val="0"/>
                <w:sz w:val="24"/>
                <w:szCs w:val="24"/>
              </w:rPr>
            </w:r>
            <w:r>
              <w:rPr>
                <w:rFonts w:ascii="Times New Roman" w:hAnsi="Times New Roman" w:eastAsia="Times New Roman" w:cs="Times New Roman"/>
                <w:b w:val="0"/>
                <w:bCs w:val="0"/>
                <w:sz w:val="24"/>
                <w:szCs w:val="24"/>
              </w:rPr>
              <w:tab/>
            </w:r>
            <w:r>
              <w:rPr>
                <w:rFonts w:ascii="Times New Roman" w:hAnsi="Times New Roman" w:eastAsia="Times New Roman" w:cs="Times New Roman"/>
                <w:b w:val="0"/>
                <w:bCs w:val="0"/>
                <w:sz w:val="24"/>
                <w:szCs w:val="24"/>
              </w:rPr>
              <w:fldChar w:fldCharType="begin"/>
              <w:instrText xml:space="preserve">PAGEREF _Toc26 \h</w:instrText>
              <w:fldChar w:fldCharType="separate"/>
              <w:t xml:space="preserve">105</w:t>
              <w:fldChar w:fldCharType="end"/>
            </w:r>
          </w:hyperlink>
          <w:r>
            <w:rPr>
              <w:rFonts w:ascii="Times New Roman" w:hAnsi="Times New Roman" w:cs="Times New Roman"/>
              <w:b w:val="0"/>
              <w:bCs w:val="0"/>
              <w:sz w:val="24"/>
              <w:szCs w:val="24"/>
            </w:rPr>
          </w:r>
          <w:r>
            <w:rPr>
              <w:rFonts w:ascii="Times New Roman" w:hAnsi="Times New Roman" w:cs="Times New Roman"/>
              <w:b w:val="0"/>
              <w:bCs w:val="0"/>
              <w:sz w:val="24"/>
              <w:szCs w:val="24"/>
            </w:rPr>
          </w:r>
        </w:p>
        <w:p>
          <w:pPr>
            <w:pStyle w:val="1260"/>
            <w:ind w:left="0" w:right="0" w:firstLine="0"/>
            <w:spacing w:after="0" w:afterAutospacing="0" w:line="240" w:lineRule="auto"/>
            <w:tabs>
              <w:tab w:val="right" w:pos="9345" w:leader="dot"/>
            </w:tabs>
            <w:rPr>
              <w:rFonts w:ascii="Times New Roman" w:hAnsi="Times New Roman" w:cs="Times New Roman"/>
              <w:b w:val="0"/>
              <w:bCs w:val="0"/>
              <w:sz w:val="24"/>
              <w:szCs w:val="24"/>
            </w:rPr>
          </w:pPr>
          <w:r/>
          <w:hyperlink w:tooltip="#_Toc27" w:anchor="_Toc27" w:history="1">
            <w:r>
              <w:rPr>
                <w:rStyle w:val="1237"/>
                <w:rFonts w:ascii="Times New Roman" w:hAnsi="Times New Roman" w:eastAsia="Times New Roman" w:cs="Times New Roman"/>
              </w:rPr>
            </w:r>
            <w:r>
              <w:rPr>
                <w:rStyle w:val="1237"/>
                <w:rFonts w:ascii="Times New Roman" w:hAnsi="Times New Roman" w:eastAsia="Times New Roman" w:cs="Times New Roman"/>
                <w:b w:val="0"/>
                <w:bCs w:val="0"/>
                <w:sz w:val="24"/>
                <w:szCs w:val="24"/>
              </w:rPr>
              <w:t xml:space="preserve">РАЗДЕЛ 9. ТРУДОВЫЕ ПРАВА</w:t>
            </w:r>
            <w:r>
              <w:rPr>
                <w:rStyle w:val="1237"/>
                <w:rFonts w:ascii="Times New Roman" w:hAnsi="Times New Roman" w:eastAsia="Times New Roman" w:cs="Times New Roman"/>
                <w:b w:val="0"/>
                <w:bCs w:val="0"/>
                <w:sz w:val="24"/>
                <w:szCs w:val="24"/>
              </w:rPr>
            </w:r>
            <w:r>
              <w:rPr>
                <w:rFonts w:ascii="Times New Roman" w:hAnsi="Times New Roman" w:eastAsia="Times New Roman" w:cs="Times New Roman"/>
                <w:b w:val="0"/>
                <w:bCs w:val="0"/>
                <w:sz w:val="24"/>
                <w:szCs w:val="24"/>
              </w:rPr>
              <w:tab/>
            </w:r>
            <w:r>
              <w:rPr>
                <w:rFonts w:ascii="Times New Roman" w:hAnsi="Times New Roman" w:eastAsia="Times New Roman" w:cs="Times New Roman"/>
                <w:b w:val="0"/>
                <w:bCs w:val="0"/>
                <w:sz w:val="24"/>
                <w:szCs w:val="24"/>
              </w:rPr>
              <w:fldChar w:fldCharType="begin"/>
              <w:instrText xml:space="preserve">PAGEREF _Toc27 \h</w:instrText>
              <w:fldChar w:fldCharType="separate"/>
              <w:t xml:space="preserve">105</w:t>
              <w:fldChar w:fldCharType="end"/>
            </w:r>
          </w:hyperlink>
          <w:r>
            <w:rPr>
              <w:rFonts w:ascii="Times New Roman" w:hAnsi="Times New Roman" w:cs="Times New Roman"/>
              <w:b w:val="0"/>
              <w:bCs w:val="0"/>
              <w:sz w:val="24"/>
              <w:szCs w:val="24"/>
            </w:rPr>
          </w:r>
          <w:r>
            <w:rPr>
              <w:rFonts w:ascii="Times New Roman" w:hAnsi="Times New Roman" w:cs="Times New Roman"/>
              <w:b w:val="0"/>
              <w:bCs w:val="0"/>
              <w:sz w:val="24"/>
              <w:szCs w:val="24"/>
            </w:rPr>
          </w:r>
        </w:p>
        <w:p>
          <w:pPr>
            <w:pStyle w:val="1260"/>
            <w:spacing w:after="0" w:afterAutospacing="0" w:line="240" w:lineRule="auto"/>
            <w:tabs>
              <w:tab w:val="right" w:pos="9345" w:leader="dot"/>
            </w:tabs>
            <w:rPr>
              <w:rFonts w:ascii="Times New Roman" w:hAnsi="Times New Roman" w:cs="Times New Roman"/>
              <w:b w:val="0"/>
              <w:bCs w:val="0"/>
              <w:sz w:val="24"/>
              <w:szCs w:val="24"/>
            </w:rPr>
          </w:pPr>
          <w:r/>
          <w:hyperlink w:tooltip="#_Toc28" w:anchor="_Toc28" w:history="1">
            <w:r>
              <w:rPr>
                <w:rStyle w:val="1237"/>
                <w:rFonts w:ascii="Times New Roman" w:hAnsi="Times New Roman" w:eastAsia="Times New Roman" w:cs="Times New Roman"/>
              </w:rPr>
            </w:r>
            <w:r>
              <w:rPr>
                <w:rStyle w:val="1237"/>
                <w:rFonts w:ascii="Times New Roman" w:hAnsi="Times New Roman" w:eastAsia="Times New Roman" w:cs="Times New Roman"/>
                <w:b w:val="0"/>
                <w:bCs w:val="0"/>
                <w:sz w:val="24"/>
                <w:szCs w:val="24"/>
              </w:rPr>
              <w:t xml:space="preserve">Уполномоченный рекомендует</w:t>
            </w:r>
            <w:r>
              <w:rPr>
                <w:rStyle w:val="1237"/>
                <w:rFonts w:ascii="Times New Roman" w:hAnsi="Times New Roman" w:eastAsia="Times New Roman" w:cs="Times New Roman"/>
                <w:b w:val="0"/>
                <w:bCs w:val="0"/>
                <w:sz w:val="24"/>
                <w:szCs w:val="24"/>
              </w:rPr>
              <w:t xml:space="preserve"> </w:t>
            </w:r>
            <w:r>
              <w:rPr>
                <w:rStyle w:val="1237"/>
                <w:rFonts w:ascii="Times New Roman" w:hAnsi="Times New Roman" w:eastAsia="Times New Roman" w:cs="Times New Roman"/>
                <w:b w:val="0"/>
                <w:bCs w:val="0"/>
                <w:sz w:val="24"/>
                <w:szCs w:val="24"/>
              </w:rPr>
            </w:r>
            <w:r>
              <w:rPr>
                <w:rFonts w:ascii="Times New Roman" w:hAnsi="Times New Roman" w:eastAsia="Times New Roman" w:cs="Times New Roman"/>
                <w:b w:val="0"/>
                <w:bCs w:val="0"/>
                <w:sz w:val="24"/>
                <w:szCs w:val="24"/>
              </w:rPr>
              <w:tab/>
            </w:r>
            <w:r>
              <w:rPr>
                <w:rFonts w:ascii="Times New Roman" w:hAnsi="Times New Roman" w:eastAsia="Times New Roman" w:cs="Times New Roman"/>
                <w:b w:val="0"/>
                <w:bCs w:val="0"/>
                <w:sz w:val="24"/>
                <w:szCs w:val="24"/>
              </w:rPr>
              <w:fldChar w:fldCharType="begin"/>
              <w:instrText xml:space="preserve">PAGEREF _Toc28 \h</w:instrText>
              <w:fldChar w:fldCharType="separate"/>
              <w:t xml:space="preserve">113</w:t>
              <w:fldChar w:fldCharType="end"/>
            </w:r>
          </w:hyperlink>
          <w:r>
            <w:rPr>
              <w:rFonts w:ascii="Times New Roman" w:hAnsi="Times New Roman" w:cs="Times New Roman"/>
              <w:b w:val="0"/>
              <w:bCs w:val="0"/>
              <w:sz w:val="24"/>
              <w:szCs w:val="24"/>
            </w:rPr>
          </w:r>
          <w:r>
            <w:rPr>
              <w:rFonts w:ascii="Times New Roman" w:hAnsi="Times New Roman" w:cs="Times New Roman"/>
              <w:b w:val="0"/>
              <w:bCs w:val="0"/>
              <w:sz w:val="24"/>
              <w:szCs w:val="24"/>
            </w:rPr>
          </w:r>
        </w:p>
        <w:p>
          <w:pPr>
            <w:pStyle w:val="1260"/>
            <w:ind w:left="0" w:right="0" w:firstLine="0"/>
            <w:spacing w:after="0" w:afterAutospacing="0" w:line="240" w:lineRule="auto"/>
            <w:tabs>
              <w:tab w:val="right" w:pos="9345" w:leader="dot"/>
            </w:tabs>
            <w:rPr>
              <w:rFonts w:ascii="Times New Roman" w:hAnsi="Times New Roman" w:cs="Times New Roman"/>
              <w:b w:val="0"/>
              <w:bCs w:val="0"/>
              <w:sz w:val="24"/>
              <w:szCs w:val="24"/>
            </w:rPr>
          </w:pPr>
          <w:r/>
          <w:hyperlink w:tooltip="#_Toc29" w:anchor="_Toc29" w:history="1">
            <w:r>
              <w:rPr>
                <w:rStyle w:val="1237"/>
                <w:rFonts w:ascii="Times New Roman" w:hAnsi="Times New Roman" w:eastAsia="Times New Roman" w:cs="Times New Roman"/>
              </w:rPr>
            </w:r>
            <w:r>
              <w:rPr>
                <w:rStyle w:val="1237"/>
                <w:rFonts w:ascii="Times New Roman" w:hAnsi="Times New Roman" w:eastAsia="Times New Roman" w:cs="Times New Roman"/>
                <w:b w:val="0"/>
                <w:bCs w:val="0"/>
                <w:sz w:val="24"/>
                <w:szCs w:val="24"/>
              </w:rPr>
              <w:t xml:space="preserve">РАЗДЕЛ 10. ПРАВА ГРАЖДАН В СФЕРЕ ТРАНСПОРТА, БЕЗОПАСНОСТЬ ДОРОЖНОГО ДВИЖЕНИЯ</w:t>
            </w:r>
            <w:r>
              <w:rPr>
                <w:rStyle w:val="1237"/>
                <w:rFonts w:ascii="Times New Roman" w:hAnsi="Times New Roman" w:eastAsia="Times New Roman" w:cs="Times New Roman"/>
                <w:b w:val="0"/>
                <w:bCs w:val="0"/>
                <w:sz w:val="24"/>
                <w:szCs w:val="24"/>
              </w:rPr>
            </w:r>
            <w:r>
              <w:rPr>
                <w:rFonts w:ascii="Times New Roman" w:hAnsi="Times New Roman" w:eastAsia="Times New Roman" w:cs="Times New Roman"/>
                <w:b w:val="0"/>
                <w:bCs w:val="0"/>
                <w:sz w:val="24"/>
                <w:szCs w:val="24"/>
              </w:rPr>
              <w:tab/>
            </w:r>
            <w:r>
              <w:rPr>
                <w:rFonts w:ascii="Times New Roman" w:hAnsi="Times New Roman" w:eastAsia="Times New Roman" w:cs="Times New Roman"/>
                <w:b w:val="0"/>
                <w:bCs w:val="0"/>
                <w:sz w:val="24"/>
                <w:szCs w:val="24"/>
              </w:rPr>
              <w:fldChar w:fldCharType="begin"/>
              <w:instrText xml:space="preserve">PAGEREF _Toc29 \h</w:instrText>
              <w:fldChar w:fldCharType="separate"/>
              <w:t xml:space="preserve">114</w:t>
              <w:fldChar w:fldCharType="end"/>
            </w:r>
          </w:hyperlink>
          <w:r>
            <w:rPr>
              <w:rFonts w:ascii="Times New Roman" w:hAnsi="Times New Roman" w:cs="Times New Roman"/>
              <w:b w:val="0"/>
              <w:bCs w:val="0"/>
              <w:sz w:val="24"/>
              <w:szCs w:val="24"/>
            </w:rPr>
          </w:r>
          <w:r>
            <w:rPr>
              <w:rFonts w:ascii="Times New Roman" w:hAnsi="Times New Roman" w:cs="Times New Roman"/>
              <w:b w:val="0"/>
              <w:bCs w:val="0"/>
              <w:sz w:val="24"/>
              <w:szCs w:val="24"/>
            </w:rPr>
          </w:r>
        </w:p>
        <w:p>
          <w:pPr>
            <w:pStyle w:val="1260"/>
            <w:spacing w:after="0" w:afterAutospacing="0" w:line="240" w:lineRule="auto"/>
            <w:tabs>
              <w:tab w:val="right" w:pos="9345" w:leader="dot"/>
            </w:tabs>
            <w:rPr>
              <w:rFonts w:ascii="Times New Roman" w:hAnsi="Times New Roman" w:cs="Times New Roman"/>
              <w:b w:val="0"/>
              <w:bCs w:val="0"/>
              <w:sz w:val="24"/>
              <w:szCs w:val="24"/>
            </w:rPr>
          </w:pPr>
          <w:r/>
          <w:hyperlink w:tooltip="#_Toc30" w:anchor="_Toc30" w:history="1">
            <w:r>
              <w:rPr>
                <w:rStyle w:val="1237"/>
                <w:rFonts w:ascii="Times New Roman" w:hAnsi="Times New Roman" w:eastAsia="Times New Roman" w:cs="Times New Roman"/>
              </w:rPr>
            </w:r>
            <w:r>
              <w:rPr>
                <w:rStyle w:val="1237"/>
                <w:rFonts w:ascii="Times New Roman" w:hAnsi="Times New Roman" w:eastAsia="Times New Roman" w:cs="Times New Roman"/>
                <w:b w:val="0"/>
                <w:bCs w:val="0"/>
                <w:sz w:val="24"/>
                <w:szCs w:val="24"/>
              </w:rPr>
              <w:t xml:space="preserve">Уполномоченный рекомендует</w:t>
            </w:r>
            <w:r>
              <w:rPr>
                <w:rStyle w:val="1237"/>
                <w:rFonts w:ascii="Times New Roman" w:hAnsi="Times New Roman" w:eastAsia="Times New Roman" w:cs="Times New Roman"/>
                <w:b w:val="0"/>
                <w:bCs w:val="0"/>
                <w:sz w:val="24"/>
                <w:szCs w:val="24"/>
              </w:rPr>
            </w:r>
            <w:r>
              <w:rPr>
                <w:rFonts w:ascii="Times New Roman" w:hAnsi="Times New Roman" w:eastAsia="Times New Roman" w:cs="Times New Roman"/>
                <w:b w:val="0"/>
                <w:bCs w:val="0"/>
                <w:sz w:val="24"/>
                <w:szCs w:val="24"/>
              </w:rPr>
              <w:tab/>
            </w:r>
            <w:r>
              <w:rPr>
                <w:rFonts w:ascii="Times New Roman" w:hAnsi="Times New Roman" w:eastAsia="Times New Roman" w:cs="Times New Roman"/>
                <w:b w:val="0"/>
                <w:bCs w:val="0"/>
                <w:sz w:val="24"/>
                <w:szCs w:val="24"/>
              </w:rPr>
              <w:fldChar w:fldCharType="begin"/>
              <w:instrText xml:space="preserve">PAGEREF _Toc30 \h</w:instrText>
              <w:fldChar w:fldCharType="separate"/>
              <w:t xml:space="preserve">120</w:t>
              <w:fldChar w:fldCharType="end"/>
            </w:r>
          </w:hyperlink>
          <w:r>
            <w:rPr>
              <w:rFonts w:ascii="Times New Roman" w:hAnsi="Times New Roman" w:cs="Times New Roman"/>
              <w:b w:val="0"/>
              <w:bCs w:val="0"/>
              <w:sz w:val="24"/>
              <w:szCs w:val="24"/>
            </w:rPr>
          </w:r>
          <w:r>
            <w:rPr>
              <w:rFonts w:ascii="Times New Roman" w:hAnsi="Times New Roman" w:cs="Times New Roman"/>
              <w:b w:val="0"/>
              <w:bCs w:val="0"/>
              <w:sz w:val="24"/>
              <w:szCs w:val="24"/>
            </w:rPr>
          </w:r>
        </w:p>
        <w:p>
          <w:pPr>
            <w:pStyle w:val="1260"/>
            <w:ind w:left="0" w:right="0" w:firstLine="0"/>
            <w:spacing w:after="0" w:afterAutospacing="0" w:line="240" w:lineRule="auto"/>
            <w:tabs>
              <w:tab w:val="right" w:pos="9345" w:leader="dot"/>
            </w:tabs>
            <w:rPr>
              <w:rFonts w:ascii="Times New Roman" w:hAnsi="Times New Roman" w:cs="Times New Roman"/>
              <w:b w:val="0"/>
              <w:bCs w:val="0"/>
              <w:sz w:val="24"/>
              <w:szCs w:val="24"/>
            </w:rPr>
          </w:pPr>
          <w:r/>
          <w:hyperlink w:tooltip="#_Toc31" w:anchor="_Toc31" w:history="1">
            <w:r>
              <w:rPr>
                <w:rStyle w:val="1237"/>
                <w:rFonts w:ascii="Times New Roman" w:hAnsi="Times New Roman" w:eastAsia="Times New Roman" w:cs="Times New Roman"/>
              </w:rPr>
            </w:r>
            <w:r>
              <w:rPr>
                <w:rStyle w:val="1237"/>
                <w:rFonts w:ascii="Times New Roman" w:hAnsi="Times New Roman" w:eastAsia="Times New Roman" w:cs="Times New Roman"/>
                <w:b w:val="0"/>
                <w:bCs w:val="0"/>
                <w:sz w:val="24"/>
                <w:szCs w:val="24"/>
              </w:rPr>
              <w:t xml:space="preserve">РАЗДЕЛ 11.  ПРАВО НА БЛАГОПРИЯТНУЮ ОКРУЖАЮЩУЮ СРЕДУ</w:t>
            </w:r>
            <w:r>
              <w:rPr>
                <w:rStyle w:val="1237"/>
                <w:rFonts w:ascii="Times New Roman" w:hAnsi="Times New Roman" w:eastAsia="Times New Roman" w:cs="Times New Roman"/>
                <w:b w:val="0"/>
                <w:bCs w:val="0"/>
                <w:sz w:val="24"/>
                <w:szCs w:val="24"/>
              </w:rPr>
            </w:r>
            <w:r>
              <w:rPr>
                <w:rFonts w:ascii="Times New Roman" w:hAnsi="Times New Roman" w:eastAsia="Times New Roman" w:cs="Times New Roman"/>
                <w:b w:val="0"/>
                <w:bCs w:val="0"/>
                <w:sz w:val="24"/>
                <w:szCs w:val="24"/>
              </w:rPr>
              <w:tab/>
            </w:r>
            <w:r>
              <w:rPr>
                <w:rFonts w:ascii="Times New Roman" w:hAnsi="Times New Roman" w:eastAsia="Times New Roman" w:cs="Times New Roman"/>
                <w:b w:val="0"/>
                <w:bCs w:val="0"/>
                <w:sz w:val="24"/>
                <w:szCs w:val="24"/>
              </w:rPr>
              <w:fldChar w:fldCharType="begin"/>
              <w:instrText xml:space="preserve">PAGEREF _Toc31 \h</w:instrText>
              <w:fldChar w:fldCharType="separate"/>
              <w:t xml:space="preserve">120</w:t>
              <w:fldChar w:fldCharType="end"/>
            </w:r>
          </w:hyperlink>
          <w:r>
            <w:rPr>
              <w:rFonts w:ascii="Times New Roman" w:hAnsi="Times New Roman" w:cs="Times New Roman"/>
              <w:b w:val="0"/>
              <w:bCs w:val="0"/>
              <w:sz w:val="24"/>
              <w:szCs w:val="24"/>
            </w:rPr>
          </w:r>
          <w:r>
            <w:rPr>
              <w:rFonts w:ascii="Times New Roman" w:hAnsi="Times New Roman" w:cs="Times New Roman"/>
              <w:b w:val="0"/>
              <w:bCs w:val="0"/>
              <w:sz w:val="24"/>
              <w:szCs w:val="24"/>
            </w:rPr>
          </w:r>
        </w:p>
        <w:p>
          <w:pPr>
            <w:pStyle w:val="1260"/>
            <w:spacing w:after="0" w:afterAutospacing="0" w:line="240" w:lineRule="auto"/>
            <w:tabs>
              <w:tab w:val="right" w:pos="9345" w:leader="dot"/>
            </w:tabs>
            <w:rPr>
              <w:rFonts w:ascii="Times New Roman" w:hAnsi="Times New Roman" w:cs="Times New Roman"/>
              <w:b w:val="0"/>
              <w:bCs w:val="0"/>
              <w:sz w:val="24"/>
              <w:szCs w:val="24"/>
            </w:rPr>
          </w:pPr>
          <w:r/>
          <w:hyperlink w:tooltip="#_Toc32" w:anchor="_Toc32" w:history="1">
            <w:r>
              <w:rPr>
                <w:rStyle w:val="1237"/>
                <w:rFonts w:ascii="Times New Roman" w:hAnsi="Times New Roman" w:eastAsia="Times New Roman" w:cs="Times New Roman"/>
              </w:rPr>
            </w:r>
            <w:r>
              <w:rPr>
                <w:rStyle w:val="1237"/>
                <w:rFonts w:ascii="Times New Roman" w:hAnsi="Times New Roman" w:eastAsia="Times New Roman" w:cs="Times New Roman"/>
                <w:b w:val="0"/>
                <w:bCs w:val="0"/>
                <w:sz w:val="24"/>
                <w:szCs w:val="24"/>
              </w:rPr>
              <w:t xml:space="preserve">Уполномоченный рекомендует</w:t>
            </w:r>
            <w:r>
              <w:rPr>
                <w:rStyle w:val="1237"/>
                <w:rFonts w:ascii="Times New Roman" w:hAnsi="Times New Roman" w:eastAsia="Times New Roman" w:cs="Times New Roman"/>
                <w:b w:val="0"/>
                <w:bCs w:val="0"/>
                <w:sz w:val="24"/>
                <w:szCs w:val="24"/>
              </w:rPr>
            </w:r>
            <w:r>
              <w:rPr>
                <w:rFonts w:ascii="Times New Roman" w:hAnsi="Times New Roman" w:eastAsia="Times New Roman" w:cs="Times New Roman"/>
                <w:b w:val="0"/>
                <w:bCs w:val="0"/>
                <w:sz w:val="24"/>
                <w:szCs w:val="24"/>
              </w:rPr>
              <w:tab/>
            </w:r>
            <w:r>
              <w:rPr>
                <w:rFonts w:ascii="Times New Roman" w:hAnsi="Times New Roman" w:eastAsia="Times New Roman" w:cs="Times New Roman"/>
                <w:b w:val="0"/>
                <w:bCs w:val="0"/>
                <w:sz w:val="24"/>
                <w:szCs w:val="24"/>
              </w:rPr>
              <w:fldChar w:fldCharType="begin"/>
              <w:instrText xml:space="preserve">PAGEREF _Toc32 \h</w:instrText>
              <w:fldChar w:fldCharType="separate"/>
              <w:t xml:space="preserve">131</w:t>
              <w:fldChar w:fldCharType="end"/>
            </w:r>
          </w:hyperlink>
          <w:r>
            <w:rPr>
              <w:rFonts w:ascii="Times New Roman" w:hAnsi="Times New Roman" w:cs="Times New Roman"/>
              <w:b w:val="0"/>
              <w:bCs w:val="0"/>
              <w:sz w:val="24"/>
              <w:szCs w:val="24"/>
            </w:rPr>
          </w:r>
          <w:r>
            <w:rPr>
              <w:rFonts w:ascii="Times New Roman" w:hAnsi="Times New Roman" w:cs="Times New Roman"/>
              <w:b w:val="0"/>
              <w:bCs w:val="0"/>
              <w:sz w:val="24"/>
              <w:szCs w:val="24"/>
            </w:rPr>
          </w:r>
        </w:p>
        <w:p>
          <w:pPr>
            <w:pStyle w:val="1259"/>
            <w:spacing w:after="0" w:afterAutospacing="0" w:line="240" w:lineRule="auto"/>
            <w:tabs>
              <w:tab w:val="right" w:pos="9345" w:leader="dot"/>
            </w:tabs>
            <w:rPr>
              <w:rFonts w:ascii="Times New Roman" w:hAnsi="Times New Roman" w:cs="Times New Roman"/>
              <w:b w:val="0"/>
              <w:bCs w:val="0"/>
              <w:sz w:val="24"/>
              <w:szCs w:val="24"/>
            </w:rPr>
          </w:pPr>
          <w:r/>
          <w:hyperlink w:tooltip="#_Toc33" w:anchor="_Toc33" w:history="1">
            <w:r>
              <w:rPr>
                <w:rStyle w:val="1237"/>
                <w:rFonts w:ascii="Times New Roman" w:hAnsi="Times New Roman" w:eastAsia="Times New Roman" w:cs="Times New Roman"/>
              </w:rPr>
            </w:r>
            <w:r>
              <w:rPr>
                <w:rStyle w:val="1237"/>
                <w:rFonts w:ascii="Times New Roman" w:hAnsi="Times New Roman" w:eastAsia="Times New Roman" w:cs="Times New Roman"/>
                <w:b w:val="0"/>
                <w:bCs w:val="0"/>
                <w:sz w:val="24"/>
                <w:szCs w:val="24"/>
              </w:rPr>
              <w:t xml:space="preserve">РАЗДЕЛ 12. СОБЛЮДЕНИЕ ПРАВ ГРАЖДАН ДОЛЖНОСТНЫМИ ЛИЦАМИ ПРАВООХРАНИТЕЛЬНЫХ И УГОЛОВНО-ИСПОЛНИТЕЛЬНЫХ ОРГАНОВ</w:t>
            </w:r>
            <w:r>
              <w:rPr>
                <w:rStyle w:val="1237"/>
                <w:rFonts w:ascii="Times New Roman" w:hAnsi="Times New Roman" w:eastAsia="Times New Roman" w:cs="Times New Roman"/>
                <w:b w:val="0"/>
                <w:bCs w:val="0"/>
                <w:sz w:val="24"/>
                <w:szCs w:val="24"/>
              </w:rPr>
            </w:r>
            <w:r>
              <w:rPr>
                <w:rFonts w:ascii="Times New Roman" w:hAnsi="Times New Roman" w:eastAsia="Times New Roman" w:cs="Times New Roman"/>
                <w:b w:val="0"/>
                <w:bCs w:val="0"/>
                <w:sz w:val="24"/>
                <w:szCs w:val="24"/>
              </w:rPr>
              <w:tab/>
            </w:r>
            <w:r>
              <w:rPr>
                <w:rFonts w:ascii="Times New Roman" w:hAnsi="Times New Roman" w:eastAsia="Times New Roman" w:cs="Times New Roman"/>
                <w:b w:val="0"/>
                <w:bCs w:val="0"/>
                <w:sz w:val="24"/>
                <w:szCs w:val="24"/>
              </w:rPr>
              <w:fldChar w:fldCharType="begin"/>
              <w:instrText xml:space="preserve">PAGEREF _Toc33 \h</w:instrText>
              <w:fldChar w:fldCharType="separate"/>
              <w:t xml:space="preserve">136</w:t>
              <w:fldChar w:fldCharType="end"/>
            </w:r>
          </w:hyperlink>
          <w:r>
            <w:rPr>
              <w:rFonts w:ascii="Times New Roman" w:hAnsi="Times New Roman" w:cs="Times New Roman"/>
              <w:b w:val="0"/>
              <w:bCs w:val="0"/>
              <w:sz w:val="24"/>
              <w:szCs w:val="24"/>
            </w:rPr>
          </w:r>
          <w:r>
            <w:rPr>
              <w:rFonts w:ascii="Times New Roman" w:hAnsi="Times New Roman" w:cs="Times New Roman"/>
              <w:b w:val="0"/>
              <w:bCs w:val="0"/>
              <w:sz w:val="24"/>
              <w:szCs w:val="24"/>
            </w:rPr>
          </w:r>
        </w:p>
        <w:p>
          <w:pPr>
            <w:pStyle w:val="1260"/>
            <w:spacing w:after="0" w:afterAutospacing="0" w:line="240" w:lineRule="auto"/>
            <w:tabs>
              <w:tab w:val="right" w:pos="9345" w:leader="dot"/>
            </w:tabs>
            <w:rPr>
              <w:rFonts w:ascii="Times New Roman" w:hAnsi="Times New Roman" w:cs="Times New Roman"/>
              <w:b w:val="0"/>
              <w:bCs w:val="0"/>
              <w:sz w:val="24"/>
              <w:szCs w:val="24"/>
            </w:rPr>
          </w:pPr>
          <w:r/>
          <w:hyperlink w:tooltip="#_Toc34" w:anchor="_Toc34" w:history="1">
            <w:r>
              <w:rPr>
                <w:rStyle w:val="1237"/>
                <w:rFonts w:ascii="Times New Roman" w:hAnsi="Times New Roman" w:eastAsia="Times New Roman" w:cs="Times New Roman"/>
              </w:rPr>
            </w:r>
            <w:r>
              <w:rPr>
                <w:rStyle w:val="1237"/>
                <w:rFonts w:ascii="Times New Roman" w:hAnsi="Times New Roman" w:eastAsia="Times New Roman" w:cs="Times New Roman"/>
                <w:b w:val="0"/>
                <w:bCs w:val="0"/>
                <w:sz w:val="24"/>
                <w:szCs w:val="24"/>
              </w:rPr>
              <w:t xml:space="preserve">12.1. Соблюдение прав человека в правоохранительной сфере</w:t>
            </w:r>
            <w:r>
              <w:rPr>
                <w:rStyle w:val="1237"/>
                <w:rFonts w:ascii="Times New Roman" w:hAnsi="Times New Roman" w:eastAsia="Times New Roman" w:cs="Times New Roman"/>
                <w:b w:val="0"/>
                <w:bCs w:val="0"/>
                <w:sz w:val="24"/>
                <w:szCs w:val="24"/>
              </w:rPr>
            </w:r>
            <w:r>
              <w:rPr>
                <w:rFonts w:ascii="Times New Roman" w:hAnsi="Times New Roman" w:eastAsia="Times New Roman" w:cs="Times New Roman"/>
                <w:b w:val="0"/>
                <w:bCs w:val="0"/>
                <w:sz w:val="24"/>
                <w:szCs w:val="24"/>
              </w:rPr>
              <w:tab/>
            </w:r>
            <w:r>
              <w:rPr>
                <w:rFonts w:ascii="Times New Roman" w:hAnsi="Times New Roman" w:eastAsia="Times New Roman" w:cs="Times New Roman"/>
                <w:b w:val="0"/>
                <w:bCs w:val="0"/>
                <w:sz w:val="24"/>
                <w:szCs w:val="24"/>
              </w:rPr>
              <w:fldChar w:fldCharType="begin"/>
              <w:instrText xml:space="preserve">PAGEREF _Toc34 \h</w:instrText>
              <w:fldChar w:fldCharType="separate"/>
              <w:t xml:space="preserve">136</w:t>
              <w:fldChar w:fldCharType="end"/>
            </w:r>
          </w:hyperlink>
          <w:r>
            <w:rPr>
              <w:rFonts w:ascii="Times New Roman" w:hAnsi="Times New Roman" w:cs="Times New Roman"/>
              <w:b w:val="0"/>
              <w:bCs w:val="0"/>
              <w:sz w:val="24"/>
              <w:szCs w:val="24"/>
            </w:rPr>
          </w:r>
          <w:r>
            <w:rPr>
              <w:rFonts w:ascii="Times New Roman" w:hAnsi="Times New Roman" w:cs="Times New Roman"/>
              <w:b w:val="0"/>
              <w:bCs w:val="0"/>
              <w:sz w:val="24"/>
              <w:szCs w:val="24"/>
            </w:rPr>
          </w:r>
        </w:p>
        <w:p>
          <w:pPr>
            <w:pStyle w:val="1260"/>
            <w:spacing w:after="0" w:afterAutospacing="0" w:line="240" w:lineRule="auto"/>
            <w:tabs>
              <w:tab w:val="right" w:pos="9345" w:leader="dot"/>
            </w:tabs>
            <w:rPr>
              <w:rFonts w:ascii="Times New Roman" w:hAnsi="Times New Roman" w:cs="Times New Roman"/>
              <w:b w:val="0"/>
              <w:bCs w:val="0"/>
              <w:sz w:val="24"/>
              <w:szCs w:val="24"/>
            </w:rPr>
          </w:pPr>
          <w:r/>
          <w:hyperlink w:tooltip="#_Toc35" w:anchor="_Toc35" w:history="1">
            <w:r>
              <w:rPr>
                <w:rStyle w:val="1237"/>
                <w:rFonts w:ascii="Times New Roman" w:hAnsi="Times New Roman" w:eastAsia="Times New Roman" w:cs="Times New Roman"/>
              </w:rPr>
            </w:r>
            <w:r>
              <w:rPr>
                <w:rStyle w:val="1237"/>
                <w:rFonts w:ascii="Times New Roman" w:hAnsi="Times New Roman" w:eastAsia="Times New Roman" w:cs="Times New Roman"/>
                <w:b w:val="0"/>
                <w:bCs w:val="0"/>
                <w:sz w:val="24"/>
                <w:szCs w:val="24"/>
              </w:rPr>
              <w:t xml:space="preserve">Уполномоченный рекомендует</w:t>
            </w:r>
            <w:r>
              <w:rPr>
                <w:rStyle w:val="1237"/>
                <w:rFonts w:ascii="Times New Roman" w:hAnsi="Times New Roman" w:eastAsia="Times New Roman" w:cs="Times New Roman"/>
                <w:b w:val="0"/>
                <w:bCs w:val="0"/>
                <w:sz w:val="24"/>
                <w:szCs w:val="24"/>
              </w:rPr>
            </w:r>
            <w:r>
              <w:rPr>
                <w:rFonts w:ascii="Times New Roman" w:hAnsi="Times New Roman" w:eastAsia="Times New Roman" w:cs="Times New Roman"/>
                <w:b w:val="0"/>
                <w:bCs w:val="0"/>
                <w:sz w:val="24"/>
                <w:szCs w:val="24"/>
              </w:rPr>
              <w:tab/>
            </w:r>
            <w:r>
              <w:rPr>
                <w:rFonts w:ascii="Times New Roman" w:hAnsi="Times New Roman" w:eastAsia="Times New Roman" w:cs="Times New Roman"/>
                <w:b w:val="0"/>
                <w:bCs w:val="0"/>
                <w:sz w:val="24"/>
                <w:szCs w:val="24"/>
              </w:rPr>
              <w:fldChar w:fldCharType="begin"/>
              <w:instrText xml:space="preserve">PAGEREF _Toc35 \h</w:instrText>
              <w:fldChar w:fldCharType="separate"/>
              <w:t xml:space="preserve">152</w:t>
              <w:fldChar w:fldCharType="end"/>
            </w:r>
          </w:hyperlink>
          <w:r>
            <w:rPr>
              <w:rFonts w:ascii="Times New Roman" w:hAnsi="Times New Roman" w:cs="Times New Roman"/>
              <w:b w:val="0"/>
              <w:bCs w:val="0"/>
              <w:sz w:val="24"/>
              <w:szCs w:val="24"/>
            </w:rPr>
          </w:r>
          <w:r>
            <w:rPr>
              <w:rFonts w:ascii="Times New Roman" w:hAnsi="Times New Roman" w:cs="Times New Roman"/>
              <w:b w:val="0"/>
              <w:bCs w:val="0"/>
              <w:sz w:val="24"/>
              <w:szCs w:val="24"/>
            </w:rPr>
          </w:r>
        </w:p>
        <w:p>
          <w:pPr>
            <w:pStyle w:val="1260"/>
            <w:spacing w:after="0" w:afterAutospacing="0" w:line="240" w:lineRule="auto"/>
            <w:tabs>
              <w:tab w:val="right" w:pos="9345" w:leader="dot"/>
            </w:tabs>
            <w:rPr>
              <w:rFonts w:ascii="Times New Roman" w:hAnsi="Times New Roman" w:cs="Times New Roman"/>
              <w:b w:val="0"/>
              <w:bCs w:val="0"/>
              <w:sz w:val="24"/>
              <w:szCs w:val="24"/>
            </w:rPr>
          </w:pPr>
          <w:r/>
          <w:hyperlink w:tooltip="#_Toc36" w:anchor="_Toc36" w:history="1">
            <w:r>
              <w:rPr>
                <w:rStyle w:val="1237"/>
                <w:rFonts w:ascii="Times New Roman" w:hAnsi="Times New Roman" w:eastAsia="Times New Roman" w:cs="Times New Roman"/>
              </w:rPr>
            </w:r>
            <w:r>
              <w:rPr>
                <w:rStyle w:val="1237"/>
                <w:rFonts w:ascii="Times New Roman" w:hAnsi="Times New Roman" w:eastAsia="Times New Roman" w:cs="Times New Roman"/>
                <w:b w:val="0"/>
                <w:bCs w:val="0"/>
                <w:sz w:val="24"/>
                <w:szCs w:val="24"/>
              </w:rPr>
              <w:t xml:space="preserve">12.2. Защита прав человека в учреждениях уголовно-исполнительной системы</w:t>
            </w:r>
            <w:r>
              <w:rPr>
                <w:rStyle w:val="1237"/>
                <w:rFonts w:ascii="Times New Roman" w:hAnsi="Times New Roman" w:eastAsia="Times New Roman" w:cs="Times New Roman"/>
                <w:b w:val="0"/>
                <w:bCs w:val="0"/>
                <w:sz w:val="24"/>
                <w:szCs w:val="24"/>
              </w:rPr>
            </w:r>
            <w:r>
              <w:rPr>
                <w:rFonts w:ascii="Times New Roman" w:hAnsi="Times New Roman" w:eastAsia="Times New Roman" w:cs="Times New Roman"/>
                <w:b w:val="0"/>
                <w:bCs w:val="0"/>
                <w:sz w:val="24"/>
                <w:szCs w:val="24"/>
              </w:rPr>
              <w:tab/>
            </w:r>
            <w:r>
              <w:rPr>
                <w:rFonts w:ascii="Times New Roman" w:hAnsi="Times New Roman" w:eastAsia="Times New Roman" w:cs="Times New Roman"/>
                <w:b w:val="0"/>
                <w:bCs w:val="0"/>
                <w:sz w:val="24"/>
                <w:szCs w:val="24"/>
              </w:rPr>
              <w:fldChar w:fldCharType="begin"/>
              <w:instrText xml:space="preserve">PAGEREF _Toc36 \h</w:instrText>
              <w:fldChar w:fldCharType="separate"/>
              <w:t xml:space="preserve">153</w:t>
              <w:fldChar w:fldCharType="end"/>
            </w:r>
          </w:hyperlink>
          <w:r>
            <w:rPr>
              <w:rFonts w:ascii="Times New Roman" w:hAnsi="Times New Roman" w:cs="Times New Roman"/>
              <w:b w:val="0"/>
              <w:bCs w:val="0"/>
              <w:sz w:val="24"/>
              <w:szCs w:val="24"/>
            </w:rPr>
          </w:r>
          <w:r>
            <w:rPr>
              <w:rFonts w:ascii="Times New Roman" w:hAnsi="Times New Roman" w:cs="Times New Roman"/>
              <w:b w:val="0"/>
              <w:bCs w:val="0"/>
              <w:sz w:val="24"/>
              <w:szCs w:val="24"/>
            </w:rPr>
          </w:r>
        </w:p>
        <w:p>
          <w:pPr>
            <w:pStyle w:val="1260"/>
            <w:spacing w:after="0" w:afterAutospacing="0" w:line="240" w:lineRule="auto"/>
            <w:tabs>
              <w:tab w:val="right" w:pos="9345" w:leader="dot"/>
            </w:tabs>
            <w:rPr>
              <w:rFonts w:ascii="Times New Roman" w:hAnsi="Times New Roman" w:cs="Times New Roman"/>
              <w:b w:val="0"/>
              <w:bCs w:val="0"/>
              <w:sz w:val="24"/>
              <w:szCs w:val="24"/>
            </w:rPr>
          </w:pPr>
          <w:r/>
          <w:hyperlink w:tooltip="#_Toc37" w:anchor="_Toc37" w:history="1">
            <w:r>
              <w:rPr>
                <w:rStyle w:val="1237"/>
                <w:rFonts w:ascii="Times New Roman" w:hAnsi="Times New Roman" w:eastAsia="Times New Roman" w:cs="Times New Roman"/>
              </w:rPr>
            </w:r>
            <w:r>
              <w:rPr>
                <w:rStyle w:val="1237"/>
                <w:rFonts w:ascii="Times New Roman" w:hAnsi="Times New Roman" w:eastAsia="Times New Roman" w:cs="Times New Roman"/>
                <w:b w:val="0"/>
                <w:bCs w:val="0"/>
                <w:sz w:val="24"/>
                <w:szCs w:val="24"/>
              </w:rPr>
              <w:t xml:space="preserve">Уполномоченный рекомендует</w:t>
            </w:r>
            <w:r>
              <w:rPr>
                <w:rStyle w:val="1237"/>
                <w:rFonts w:ascii="Times New Roman" w:hAnsi="Times New Roman" w:eastAsia="Times New Roman" w:cs="Times New Roman"/>
                <w:b w:val="0"/>
                <w:bCs w:val="0"/>
                <w:sz w:val="24"/>
                <w:szCs w:val="24"/>
              </w:rPr>
            </w:r>
            <w:r>
              <w:rPr>
                <w:rFonts w:ascii="Times New Roman" w:hAnsi="Times New Roman" w:eastAsia="Times New Roman" w:cs="Times New Roman"/>
                <w:b w:val="0"/>
                <w:bCs w:val="0"/>
                <w:sz w:val="24"/>
                <w:szCs w:val="24"/>
              </w:rPr>
              <w:tab/>
            </w:r>
            <w:r>
              <w:rPr>
                <w:rFonts w:ascii="Times New Roman" w:hAnsi="Times New Roman" w:eastAsia="Times New Roman" w:cs="Times New Roman"/>
                <w:b w:val="0"/>
                <w:bCs w:val="0"/>
                <w:sz w:val="24"/>
                <w:szCs w:val="24"/>
              </w:rPr>
              <w:fldChar w:fldCharType="begin"/>
              <w:instrText xml:space="preserve">PAGEREF _Toc37 \h</w:instrText>
              <w:fldChar w:fldCharType="separate"/>
              <w:t xml:space="preserve">167</w:t>
              <w:fldChar w:fldCharType="end"/>
            </w:r>
          </w:hyperlink>
          <w:r>
            <w:rPr>
              <w:rFonts w:ascii="Times New Roman" w:hAnsi="Times New Roman" w:cs="Times New Roman"/>
              <w:b w:val="0"/>
              <w:bCs w:val="0"/>
              <w:sz w:val="24"/>
              <w:szCs w:val="24"/>
            </w:rPr>
          </w:r>
          <w:r>
            <w:rPr>
              <w:rFonts w:ascii="Times New Roman" w:hAnsi="Times New Roman" w:cs="Times New Roman"/>
              <w:b w:val="0"/>
              <w:bCs w:val="0"/>
              <w:sz w:val="24"/>
              <w:szCs w:val="24"/>
            </w:rPr>
          </w:r>
        </w:p>
        <w:p>
          <w:pPr>
            <w:pStyle w:val="1259"/>
            <w:spacing w:after="0" w:afterAutospacing="0" w:line="240" w:lineRule="auto"/>
            <w:tabs>
              <w:tab w:val="right" w:pos="9345" w:leader="dot"/>
            </w:tabs>
            <w:rPr>
              <w:rFonts w:ascii="Times New Roman" w:hAnsi="Times New Roman" w:cs="Times New Roman"/>
              <w:b w:val="0"/>
              <w:bCs w:val="0"/>
              <w:sz w:val="24"/>
              <w:szCs w:val="24"/>
            </w:rPr>
          </w:pPr>
          <w:r/>
          <w:hyperlink w:tooltip="#_Toc38" w:anchor="_Toc38" w:history="1">
            <w:r>
              <w:rPr>
                <w:rStyle w:val="1237"/>
                <w:rFonts w:ascii="Times New Roman" w:hAnsi="Times New Roman" w:eastAsia="Times New Roman" w:cs="Times New Roman"/>
              </w:rPr>
            </w:r>
            <w:r>
              <w:rPr>
                <w:rStyle w:val="1237"/>
                <w:rFonts w:ascii="Times New Roman" w:hAnsi="Times New Roman" w:eastAsia="Times New Roman" w:cs="Times New Roman"/>
                <w:b w:val="0"/>
                <w:bCs w:val="0"/>
                <w:sz w:val="24"/>
                <w:szCs w:val="24"/>
              </w:rPr>
              <w:t xml:space="preserve">РАЗДЕЛ 13. СОБЛЮДЕНИЕ ПРАВ ГРАЖДАН ПРИ ИСПОЛНЕНИИ СУДЕБНЫХ РЕШЕНИЙ</w:t>
            </w:r>
            <w:r>
              <w:rPr>
                <w:rStyle w:val="1237"/>
                <w:rFonts w:ascii="Times New Roman" w:hAnsi="Times New Roman" w:eastAsia="Times New Roman" w:cs="Times New Roman"/>
                <w:b w:val="0"/>
                <w:bCs w:val="0"/>
                <w:sz w:val="24"/>
                <w:szCs w:val="24"/>
              </w:rPr>
            </w:r>
            <w:r>
              <w:rPr>
                <w:rFonts w:ascii="Times New Roman" w:hAnsi="Times New Roman" w:eastAsia="Times New Roman" w:cs="Times New Roman"/>
                <w:b w:val="0"/>
                <w:bCs w:val="0"/>
                <w:sz w:val="24"/>
                <w:szCs w:val="24"/>
              </w:rPr>
              <w:tab/>
            </w:r>
            <w:r>
              <w:rPr>
                <w:rFonts w:ascii="Times New Roman" w:hAnsi="Times New Roman" w:eastAsia="Times New Roman" w:cs="Times New Roman"/>
                <w:b w:val="0"/>
                <w:bCs w:val="0"/>
                <w:sz w:val="24"/>
                <w:szCs w:val="24"/>
              </w:rPr>
              <w:fldChar w:fldCharType="begin"/>
              <w:instrText xml:space="preserve">PAGEREF _Toc38 \h</w:instrText>
              <w:fldChar w:fldCharType="separate"/>
              <w:t xml:space="preserve">168</w:t>
              <w:fldChar w:fldCharType="end"/>
            </w:r>
          </w:hyperlink>
          <w:r>
            <w:rPr>
              <w:rFonts w:ascii="Times New Roman" w:hAnsi="Times New Roman" w:cs="Times New Roman"/>
              <w:b w:val="0"/>
              <w:bCs w:val="0"/>
              <w:sz w:val="24"/>
              <w:szCs w:val="24"/>
            </w:rPr>
          </w:r>
          <w:r>
            <w:rPr>
              <w:rFonts w:ascii="Times New Roman" w:hAnsi="Times New Roman" w:cs="Times New Roman"/>
              <w:b w:val="0"/>
              <w:bCs w:val="0"/>
              <w:sz w:val="24"/>
              <w:szCs w:val="24"/>
            </w:rPr>
          </w:r>
        </w:p>
        <w:p>
          <w:pPr>
            <w:pStyle w:val="1260"/>
            <w:spacing w:after="0" w:afterAutospacing="0" w:line="240" w:lineRule="auto"/>
            <w:tabs>
              <w:tab w:val="right" w:pos="9345" w:leader="dot"/>
            </w:tabs>
            <w:rPr>
              <w:rFonts w:ascii="Times New Roman" w:hAnsi="Times New Roman" w:cs="Times New Roman"/>
              <w:b w:val="0"/>
              <w:bCs w:val="0"/>
              <w:sz w:val="24"/>
              <w:szCs w:val="24"/>
            </w:rPr>
          </w:pPr>
          <w:r/>
          <w:hyperlink w:tooltip="#_Toc39" w:anchor="_Toc39" w:history="1">
            <w:r>
              <w:rPr>
                <w:rStyle w:val="1237"/>
                <w:rFonts w:ascii="Times New Roman" w:hAnsi="Times New Roman" w:eastAsia="Times New Roman" w:cs="Times New Roman"/>
              </w:rPr>
            </w:r>
            <w:r>
              <w:rPr>
                <w:rStyle w:val="1237"/>
                <w:rFonts w:ascii="Times New Roman" w:hAnsi="Times New Roman" w:eastAsia="Times New Roman" w:cs="Times New Roman"/>
                <w:b w:val="0"/>
                <w:bCs w:val="0"/>
                <w:sz w:val="24"/>
                <w:szCs w:val="24"/>
              </w:rPr>
              <w:t xml:space="preserve">Уполномоченный рекомендует</w:t>
            </w:r>
            <w:r>
              <w:rPr>
                <w:rStyle w:val="1237"/>
                <w:rFonts w:ascii="Times New Roman" w:hAnsi="Times New Roman" w:eastAsia="Times New Roman" w:cs="Times New Roman"/>
                <w:b w:val="0"/>
                <w:bCs w:val="0"/>
                <w:sz w:val="24"/>
                <w:szCs w:val="24"/>
              </w:rPr>
              <w:t xml:space="preserve"> </w:t>
            </w:r>
            <w:r>
              <w:rPr>
                <w:rStyle w:val="1237"/>
                <w:rFonts w:ascii="Times New Roman" w:hAnsi="Times New Roman" w:eastAsia="Times New Roman" w:cs="Times New Roman"/>
                <w:b w:val="0"/>
                <w:bCs w:val="0"/>
                <w:sz w:val="24"/>
                <w:szCs w:val="24"/>
              </w:rPr>
            </w:r>
            <w:r>
              <w:rPr>
                <w:rFonts w:ascii="Times New Roman" w:hAnsi="Times New Roman" w:eastAsia="Times New Roman" w:cs="Times New Roman"/>
                <w:b w:val="0"/>
                <w:bCs w:val="0"/>
                <w:sz w:val="24"/>
                <w:szCs w:val="24"/>
              </w:rPr>
              <w:tab/>
            </w:r>
            <w:r>
              <w:rPr>
                <w:rFonts w:ascii="Times New Roman" w:hAnsi="Times New Roman" w:eastAsia="Times New Roman" w:cs="Times New Roman"/>
                <w:b w:val="0"/>
                <w:bCs w:val="0"/>
                <w:sz w:val="24"/>
                <w:szCs w:val="24"/>
              </w:rPr>
              <w:fldChar w:fldCharType="begin"/>
              <w:instrText xml:space="preserve">PAGEREF _Toc39 \h</w:instrText>
              <w:fldChar w:fldCharType="separate"/>
              <w:t xml:space="preserve">174</w:t>
              <w:fldChar w:fldCharType="end"/>
            </w:r>
          </w:hyperlink>
          <w:r>
            <w:rPr>
              <w:rFonts w:ascii="Times New Roman" w:hAnsi="Times New Roman" w:cs="Times New Roman"/>
              <w:b w:val="0"/>
              <w:bCs w:val="0"/>
              <w:sz w:val="24"/>
              <w:szCs w:val="24"/>
            </w:rPr>
          </w:r>
          <w:r>
            <w:rPr>
              <w:rFonts w:ascii="Times New Roman" w:hAnsi="Times New Roman" w:cs="Times New Roman"/>
              <w:b w:val="0"/>
              <w:bCs w:val="0"/>
              <w:sz w:val="24"/>
              <w:szCs w:val="24"/>
            </w:rPr>
          </w:r>
        </w:p>
        <w:p>
          <w:pPr>
            <w:pStyle w:val="1259"/>
            <w:spacing w:after="0" w:afterAutospacing="0" w:line="240" w:lineRule="auto"/>
            <w:tabs>
              <w:tab w:val="right" w:pos="9345" w:leader="dot"/>
            </w:tabs>
            <w:rPr>
              <w:rFonts w:ascii="Times New Roman" w:hAnsi="Times New Roman" w:cs="Times New Roman"/>
              <w:b w:val="0"/>
              <w:bCs w:val="0"/>
              <w:sz w:val="24"/>
              <w:szCs w:val="24"/>
            </w:rPr>
          </w:pPr>
          <w:r/>
          <w:hyperlink w:tooltip="#_Toc40" w:anchor="_Toc40" w:history="1">
            <w:r>
              <w:rPr>
                <w:rStyle w:val="1237"/>
                <w:rFonts w:ascii="Times New Roman" w:hAnsi="Times New Roman" w:eastAsia="Times New Roman" w:cs="Times New Roman"/>
              </w:rPr>
            </w:r>
            <w:r>
              <w:rPr>
                <w:rStyle w:val="1237"/>
                <w:rFonts w:ascii="Times New Roman" w:hAnsi="Times New Roman" w:eastAsia="Times New Roman" w:cs="Times New Roman"/>
                <w:b w:val="0"/>
                <w:bCs w:val="0"/>
                <w:sz w:val="24"/>
                <w:szCs w:val="24"/>
              </w:rPr>
              <w:t xml:space="preserve">РАЗДЕЛ 14. МЕЖВЕДОМСТВЕННОЕ ВЗАИМОДЕЙСТВИЕ УПОЛНОМОЧЕННОГО ПО ВОПРОСАМ ЗАЩИТЫ ПРАВ И СВОБОД ЧЕЛОВЕКА И ГРАЖДАНИНА</w:t>
            </w:r>
            <w:r>
              <w:rPr>
                <w:rStyle w:val="1237"/>
                <w:rFonts w:ascii="Times New Roman" w:hAnsi="Times New Roman" w:eastAsia="Times New Roman" w:cs="Times New Roman"/>
                <w:b w:val="0"/>
                <w:bCs w:val="0"/>
                <w:sz w:val="24"/>
                <w:szCs w:val="24"/>
              </w:rPr>
            </w:r>
            <w:r>
              <w:rPr>
                <w:rFonts w:ascii="Times New Roman" w:hAnsi="Times New Roman" w:eastAsia="Times New Roman" w:cs="Times New Roman"/>
                <w:b w:val="0"/>
                <w:bCs w:val="0"/>
                <w:sz w:val="24"/>
                <w:szCs w:val="24"/>
              </w:rPr>
              <w:tab/>
            </w:r>
            <w:r>
              <w:rPr>
                <w:rFonts w:ascii="Times New Roman" w:hAnsi="Times New Roman" w:eastAsia="Times New Roman" w:cs="Times New Roman"/>
                <w:b w:val="0"/>
                <w:bCs w:val="0"/>
                <w:sz w:val="24"/>
                <w:szCs w:val="24"/>
              </w:rPr>
              <w:fldChar w:fldCharType="begin"/>
              <w:instrText xml:space="preserve">PAGEREF _Toc40 \h</w:instrText>
              <w:fldChar w:fldCharType="separate"/>
              <w:t xml:space="preserve">174</w:t>
              <w:fldChar w:fldCharType="end"/>
            </w:r>
          </w:hyperlink>
          <w:r>
            <w:rPr>
              <w:rFonts w:ascii="Times New Roman" w:hAnsi="Times New Roman" w:cs="Times New Roman"/>
              <w:b w:val="0"/>
              <w:bCs w:val="0"/>
              <w:sz w:val="24"/>
              <w:szCs w:val="24"/>
            </w:rPr>
          </w:r>
          <w:r>
            <w:rPr>
              <w:rFonts w:ascii="Times New Roman" w:hAnsi="Times New Roman" w:cs="Times New Roman"/>
              <w:b w:val="0"/>
              <w:bCs w:val="0"/>
              <w:sz w:val="24"/>
              <w:szCs w:val="24"/>
            </w:rPr>
          </w:r>
        </w:p>
        <w:p>
          <w:pPr>
            <w:pStyle w:val="1260"/>
            <w:spacing w:after="0" w:afterAutospacing="0" w:line="240" w:lineRule="auto"/>
            <w:tabs>
              <w:tab w:val="right" w:pos="9345" w:leader="dot"/>
            </w:tabs>
            <w:rPr>
              <w:rFonts w:ascii="Times New Roman" w:hAnsi="Times New Roman" w:cs="Times New Roman"/>
              <w:b w:val="0"/>
              <w:bCs w:val="0"/>
              <w:sz w:val="24"/>
              <w:szCs w:val="24"/>
              <w:highlight w:val="none"/>
            </w:rPr>
          </w:pPr>
          <w:r/>
          <w:hyperlink w:tooltip="#_Toc41" w:anchor="_Toc41" w:history="1">
            <w:r>
              <w:rPr>
                <w:rStyle w:val="1237"/>
                <w:rFonts w:ascii="Times New Roman" w:hAnsi="Times New Roman" w:eastAsia="Times New Roman" w:cs="Times New Roman"/>
              </w:rPr>
            </w:r>
            <w:r>
              <w:rPr>
                <w:rStyle w:val="1237"/>
                <w:rFonts w:ascii="Times New Roman" w:hAnsi="Times New Roman" w:eastAsia="Times New Roman" w:cs="Times New Roman"/>
                <w:b w:val="0"/>
                <w:bCs w:val="0"/>
                <w:sz w:val="24"/>
                <w:szCs w:val="24"/>
              </w:rPr>
              <w:t xml:space="preserve">14.1. Взаимодействие с Губернатором Ивановской области,</w:t>
            </w:r>
            <w:r>
              <w:rPr>
                <w:rStyle w:val="1237"/>
                <w:rFonts w:ascii="Times New Roman" w:hAnsi="Times New Roman" w:eastAsia="Times New Roman" w:cs="Times New Roman"/>
                <w:b w:val="0"/>
                <w:bCs w:val="0"/>
                <w:sz w:val="24"/>
                <w:szCs w:val="24"/>
                <w:highlight w:val="none"/>
              </w:rPr>
            </w:r>
            <w:r>
              <w:rPr>
                <w:rFonts w:ascii="Times New Roman" w:hAnsi="Times New Roman" w:eastAsia="Times New Roman" w:cs="Times New Roman"/>
                <w:b w:val="0"/>
                <w:bCs w:val="0"/>
                <w:sz w:val="24"/>
                <w:szCs w:val="24"/>
              </w:rPr>
              <w:tab/>
            </w:r>
            <w:r>
              <w:rPr>
                <w:rFonts w:ascii="Times New Roman" w:hAnsi="Times New Roman" w:eastAsia="Times New Roman" w:cs="Times New Roman"/>
                <w:b w:val="0"/>
                <w:bCs w:val="0"/>
                <w:sz w:val="24"/>
                <w:szCs w:val="24"/>
              </w:rPr>
              <w:fldChar w:fldCharType="begin"/>
              <w:instrText xml:space="preserve">PAGEREF _Toc41 \h</w:instrText>
              <w:fldChar w:fldCharType="separate"/>
              <w:t xml:space="preserve">177</w:t>
              <w:fldChar w:fldCharType="end"/>
            </w:r>
          </w:hyperlink>
          <w:r>
            <w:rPr>
              <w:rFonts w:ascii="Times New Roman" w:hAnsi="Times New Roman" w:cs="Times New Roman"/>
              <w:b w:val="0"/>
              <w:bCs w:val="0"/>
              <w:sz w:val="24"/>
              <w:szCs w:val="24"/>
              <w:highlight w:val="none"/>
            </w:rPr>
          </w:r>
          <w:r>
            <w:rPr>
              <w:rFonts w:ascii="Times New Roman" w:hAnsi="Times New Roman" w:cs="Times New Roman"/>
              <w:b w:val="0"/>
              <w:bCs w:val="0"/>
              <w:sz w:val="24"/>
              <w:szCs w:val="24"/>
              <w:highlight w:val="none"/>
            </w:rPr>
          </w:r>
        </w:p>
        <w:p>
          <w:pPr>
            <w:pStyle w:val="1260"/>
            <w:spacing w:after="0" w:afterAutospacing="0" w:line="240" w:lineRule="auto"/>
            <w:tabs>
              <w:tab w:val="right" w:pos="9345" w:leader="dot"/>
            </w:tabs>
            <w:rPr>
              <w:rFonts w:ascii="Times New Roman" w:hAnsi="Times New Roman" w:cs="Times New Roman"/>
              <w:b w:val="0"/>
              <w:bCs w:val="0"/>
              <w:sz w:val="24"/>
              <w:szCs w:val="24"/>
            </w:rPr>
          </w:pPr>
          <w:r/>
          <w:hyperlink w:tooltip="#_Toc42" w:anchor="_Toc42" w:history="1">
            <w:r>
              <w:rPr>
                <w:rStyle w:val="1237"/>
                <w:rFonts w:ascii="Times New Roman" w:hAnsi="Times New Roman" w:eastAsia="Times New Roman" w:cs="Times New Roman"/>
              </w:rPr>
            </w:r>
            <w:r>
              <w:rPr>
                <w:rStyle w:val="1237"/>
                <w:rFonts w:ascii="Times New Roman" w:hAnsi="Times New Roman" w:eastAsia="Times New Roman" w:cs="Times New Roman"/>
                <w:b w:val="0"/>
                <w:bCs w:val="0"/>
                <w:sz w:val="24"/>
                <w:szCs w:val="24"/>
              </w:rPr>
              <w:t xml:space="preserve">органами власти и Ивановской областной Думой</w:t>
            </w:r>
            <w:r>
              <w:rPr>
                <w:rStyle w:val="1237"/>
                <w:rFonts w:ascii="Times New Roman" w:hAnsi="Times New Roman" w:eastAsia="Times New Roman" w:cs="Times New Roman"/>
                <w:b w:val="0"/>
                <w:bCs w:val="0"/>
                <w:sz w:val="24"/>
                <w:szCs w:val="24"/>
              </w:rPr>
            </w:r>
            <w:r>
              <w:rPr>
                <w:rFonts w:ascii="Times New Roman" w:hAnsi="Times New Roman" w:eastAsia="Times New Roman" w:cs="Times New Roman"/>
                <w:b w:val="0"/>
                <w:bCs w:val="0"/>
                <w:sz w:val="24"/>
                <w:szCs w:val="24"/>
              </w:rPr>
              <w:tab/>
            </w:r>
            <w:r>
              <w:rPr>
                <w:rFonts w:ascii="Times New Roman" w:hAnsi="Times New Roman" w:eastAsia="Times New Roman" w:cs="Times New Roman"/>
                <w:b w:val="0"/>
                <w:bCs w:val="0"/>
                <w:sz w:val="24"/>
                <w:szCs w:val="24"/>
              </w:rPr>
              <w:fldChar w:fldCharType="begin"/>
              <w:instrText xml:space="preserve">PAGEREF _Toc42 \h</w:instrText>
              <w:fldChar w:fldCharType="separate"/>
              <w:t xml:space="preserve">177</w:t>
              <w:fldChar w:fldCharType="end"/>
            </w:r>
          </w:hyperlink>
          <w:r>
            <w:rPr>
              <w:rFonts w:ascii="Times New Roman" w:hAnsi="Times New Roman" w:cs="Times New Roman"/>
              <w:b w:val="0"/>
              <w:bCs w:val="0"/>
              <w:sz w:val="24"/>
              <w:szCs w:val="24"/>
            </w:rPr>
          </w:r>
          <w:r>
            <w:rPr>
              <w:rFonts w:ascii="Times New Roman" w:hAnsi="Times New Roman" w:cs="Times New Roman"/>
              <w:b w:val="0"/>
              <w:bCs w:val="0"/>
              <w:sz w:val="24"/>
              <w:szCs w:val="24"/>
            </w:rPr>
          </w:r>
        </w:p>
        <w:p>
          <w:pPr>
            <w:pStyle w:val="1260"/>
            <w:spacing w:after="0" w:afterAutospacing="0" w:line="240" w:lineRule="auto"/>
            <w:tabs>
              <w:tab w:val="right" w:pos="9345" w:leader="dot"/>
            </w:tabs>
            <w:rPr>
              <w:rFonts w:ascii="Times New Roman" w:hAnsi="Times New Roman" w:cs="Times New Roman"/>
              <w:b w:val="0"/>
              <w:bCs w:val="0"/>
              <w:sz w:val="24"/>
              <w:szCs w:val="24"/>
            </w:rPr>
          </w:pPr>
          <w:r/>
          <w:hyperlink w:tooltip="#_Toc43" w:anchor="_Toc43" w:history="1">
            <w:r>
              <w:rPr>
                <w:rStyle w:val="1237"/>
                <w:rFonts w:ascii="Times New Roman" w:hAnsi="Times New Roman" w:eastAsia="Times New Roman" w:cs="Times New Roman"/>
              </w:rPr>
            </w:r>
            <w:r>
              <w:rPr>
                <w:rStyle w:val="1237"/>
                <w:rFonts w:ascii="Times New Roman" w:hAnsi="Times New Roman" w:eastAsia="Times New Roman" w:cs="Times New Roman"/>
                <w:b w:val="0"/>
                <w:bCs w:val="0"/>
                <w:sz w:val="24"/>
                <w:szCs w:val="24"/>
              </w:rPr>
              <w:t xml:space="preserve">14.2. Сотрудничество с Уполномоченным по правам человека в Российской Федерации и правозащитниками из других субъектов страны</w:t>
            </w:r>
            <w:r>
              <w:rPr>
                <w:rStyle w:val="1237"/>
                <w:rFonts w:ascii="Times New Roman" w:hAnsi="Times New Roman" w:eastAsia="Times New Roman" w:cs="Times New Roman"/>
                <w:b w:val="0"/>
                <w:bCs w:val="0"/>
                <w:sz w:val="24"/>
                <w:szCs w:val="24"/>
              </w:rPr>
            </w:r>
            <w:r>
              <w:rPr>
                <w:rFonts w:ascii="Times New Roman" w:hAnsi="Times New Roman" w:eastAsia="Times New Roman" w:cs="Times New Roman"/>
                <w:b w:val="0"/>
                <w:bCs w:val="0"/>
                <w:sz w:val="24"/>
                <w:szCs w:val="24"/>
              </w:rPr>
              <w:tab/>
            </w:r>
            <w:r>
              <w:rPr>
                <w:rFonts w:ascii="Times New Roman" w:hAnsi="Times New Roman" w:eastAsia="Times New Roman" w:cs="Times New Roman"/>
                <w:b w:val="0"/>
                <w:bCs w:val="0"/>
                <w:sz w:val="24"/>
                <w:szCs w:val="24"/>
              </w:rPr>
              <w:fldChar w:fldCharType="begin"/>
              <w:instrText xml:space="preserve">PAGEREF _Toc43 \h</w:instrText>
              <w:fldChar w:fldCharType="separate"/>
              <w:t xml:space="preserve">181</w:t>
              <w:fldChar w:fldCharType="end"/>
            </w:r>
          </w:hyperlink>
          <w:r>
            <w:rPr>
              <w:rFonts w:ascii="Times New Roman" w:hAnsi="Times New Roman" w:cs="Times New Roman"/>
              <w:b w:val="0"/>
              <w:bCs w:val="0"/>
              <w:sz w:val="24"/>
              <w:szCs w:val="24"/>
            </w:rPr>
          </w:r>
          <w:r>
            <w:rPr>
              <w:rFonts w:ascii="Times New Roman" w:hAnsi="Times New Roman" w:cs="Times New Roman"/>
              <w:b w:val="0"/>
              <w:bCs w:val="0"/>
              <w:sz w:val="24"/>
              <w:szCs w:val="24"/>
            </w:rPr>
          </w:r>
        </w:p>
        <w:p>
          <w:pPr>
            <w:pStyle w:val="1260"/>
            <w:spacing w:after="0" w:afterAutospacing="0" w:line="240" w:lineRule="auto"/>
            <w:tabs>
              <w:tab w:val="right" w:pos="9345" w:leader="dot"/>
            </w:tabs>
            <w:rPr>
              <w:rFonts w:ascii="Times New Roman" w:hAnsi="Times New Roman" w:cs="Times New Roman"/>
              <w:b w:val="0"/>
              <w:bCs w:val="0"/>
              <w:sz w:val="24"/>
              <w:szCs w:val="24"/>
            </w:rPr>
          </w:pPr>
          <w:r/>
          <w:hyperlink w:tooltip="#_Toc44" w:anchor="_Toc44" w:history="1">
            <w:r>
              <w:rPr>
                <w:rStyle w:val="1237"/>
                <w:rFonts w:ascii="Times New Roman" w:hAnsi="Times New Roman" w:eastAsia="Times New Roman" w:cs="Times New Roman"/>
              </w:rPr>
            </w:r>
            <w:r>
              <w:rPr>
                <w:rStyle w:val="1237"/>
                <w:rFonts w:ascii="Times New Roman" w:hAnsi="Times New Roman" w:eastAsia="Times New Roman" w:cs="Times New Roman"/>
                <w:b w:val="0"/>
                <w:bCs w:val="0"/>
                <w:sz w:val="24"/>
                <w:szCs w:val="24"/>
              </w:rPr>
              <w:t xml:space="preserve">14.3. Взаимодействие с Избирательной комиссией Ивановской области</w:t>
            </w:r>
            <w:r>
              <w:rPr>
                <w:rStyle w:val="1237"/>
                <w:rFonts w:ascii="Times New Roman" w:hAnsi="Times New Roman" w:eastAsia="Times New Roman" w:cs="Times New Roman"/>
                <w:b w:val="0"/>
                <w:bCs w:val="0"/>
                <w:sz w:val="24"/>
                <w:szCs w:val="24"/>
              </w:rPr>
              <w:t xml:space="preserve"> </w:t>
            </w:r>
            <w:r>
              <w:rPr>
                <w:rStyle w:val="1237"/>
                <w:rFonts w:ascii="Times New Roman" w:hAnsi="Times New Roman" w:eastAsia="Times New Roman" w:cs="Times New Roman"/>
                <w:b w:val="0"/>
                <w:bCs w:val="0"/>
                <w:sz w:val="24"/>
                <w:szCs w:val="24"/>
              </w:rPr>
            </w:r>
            <w:r>
              <w:rPr>
                <w:rFonts w:ascii="Times New Roman" w:hAnsi="Times New Roman" w:eastAsia="Times New Roman" w:cs="Times New Roman"/>
                <w:b w:val="0"/>
                <w:bCs w:val="0"/>
                <w:sz w:val="24"/>
                <w:szCs w:val="24"/>
              </w:rPr>
              <w:tab/>
            </w:r>
            <w:r>
              <w:rPr>
                <w:rFonts w:ascii="Times New Roman" w:hAnsi="Times New Roman" w:eastAsia="Times New Roman" w:cs="Times New Roman"/>
                <w:b w:val="0"/>
                <w:bCs w:val="0"/>
                <w:sz w:val="24"/>
                <w:szCs w:val="24"/>
              </w:rPr>
              <w:fldChar w:fldCharType="begin"/>
              <w:instrText xml:space="preserve">PAGEREF _Toc44 \h</w:instrText>
              <w:fldChar w:fldCharType="separate"/>
              <w:t xml:space="preserve">184</w:t>
              <w:fldChar w:fldCharType="end"/>
            </w:r>
          </w:hyperlink>
          <w:r>
            <w:rPr>
              <w:rFonts w:ascii="Times New Roman" w:hAnsi="Times New Roman" w:cs="Times New Roman"/>
              <w:b w:val="0"/>
              <w:bCs w:val="0"/>
              <w:sz w:val="24"/>
              <w:szCs w:val="24"/>
            </w:rPr>
          </w:r>
          <w:r>
            <w:rPr>
              <w:rFonts w:ascii="Times New Roman" w:hAnsi="Times New Roman" w:cs="Times New Roman"/>
              <w:b w:val="0"/>
              <w:bCs w:val="0"/>
              <w:sz w:val="24"/>
              <w:szCs w:val="24"/>
            </w:rPr>
          </w:r>
        </w:p>
        <w:p>
          <w:pPr>
            <w:pStyle w:val="1260"/>
            <w:spacing w:after="0" w:afterAutospacing="0" w:line="240" w:lineRule="auto"/>
            <w:tabs>
              <w:tab w:val="right" w:pos="9345" w:leader="dot"/>
            </w:tabs>
            <w:rPr>
              <w:rFonts w:ascii="Times New Roman" w:hAnsi="Times New Roman" w:cs="Times New Roman"/>
              <w:b w:val="0"/>
              <w:bCs w:val="0"/>
              <w:sz w:val="24"/>
              <w:szCs w:val="24"/>
            </w:rPr>
          </w:pPr>
          <w:r/>
          <w:hyperlink w:tooltip="#_Toc45" w:anchor="_Toc45" w:history="1">
            <w:r>
              <w:rPr>
                <w:rStyle w:val="1237"/>
                <w:rFonts w:ascii="Times New Roman" w:hAnsi="Times New Roman" w:eastAsia="Times New Roman" w:cs="Times New Roman"/>
              </w:rPr>
            </w:r>
            <w:r>
              <w:rPr>
                <w:rStyle w:val="1237"/>
                <w:rFonts w:ascii="Times New Roman" w:hAnsi="Times New Roman" w:eastAsia="Times New Roman" w:cs="Times New Roman"/>
                <w:b w:val="0"/>
                <w:bCs w:val="0"/>
                <w:sz w:val="24"/>
                <w:szCs w:val="24"/>
              </w:rPr>
              <w:t xml:space="preserve">14.4. Соучастие в деятельности институтов гражданского общества, НКО и образовательных организаций</w:t>
            </w:r>
            <w:r>
              <w:rPr>
                <w:rStyle w:val="1237"/>
                <w:rFonts w:ascii="Times New Roman" w:hAnsi="Times New Roman" w:eastAsia="Times New Roman" w:cs="Times New Roman"/>
                <w:b w:val="0"/>
                <w:bCs w:val="0"/>
                <w:sz w:val="24"/>
                <w:szCs w:val="24"/>
              </w:rPr>
            </w:r>
            <w:r>
              <w:rPr>
                <w:rFonts w:ascii="Times New Roman" w:hAnsi="Times New Roman" w:eastAsia="Times New Roman" w:cs="Times New Roman"/>
                <w:b w:val="0"/>
                <w:bCs w:val="0"/>
                <w:sz w:val="24"/>
                <w:szCs w:val="24"/>
              </w:rPr>
              <w:tab/>
            </w:r>
            <w:r>
              <w:rPr>
                <w:rFonts w:ascii="Times New Roman" w:hAnsi="Times New Roman" w:eastAsia="Times New Roman" w:cs="Times New Roman"/>
                <w:b w:val="0"/>
                <w:bCs w:val="0"/>
                <w:sz w:val="24"/>
                <w:szCs w:val="24"/>
              </w:rPr>
              <w:fldChar w:fldCharType="begin"/>
              <w:instrText xml:space="preserve">PAGEREF _Toc45 \h</w:instrText>
              <w:fldChar w:fldCharType="separate"/>
              <w:t xml:space="preserve">186</w:t>
              <w:fldChar w:fldCharType="end"/>
            </w:r>
          </w:hyperlink>
          <w:r>
            <w:rPr>
              <w:rFonts w:ascii="Times New Roman" w:hAnsi="Times New Roman" w:cs="Times New Roman"/>
              <w:b w:val="0"/>
              <w:bCs w:val="0"/>
              <w:sz w:val="24"/>
              <w:szCs w:val="24"/>
            </w:rPr>
          </w:r>
          <w:r>
            <w:rPr>
              <w:rFonts w:ascii="Times New Roman" w:hAnsi="Times New Roman" w:cs="Times New Roman"/>
              <w:b w:val="0"/>
              <w:bCs w:val="0"/>
              <w:sz w:val="24"/>
              <w:szCs w:val="24"/>
            </w:rPr>
          </w:r>
        </w:p>
        <w:p>
          <w:pPr>
            <w:pStyle w:val="1260"/>
            <w:spacing w:after="0" w:afterAutospacing="0" w:line="240" w:lineRule="auto"/>
            <w:tabs>
              <w:tab w:val="right" w:pos="9345" w:leader="dot"/>
            </w:tabs>
            <w:rPr>
              <w:rFonts w:ascii="Times New Roman" w:hAnsi="Times New Roman" w:cs="Times New Roman"/>
              <w:b w:val="0"/>
              <w:bCs w:val="0"/>
              <w:sz w:val="24"/>
              <w:szCs w:val="24"/>
            </w:rPr>
          </w:pPr>
          <w:r/>
          <w:hyperlink w:tooltip="#_Toc46" w:anchor="_Toc46" w:history="1">
            <w:r>
              <w:rPr>
                <w:rStyle w:val="1237"/>
                <w:rFonts w:ascii="Times New Roman" w:hAnsi="Times New Roman" w:eastAsia="Times New Roman" w:cs="Times New Roman"/>
              </w:rPr>
            </w:r>
            <w:r>
              <w:rPr>
                <w:rStyle w:val="1237"/>
                <w:rFonts w:ascii="Times New Roman" w:hAnsi="Times New Roman" w:eastAsia="Times New Roman" w:cs="Times New Roman"/>
                <w:b w:val="0"/>
                <w:bCs w:val="0"/>
                <w:sz w:val="24"/>
                <w:szCs w:val="24"/>
              </w:rPr>
              <w:t xml:space="preserve">14.5. Партнерство со СМИ и освещение деятельности</w:t>
            </w:r>
            <w:r>
              <w:rPr>
                <w:rStyle w:val="1237"/>
                <w:rFonts w:ascii="Times New Roman" w:hAnsi="Times New Roman" w:eastAsia="Times New Roman" w:cs="Times New Roman"/>
                <w:b w:val="0"/>
                <w:bCs w:val="0"/>
                <w:sz w:val="24"/>
                <w:szCs w:val="24"/>
              </w:rPr>
            </w:r>
            <w:r>
              <w:rPr>
                <w:rFonts w:ascii="Times New Roman" w:hAnsi="Times New Roman" w:eastAsia="Times New Roman" w:cs="Times New Roman"/>
                <w:b w:val="0"/>
                <w:bCs w:val="0"/>
                <w:sz w:val="24"/>
                <w:szCs w:val="24"/>
              </w:rPr>
              <w:tab/>
            </w:r>
            <w:r>
              <w:rPr>
                <w:rFonts w:ascii="Times New Roman" w:hAnsi="Times New Roman" w:eastAsia="Times New Roman" w:cs="Times New Roman"/>
                <w:b w:val="0"/>
                <w:bCs w:val="0"/>
                <w:sz w:val="24"/>
                <w:szCs w:val="24"/>
              </w:rPr>
              <w:fldChar w:fldCharType="begin"/>
              <w:instrText xml:space="preserve">PAGEREF _Toc46 \h</w:instrText>
              <w:fldChar w:fldCharType="separate"/>
              <w:t xml:space="preserve">196</w:t>
              <w:fldChar w:fldCharType="end"/>
            </w:r>
          </w:hyperlink>
          <w:r>
            <w:rPr>
              <w:rFonts w:ascii="Times New Roman" w:hAnsi="Times New Roman" w:cs="Times New Roman"/>
              <w:b w:val="0"/>
              <w:bCs w:val="0"/>
              <w:sz w:val="24"/>
              <w:szCs w:val="24"/>
            </w:rPr>
          </w:r>
          <w:r>
            <w:rPr>
              <w:rFonts w:ascii="Times New Roman" w:hAnsi="Times New Roman" w:cs="Times New Roman"/>
              <w:b w:val="0"/>
              <w:bCs w:val="0"/>
              <w:sz w:val="24"/>
              <w:szCs w:val="24"/>
            </w:rPr>
          </w:r>
        </w:p>
        <w:p>
          <w:pPr>
            <w:pStyle w:val="1260"/>
            <w:spacing w:after="0" w:afterAutospacing="0" w:line="240" w:lineRule="auto"/>
            <w:tabs>
              <w:tab w:val="right" w:pos="9345" w:leader="dot"/>
            </w:tabs>
            <w:rPr>
              <w:rFonts w:ascii="Times New Roman" w:hAnsi="Times New Roman" w:cs="Times New Roman"/>
              <w:b w:val="0"/>
              <w:bCs w:val="0"/>
              <w:sz w:val="24"/>
              <w:szCs w:val="24"/>
            </w:rPr>
          </w:pPr>
          <w:r/>
          <w:hyperlink w:tooltip="#_Toc47" w:anchor="_Toc47" w:history="1">
            <w:r>
              <w:rPr>
                <w:rStyle w:val="1237"/>
                <w:rFonts w:ascii="Times New Roman" w:hAnsi="Times New Roman" w:eastAsia="Times New Roman" w:cs="Times New Roman"/>
              </w:rPr>
            </w:r>
            <w:r>
              <w:rPr>
                <w:rStyle w:val="1237"/>
                <w:rFonts w:ascii="Times New Roman" w:hAnsi="Times New Roman" w:eastAsia="Times New Roman" w:cs="Times New Roman"/>
                <w:b w:val="0"/>
                <w:bCs w:val="0"/>
                <w:sz w:val="24"/>
                <w:szCs w:val="24"/>
              </w:rPr>
              <w:t xml:space="preserve">14.6. Работа Экспертного совета, Молодежного общественного совета и общественных помощников Уполномоченного</w:t>
            </w:r>
            <w:r>
              <w:rPr>
                <w:rStyle w:val="1237"/>
                <w:rFonts w:ascii="Times New Roman" w:hAnsi="Times New Roman" w:eastAsia="Times New Roman" w:cs="Times New Roman"/>
                <w:b w:val="0"/>
                <w:bCs w:val="0"/>
                <w:sz w:val="24"/>
                <w:szCs w:val="24"/>
              </w:rPr>
            </w:r>
            <w:r>
              <w:rPr>
                <w:rFonts w:ascii="Times New Roman" w:hAnsi="Times New Roman" w:eastAsia="Times New Roman" w:cs="Times New Roman"/>
                <w:b w:val="0"/>
                <w:bCs w:val="0"/>
                <w:sz w:val="24"/>
                <w:szCs w:val="24"/>
              </w:rPr>
              <w:tab/>
            </w:r>
            <w:r>
              <w:rPr>
                <w:rFonts w:ascii="Times New Roman" w:hAnsi="Times New Roman" w:eastAsia="Times New Roman" w:cs="Times New Roman"/>
                <w:b w:val="0"/>
                <w:bCs w:val="0"/>
                <w:sz w:val="24"/>
                <w:szCs w:val="24"/>
              </w:rPr>
              <w:fldChar w:fldCharType="begin"/>
              <w:instrText xml:space="preserve">PAGEREF _Toc47 \h</w:instrText>
              <w:fldChar w:fldCharType="separate"/>
              <w:t xml:space="preserve">198</w:t>
              <w:fldChar w:fldCharType="end"/>
            </w:r>
          </w:hyperlink>
          <w:r>
            <w:rPr>
              <w:rFonts w:ascii="Times New Roman" w:hAnsi="Times New Roman" w:cs="Times New Roman"/>
              <w:b w:val="0"/>
              <w:bCs w:val="0"/>
              <w:sz w:val="24"/>
              <w:szCs w:val="24"/>
            </w:rPr>
          </w:r>
          <w:r>
            <w:rPr>
              <w:rFonts w:ascii="Times New Roman" w:hAnsi="Times New Roman" w:cs="Times New Roman"/>
              <w:b w:val="0"/>
              <w:bCs w:val="0"/>
              <w:sz w:val="24"/>
              <w:szCs w:val="24"/>
            </w:rPr>
          </w:r>
        </w:p>
        <w:p>
          <w:pPr>
            <w:pStyle w:val="1260"/>
            <w:spacing w:after="0" w:afterAutospacing="0" w:line="240" w:lineRule="auto"/>
            <w:tabs>
              <w:tab w:val="right" w:pos="9345" w:leader="dot"/>
            </w:tabs>
            <w:rPr>
              <w:rFonts w:ascii="Times New Roman" w:hAnsi="Times New Roman" w:cs="Times New Roman"/>
              <w:b w:val="0"/>
              <w:bCs w:val="0"/>
              <w:sz w:val="24"/>
              <w:szCs w:val="24"/>
            </w:rPr>
          </w:pPr>
          <w:r/>
          <w:hyperlink w:tooltip="#_Toc48" w:anchor="_Toc48" w:history="1">
            <w:r>
              <w:rPr>
                <w:rStyle w:val="1237"/>
                <w:rFonts w:ascii="Times New Roman" w:hAnsi="Times New Roman" w:eastAsia="Times New Roman" w:cs="Times New Roman"/>
              </w:rPr>
            </w:r>
            <w:r>
              <w:rPr>
                <w:rStyle w:val="1237"/>
                <w:rFonts w:ascii="Times New Roman" w:hAnsi="Times New Roman" w:eastAsia="Times New Roman" w:cs="Times New Roman"/>
                <w:b w:val="0"/>
                <w:bCs w:val="0"/>
                <w:sz w:val="24"/>
                <w:szCs w:val="24"/>
              </w:rPr>
              <w:t xml:space="preserve">14.7. О расширении механизмов защиты прав человека</w:t>
            </w:r>
            <w:r>
              <w:rPr>
                <w:rStyle w:val="1237"/>
                <w:rFonts w:ascii="Times New Roman" w:hAnsi="Times New Roman" w:eastAsia="Times New Roman" w:cs="Times New Roman"/>
                <w:b w:val="0"/>
                <w:bCs w:val="0"/>
                <w:sz w:val="24"/>
                <w:szCs w:val="24"/>
              </w:rPr>
            </w:r>
            <w:r>
              <w:rPr>
                <w:rFonts w:ascii="Times New Roman" w:hAnsi="Times New Roman" w:eastAsia="Times New Roman" w:cs="Times New Roman"/>
                <w:b w:val="0"/>
                <w:bCs w:val="0"/>
                <w:sz w:val="24"/>
                <w:szCs w:val="24"/>
              </w:rPr>
              <w:tab/>
            </w:r>
            <w:r>
              <w:rPr>
                <w:rFonts w:ascii="Times New Roman" w:hAnsi="Times New Roman" w:eastAsia="Times New Roman" w:cs="Times New Roman"/>
                <w:b w:val="0"/>
                <w:bCs w:val="0"/>
                <w:sz w:val="24"/>
                <w:szCs w:val="24"/>
              </w:rPr>
              <w:fldChar w:fldCharType="begin"/>
              <w:instrText xml:space="preserve">PAGEREF _Toc48 \h</w:instrText>
              <w:fldChar w:fldCharType="separate"/>
              <w:t xml:space="preserve">204</w:t>
              <w:fldChar w:fldCharType="end"/>
            </w:r>
          </w:hyperlink>
          <w:r>
            <w:rPr>
              <w:rFonts w:ascii="Times New Roman" w:hAnsi="Times New Roman" w:cs="Times New Roman"/>
              <w:b w:val="0"/>
              <w:bCs w:val="0"/>
              <w:sz w:val="24"/>
              <w:szCs w:val="24"/>
            </w:rPr>
          </w:r>
          <w:r>
            <w:rPr>
              <w:rFonts w:ascii="Times New Roman" w:hAnsi="Times New Roman" w:cs="Times New Roman"/>
              <w:b w:val="0"/>
              <w:bCs w:val="0"/>
              <w:sz w:val="24"/>
              <w:szCs w:val="24"/>
            </w:rPr>
          </w:r>
        </w:p>
        <w:p>
          <w:pPr>
            <w:pStyle w:val="1260"/>
            <w:spacing w:after="0" w:afterAutospacing="0" w:line="240" w:lineRule="auto"/>
            <w:tabs>
              <w:tab w:val="right" w:pos="9345" w:leader="dot"/>
            </w:tabs>
            <w:rPr>
              <w:rFonts w:ascii="Times New Roman" w:hAnsi="Times New Roman" w:cs="Times New Roman"/>
              <w:b w:val="0"/>
              <w:bCs w:val="0"/>
              <w:sz w:val="24"/>
              <w:szCs w:val="24"/>
              <w:highlight w:val="none"/>
            </w:rPr>
          </w:pPr>
          <w:r/>
          <w:hyperlink w:tooltip="#_Toc49" w:anchor="_Toc49" w:history="1">
            <w:r>
              <w:rPr>
                <w:rStyle w:val="1237"/>
                <w:rFonts w:ascii="Times New Roman" w:hAnsi="Times New Roman" w:eastAsia="Times New Roman" w:cs="Times New Roman"/>
              </w:rPr>
            </w:r>
            <w:r>
              <w:rPr>
                <w:rStyle w:val="1237"/>
                <w:rFonts w:ascii="Times New Roman" w:hAnsi="Times New Roman" w:eastAsia="Times New Roman" w:cs="Times New Roman"/>
                <w:b w:val="0"/>
                <w:bCs w:val="0"/>
                <w:sz w:val="24"/>
                <w:szCs w:val="24"/>
              </w:rPr>
              <w:t xml:space="preserve">Уполномоченный рекомендует</w:t>
            </w:r>
            <w:r>
              <w:rPr>
                <w:rStyle w:val="1237"/>
                <w:rFonts w:ascii="Times New Roman" w:hAnsi="Times New Roman" w:eastAsia="Times New Roman" w:cs="Times New Roman"/>
                <w:b w:val="0"/>
                <w:bCs w:val="0"/>
                <w:sz w:val="24"/>
                <w:szCs w:val="24"/>
                <w:highlight w:val="none"/>
              </w:rPr>
            </w:r>
            <w:r>
              <w:rPr>
                <w:rFonts w:ascii="Times New Roman" w:hAnsi="Times New Roman" w:eastAsia="Times New Roman" w:cs="Times New Roman"/>
                <w:b w:val="0"/>
                <w:bCs w:val="0"/>
                <w:sz w:val="24"/>
                <w:szCs w:val="24"/>
              </w:rPr>
              <w:tab/>
            </w:r>
            <w:r>
              <w:rPr>
                <w:rFonts w:ascii="Times New Roman" w:hAnsi="Times New Roman" w:eastAsia="Times New Roman" w:cs="Times New Roman"/>
                <w:b w:val="0"/>
                <w:bCs w:val="0"/>
                <w:sz w:val="24"/>
                <w:szCs w:val="24"/>
              </w:rPr>
              <w:fldChar w:fldCharType="begin"/>
              <w:instrText xml:space="preserve">PAGEREF _Toc49 \h</w:instrText>
              <w:fldChar w:fldCharType="separate"/>
              <w:t xml:space="preserve">206</w:t>
              <w:fldChar w:fldCharType="end"/>
            </w:r>
          </w:hyperlink>
          <w:r>
            <w:rPr>
              <w:rFonts w:ascii="Times New Roman" w:hAnsi="Times New Roman" w:cs="Times New Roman"/>
              <w:b w:val="0"/>
              <w:bCs w:val="0"/>
              <w:sz w:val="24"/>
              <w:szCs w:val="24"/>
              <w:highlight w:val="none"/>
            </w:rPr>
          </w:r>
          <w:r>
            <w:rPr>
              <w:rFonts w:ascii="Times New Roman" w:hAnsi="Times New Roman" w:cs="Times New Roman"/>
              <w:b w:val="0"/>
              <w:bCs w:val="0"/>
              <w:sz w:val="24"/>
              <w:szCs w:val="24"/>
              <w:highlight w:val="none"/>
            </w:rPr>
          </w:r>
        </w:p>
        <w:p>
          <w:pPr>
            <w:pStyle w:val="1259"/>
            <w:spacing w:after="0" w:afterAutospacing="0" w:line="240" w:lineRule="auto"/>
            <w:tabs>
              <w:tab w:val="right" w:pos="9345" w:leader="dot"/>
            </w:tabs>
            <w:rPr>
              <w:rFonts w:ascii="Times New Roman" w:hAnsi="Times New Roman" w:cs="Times New Roman"/>
              <w:b w:val="0"/>
              <w:bCs w:val="0"/>
              <w:sz w:val="24"/>
              <w:szCs w:val="24"/>
            </w:rPr>
          </w:pPr>
          <w:r/>
          <w:hyperlink w:tooltip="#_Toc50" w:anchor="_Toc50" w:history="1">
            <w:r>
              <w:rPr>
                <w:rStyle w:val="1237"/>
                <w:rFonts w:ascii="Times New Roman" w:hAnsi="Times New Roman" w:eastAsia="Times New Roman" w:cs="Times New Roman"/>
              </w:rPr>
            </w:r>
            <w:r>
              <w:rPr>
                <w:rStyle w:val="1237"/>
                <w:rFonts w:ascii="Times New Roman" w:hAnsi="Times New Roman" w:eastAsia="Times New Roman" w:cs="Times New Roman"/>
                <w:b w:val="0"/>
                <w:bCs w:val="0"/>
                <w:sz w:val="24"/>
                <w:szCs w:val="24"/>
              </w:rPr>
              <w:t xml:space="preserve">РАЗДЕЛ 15. ПРАВОВОЕ ПРОСВЕЩЕНИЕ И ПРАВОВОЕ ВОСПИТАНИЕ КАК ИНСТРУМЕНТЫ ФОРМИРОВАНИЯ ПРАВОВОЙ КУЛЬТУРЫ ГРАЖДАН И ЗАЩИТЫ ИХ ПРАВ</w:t>
            </w:r>
            <w:r>
              <w:rPr>
                <w:rStyle w:val="1237"/>
                <w:rFonts w:ascii="Times New Roman" w:hAnsi="Times New Roman" w:eastAsia="Times New Roman" w:cs="Times New Roman"/>
                <w:b w:val="0"/>
                <w:bCs w:val="0"/>
                <w:sz w:val="24"/>
                <w:szCs w:val="24"/>
              </w:rPr>
            </w:r>
            <w:r>
              <w:rPr>
                <w:rFonts w:ascii="Times New Roman" w:hAnsi="Times New Roman" w:eastAsia="Times New Roman" w:cs="Times New Roman"/>
                <w:b w:val="0"/>
                <w:bCs w:val="0"/>
                <w:sz w:val="24"/>
                <w:szCs w:val="24"/>
              </w:rPr>
              <w:tab/>
            </w:r>
            <w:r>
              <w:rPr>
                <w:rFonts w:ascii="Times New Roman" w:hAnsi="Times New Roman" w:eastAsia="Times New Roman" w:cs="Times New Roman"/>
                <w:b w:val="0"/>
                <w:bCs w:val="0"/>
                <w:sz w:val="24"/>
                <w:szCs w:val="24"/>
              </w:rPr>
              <w:fldChar w:fldCharType="begin"/>
              <w:instrText xml:space="preserve">PAGEREF _Toc50 \h</w:instrText>
              <w:fldChar w:fldCharType="separate"/>
              <w:t xml:space="preserve">207</w:t>
              <w:fldChar w:fldCharType="end"/>
            </w:r>
          </w:hyperlink>
          <w:r>
            <w:rPr>
              <w:rFonts w:ascii="Times New Roman" w:hAnsi="Times New Roman" w:cs="Times New Roman"/>
              <w:b w:val="0"/>
              <w:bCs w:val="0"/>
              <w:sz w:val="24"/>
              <w:szCs w:val="24"/>
            </w:rPr>
          </w:r>
          <w:r>
            <w:rPr>
              <w:rFonts w:ascii="Times New Roman" w:hAnsi="Times New Roman" w:cs="Times New Roman"/>
              <w:b w:val="0"/>
              <w:bCs w:val="0"/>
              <w:sz w:val="24"/>
              <w:szCs w:val="24"/>
            </w:rPr>
          </w:r>
        </w:p>
        <w:p>
          <w:pPr>
            <w:pStyle w:val="1260"/>
            <w:spacing w:after="0" w:afterAutospacing="0" w:line="240" w:lineRule="auto"/>
            <w:tabs>
              <w:tab w:val="right" w:pos="9345" w:leader="dot"/>
            </w:tabs>
            <w:rPr>
              <w:rFonts w:ascii="Times New Roman" w:hAnsi="Times New Roman" w:cs="Times New Roman"/>
              <w:b w:val="0"/>
              <w:bCs w:val="0"/>
              <w:sz w:val="24"/>
              <w:szCs w:val="24"/>
            </w:rPr>
          </w:pPr>
          <w:r/>
          <w:hyperlink w:tooltip="#_Toc51" w:anchor="_Toc51" w:history="1">
            <w:r>
              <w:rPr>
                <w:rStyle w:val="1237"/>
                <w:rFonts w:ascii="Times New Roman" w:hAnsi="Times New Roman" w:eastAsia="Times New Roman" w:cs="Times New Roman"/>
              </w:rPr>
            </w:r>
            <w:r>
              <w:rPr>
                <w:rStyle w:val="1237"/>
                <w:rFonts w:ascii="Times New Roman" w:hAnsi="Times New Roman" w:eastAsia="Times New Roman" w:cs="Times New Roman"/>
                <w:b w:val="0"/>
                <w:bCs w:val="0"/>
                <w:sz w:val="24"/>
                <w:szCs w:val="24"/>
              </w:rPr>
              <w:t xml:space="preserve">15.1. Правовое просвещение</w:t>
            </w:r>
            <w:r>
              <w:rPr>
                <w:rStyle w:val="1237"/>
                <w:rFonts w:ascii="Times New Roman" w:hAnsi="Times New Roman" w:eastAsia="Times New Roman" w:cs="Times New Roman"/>
                <w:b w:val="0"/>
                <w:bCs w:val="0"/>
                <w:sz w:val="24"/>
                <w:szCs w:val="24"/>
              </w:rPr>
              <w:t xml:space="preserve"> </w:t>
            </w:r>
            <w:r>
              <w:rPr>
                <w:rStyle w:val="1237"/>
                <w:rFonts w:ascii="Times New Roman" w:hAnsi="Times New Roman" w:eastAsia="Times New Roman" w:cs="Times New Roman"/>
                <w:b w:val="0"/>
                <w:bCs w:val="0"/>
                <w:sz w:val="24"/>
                <w:szCs w:val="24"/>
              </w:rPr>
            </w:r>
            <w:r>
              <w:rPr>
                <w:rFonts w:ascii="Times New Roman" w:hAnsi="Times New Roman" w:eastAsia="Times New Roman" w:cs="Times New Roman"/>
                <w:b w:val="0"/>
                <w:bCs w:val="0"/>
                <w:sz w:val="24"/>
                <w:szCs w:val="24"/>
              </w:rPr>
              <w:tab/>
            </w:r>
            <w:r>
              <w:rPr>
                <w:rFonts w:ascii="Times New Roman" w:hAnsi="Times New Roman" w:eastAsia="Times New Roman" w:cs="Times New Roman"/>
                <w:b w:val="0"/>
                <w:bCs w:val="0"/>
                <w:sz w:val="24"/>
                <w:szCs w:val="24"/>
              </w:rPr>
              <w:fldChar w:fldCharType="begin"/>
              <w:instrText xml:space="preserve">PAGEREF _Toc51 \h</w:instrText>
              <w:fldChar w:fldCharType="separate"/>
              <w:t xml:space="preserve">207</w:t>
              <w:fldChar w:fldCharType="end"/>
            </w:r>
          </w:hyperlink>
          <w:r>
            <w:rPr>
              <w:rFonts w:ascii="Times New Roman" w:hAnsi="Times New Roman" w:cs="Times New Roman"/>
              <w:b w:val="0"/>
              <w:bCs w:val="0"/>
              <w:sz w:val="24"/>
              <w:szCs w:val="24"/>
            </w:rPr>
          </w:r>
          <w:r>
            <w:rPr>
              <w:rFonts w:ascii="Times New Roman" w:hAnsi="Times New Roman" w:cs="Times New Roman"/>
              <w:b w:val="0"/>
              <w:bCs w:val="0"/>
              <w:sz w:val="24"/>
              <w:szCs w:val="24"/>
            </w:rPr>
          </w:r>
        </w:p>
        <w:p>
          <w:pPr>
            <w:pStyle w:val="1260"/>
            <w:spacing w:after="0" w:afterAutospacing="0" w:line="240" w:lineRule="auto"/>
            <w:tabs>
              <w:tab w:val="right" w:pos="9345" w:leader="dot"/>
            </w:tabs>
            <w:rPr>
              <w:rFonts w:ascii="Times New Roman" w:hAnsi="Times New Roman" w:cs="Times New Roman"/>
              <w:b w:val="0"/>
              <w:bCs w:val="0"/>
              <w:sz w:val="24"/>
              <w:szCs w:val="24"/>
            </w:rPr>
          </w:pPr>
          <w:r/>
          <w:hyperlink w:tooltip="#_Toc52" w:anchor="_Toc52" w:history="1">
            <w:r>
              <w:rPr>
                <w:rStyle w:val="1237"/>
                <w:rFonts w:ascii="Times New Roman" w:hAnsi="Times New Roman" w:eastAsia="Times New Roman" w:cs="Times New Roman"/>
              </w:rPr>
            </w:r>
            <w:r>
              <w:rPr>
                <w:rStyle w:val="1237"/>
                <w:rFonts w:ascii="Times New Roman" w:hAnsi="Times New Roman" w:eastAsia="Times New Roman" w:cs="Times New Roman"/>
                <w:b w:val="0"/>
                <w:bCs w:val="0"/>
                <w:sz w:val="24"/>
                <w:szCs w:val="24"/>
              </w:rPr>
              <w:t xml:space="preserve">15.2. Право на квалифицированную юридическую помощь</w:t>
            </w:r>
            <w:r>
              <w:rPr>
                <w:rStyle w:val="1237"/>
                <w:rFonts w:ascii="Times New Roman" w:hAnsi="Times New Roman" w:eastAsia="Times New Roman" w:cs="Times New Roman"/>
                <w:b w:val="0"/>
                <w:bCs w:val="0"/>
                <w:sz w:val="24"/>
                <w:szCs w:val="24"/>
              </w:rPr>
            </w:r>
            <w:r>
              <w:rPr>
                <w:rFonts w:ascii="Times New Roman" w:hAnsi="Times New Roman" w:eastAsia="Times New Roman" w:cs="Times New Roman"/>
                <w:b w:val="0"/>
                <w:bCs w:val="0"/>
                <w:sz w:val="24"/>
                <w:szCs w:val="24"/>
              </w:rPr>
              <w:tab/>
            </w:r>
            <w:r>
              <w:rPr>
                <w:rFonts w:ascii="Times New Roman" w:hAnsi="Times New Roman" w:eastAsia="Times New Roman" w:cs="Times New Roman"/>
                <w:b w:val="0"/>
                <w:bCs w:val="0"/>
                <w:sz w:val="24"/>
                <w:szCs w:val="24"/>
              </w:rPr>
              <w:fldChar w:fldCharType="begin"/>
              <w:instrText xml:space="preserve">PAGEREF _Toc52 \h</w:instrText>
              <w:fldChar w:fldCharType="separate"/>
              <w:t xml:space="preserve">212</w:t>
              <w:fldChar w:fldCharType="end"/>
            </w:r>
          </w:hyperlink>
          <w:r>
            <w:rPr>
              <w:rFonts w:ascii="Times New Roman" w:hAnsi="Times New Roman" w:cs="Times New Roman"/>
              <w:b w:val="0"/>
              <w:bCs w:val="0"/>
              <w:sz w:val="24"/>
              <w:szCs w:val="24"/>
            </w:rPr>
          </w:r>
          <w:r>
            <w:rPr>
              <w:rFonts w:ascii="Times New Roman" w:hAnsi="Times New Roman" w:cs="Times New Roman"/>
              <w:b w:val="0"/>
              <w:bCs w:val="0"/>
              <w:sz w:val="24"/>
              <w:szCs w:val="24"/>
            </w:rPr>
          </w:r>
        </w:p>
        <w:p>
          <w:pPr>
            <w:pStyle w:val="1259"/>
            <w:spacing w:after="0" w:afterAutospacing="0" w:line="240" w:lineRule="auto"/>
            <w:tabs>
              <w:tab w:val="right" w:pos="9345" w:leader="dot"/>
            </w:tabs>
            <w:rPr>
              <w:rFonts w:ascii="Times New Roman" w:hAnsi="Times New Roman" w:cs="Times New Roman"/>
              <w:b w:val="0"/>
              <w:bCs w:val="0"/>
              <w:sz w:val="24"/>
              <w:szCs w:val="24"/>
            </w:rPr>
          </w:pPr>
          <w:r/>
          <w:hyperlink w:tooltip="#_Toc53" w:anchor="_Toc53" w:history="1">
            <w:r>
              <w:rPr>
                <w:rStyle w:val="1237"/>
                <w:rFonts w:ascii="Times New Roman" w:hAnsi="Times New Roman" w:eastAsia="Times New Roman" w:cs="Times New Roman"/>
              </w:rPr>
            </w:r>
            <w:r>
              <w:rPr>
                <w:rStyle w:val="1237"/>
                <w:rFonts w:ascii="Times New Roman" w:hAnsi="Times New Roman" w:eastAsia="Times New Roman" w:cs="Times New Roman"/>
                <w:b w:val="0"/>
                <w:bCs w:val="0"/>
                <w:sz w:val="24"/>
                <w:szCs w:val="24"/>
              </w:rPr>
              <w:t xml:space="preserve">ЗАКЛЮЧЕНИЕ</w:t>
            </w:r>
            <w:r>
              <w:rPr>
                <w:rStyle w:val="1237"/>
                <w:rFonts w:ascii="Times New Roman" w:hAnsi="Times New Roman" w:eastAsia="Times New Roman" w:cs="Times New Roman"/>
                <w:b w:val="0"/>
                <w:bCs w:val="0"/>
                <w:sz w:val="24"/>
                <w:szCs w:val="24"/>
              </w:rPr>
            </w:r>
            <w:r>
              <w:rPr>
                <w:rFonts w:ascii="Times New Roman" w:hAnsi="Times New Roman" w:eastAsia="Times New Roman" w:cs="Times New Roman"/>
                <w:b w:val="0"/>
                <w:bCs w:val="0"/>
                <w:sz w:val="24"/>
                <w:szCs w:val="24"/>
              </w:rPr>
              <w:tab/>
            </w:r>
            <w:r>
              <w:rPr>
                <w:rFonts w:ascii="Times New Roman" w:hAnsi="Times New Roman" w:eastAsia="Times New Roman" w:cs="Times New Roman"/>
                <w:b w:val="0"/>
                <w:bCs w:val="0"/>
                <w:sz w:val="24"/>
                <w:szCs w:val="24"/>
              </w:rPr>
              <w:fldChar w:fldCharType="begin"/>
              <w:instrText xml:space="preserve">PAGEREF _Toc53 \h</w:instrText>
              <w:fldChar w:fldCharType="separate"/>
              <w:t xml:space="preserve">218</w:t>
              <w:fldChar w:fldCharType="end"/>
            </w:r>
          </w:hyperlink>
          <w:r>
            <w:rPr>
              <w:rFonts w:ascii="Times New Roman" w:hAnsi="Times New Roman" w:cs="Times New Roman"/>
              <w:b w:val="0"/>
              <w:bCs w:val="0"/>
              <w:sz w:val="24"/>
              <w:szCs w:val="24"/>
            </w:rPr>
          </w:r>
          <w:r>
            <w:rPr>
              <w:rFonts w:ascii="Times New Roman" w:hAnsi="Times New Roman" w:cs="Times New Roman"/>
              <w:b w:val="0"/>
              <w:bCs w:val="0"/>
              <w:sz w:val="24"/>
              <w:szCs w:val="24"/>
            </w:rPr>
          </w:r>
        </w:p>
        <w:p>
          <w:pPr>
            <w:spacing w:after="0" w:afterAutospacing="0" w:line="240" w:lineRule="auto"/>
            <w:rPr>
              <w:rFonts w:ascii="Times New Roman" w:hAnsi="Times New Roman" w:cs="Times New Roman"/>
              <w:b w:val="0"/>
              <w:bCs w:val="0"/>
              <w:sz w:val="24"/>
              <w:szCs w:val="24"/>
            </w:rPr>
          </w:pPr>
          <w:r>
            <w:rPr>
              <w:rFonts w:ascii="Times New Roman" w:hAnsi="Times New Roman" w:eastAsia="Times New Roman" w:cs="Times New Roman"/>
              <w:b w:val="0"/>
              <w:bCs w:val="0"/>
              <w:sz w:val="24"/>
              <w:szCs w:val="24"/>
            </w:rPr>
          </w:r>
          <w:r>
            <w:rPr>
              <w:rFonts w:ascii="Times New Roman" w:hAnsi="Times New Roman" w:eastAsia="Times New Roman" w:cs="Times New Roman"/>
              <w:b w:val="0"/>
              <w:bCs w:val="0"/>
              <w:sz w:val="24"/>
              <w:szCs w:val="24"/>
            </w:rPr>
            <w:fldChar w:fldCharType="end"/>
          </w:r>
          <w:r>
            <w:rPr>
              <w:rFonts w:ascii="Times New Roman" w:hAnsi="Times New Roman" w:eastAsia="Times New Roman" w:cs="Times New Roman"/>
              <w:b w:val="0"/>
              <w:bCs w:val="0"/>
              <w:sz w:val="24"/>
              <w:szCs w:val="24"/>
            </w:rPr>
            <w:t xml:space="preserve">Приложение. </w:t>
          </w:r>
          <w:r>
            <w:rPr>
              <w:rFonts w:ascii="Times New Roman" w:hAnsi="Times New Roman" w:eastAsia="Times New Roman" w:cs="Times New Roman"/>
              <w:b w:val="0"/>
              <w:bCs w:val="0"/>
              <w:sz w:val="24"/>
              <w:szCs w:val="24"/>
            </w:rPr>
            <w:t xml:space="preserve">Инфографика</w:t>
          </w:r>
          <w:r>
            <w:rPr>
              <w:rFonts w:ascii="Times New Roman" w:hAnsi="Times New Roman" w:eastAsia="Times New Roman" w:cs="Times New Roman"/>
              <w:b w:val="0"/>
              <w:bCs w:val="0"/>
              <w:sz w:val="24"/>
              <w:szCs w:val="24"/>
            </w:rPr>
            <w:t xml:space="preserve"> количества обращений за 15 лет</w:t>
          </w:r>
          <w:r>
            <w:rPr>
              <w:rFonts w:ascii="Times New Roman" w:hAnsi="Times New Roman" w:cs="Times New Roman"/>
              <w:b w:val="0"/>
              <w:bCs w:val="0"/>
              <w:sz w:val="24"/>
              <w:szCs w:val="24"/>
            </w:rPr>
          </w:r>
          <w:r>
            <w:rPr>
              <w:rFonts w:ascii="Times New Roman" w:hAnsi="Times New Roman" w:cs="Times New Roman"/>
              <w:b w:val="0"/>
              <w:bCs w:val="0"/>
              <w:sz w:val="24"/>
              <w:szCs w:val="24"/>
            </w:rPr>
          </w:r>
        </w:p>
        <w:p>
          <w:pPr>
            <w:spacing w:after="0" w:afterAutospacing="0" w:line="240" w:lineRule="auto"/>
            <w:rPr>
              <w:rFonts w:ascii="Times New Roman" w:hAnsi="Times New Roman" w:cs="Times New Roman"/>
              <w:b w:val="0"/>
              <w:bCs w:val="0"/>
              <w:sz w:val="24"/>
              <w:szCs w:val="24"/>
            </w:rPr>
          </w:pPr>
          <w:r>
            <w:rPr>
              <w:rFonts w:ascii="Times New Roman" w:hAnsi="Times New Roman" w:eastAsia="Times New Roman" w:cs="Times New Roman"/>
              <w:b w:val="0"/>
              <w:bCs w:val="0"/>
              <w:sz w:val="24"/>
              <w:szCs w:val="24"/>
            </w:rPr>
            <w:t xml:space="preserve">Перечень сокращений</w:t>
          </w:r>
          <w:r>
            <w:rPr>
              <w:rFonts w:ascii="Times New Roman" w:hAnsi="Times New Roman" w:cs="Times New Roman"/>
              <w:b w:val="0"/>
              <w:bCs w:val="0"/>
              <w:sz w:val="24"/>
              <w:szCs w:val="24"/>
            </w:rPr>
          </w:r>
          <w:r>
            <w:rPr>
              <w:rFonts w:ascii="Times New Roman" w:hAnsi="Times New Roman" w:cs="Times New Roman"/>
              <w:b w:val="0"/>
              <w:bCs w:val="0"/>
              <w:sz w:val="24"/>
              <w:szCs w:val="24"/>
            </w:rPr>
          </w:r>
        </w:p>
        <w:p>
          <w:pPr>
            <w:spacing w:after="0" w:afterAutospacing="0" w:line="240" w:lineRule="auto"/>
            <w:rPr>
              <w:rFonts w:ascii="Times New Roman" w:hAnsi="Times New Roman" w:cs="Times New Roman"/>
              <w:b w:val="0"/>
              <w:bCs w:val="0"/>
              <w:sz w:val="24"/>
              <w:szCs w:val="24"/>
            </w:rPr>
          </w:pPr>
          <w:r>
            <w:rPr>
              <w:rFonts w:ascii="Times New Roman" w:hAnsi="Times New Roman" w:eastAsia="Times New Roman" w:cs="Times New Roman"/>
              <w:b w:val="0"/>
              <w:bCs w:val="0"/>
              <w:sz w:val="24"/>
              <w:szCs w:val="24"/>
            </w:rPr>
            <w:t xml:space="preserve">Контактная информация</w:t>
          </w:r>
          <w:r>
            <w:rPr>
              <w:rFonts w:ascii="Times New Roman" w:hAnsi="Times New Roman" w:cs="Times New Roman"/>
              <w:b w:val="0"/>
              <w:bCs w:val="0"/>
              <w:sz w:val="24"/>
              <w:szCs w:val="24"/>
            </w:rPr>
          </w:r>
          <w:r>
            <w:rPr>
              <w:rFonts w:ascii="Times New Roman" w:hAnsi="Times New Roman" w:cs="Times New Roman"/>
              <w:b w:val="0"/>
              <w:bCs w:val="0"/>
              <w:sz w:val="24"/>
              <w:szCs w:val="24"/>
            </w:rPr>
          </w:r>
        </w:p>
      </w:sdtContent>
    </w:sdt>
    <w:p>
      <w:pPr>
        <w:pStyle w:val="1225"/>
        <w:jc w:val="center"/>
        <w:spacing w:before="0"/>
        <w:rPr>
          <w:highlight w:val="none"/>
        </w:rPr>
      </w:pPr>
      <w:r>
        <w:rPr>
          <w:highlight w:val="none"/>
        </w:rPr>
      </w:r>
      <w:r>
        <w:rPr>
          <w:highlight w:val="none"/>
        </w:rPr>
      </w:r>
      <w:r>
        <w:rPr>
          <w:highlight w:val="none"/>
        </w:rPr>
      </w:r>
    </w:p>
    <w:p>
      <w:pPr>
        <w:pStyle w:val="1225"/>
        <w:jc w:val="center"/>
        <w:spacing w:before="0"/>
        <w:rPr>
          <w:highlight w:val="none"/>
        </w:rPr>
      </w:pPr>
      <w:r>
        <w:rPr>
          <w:highlight w:val="none"/>
        </w:rPr>
      </w:r>
      <w:r>
        <w:rPr>
          <w:highlight w:val="none"/>
        </w:rPr>
      </w:r>
      <w:r>
        <w:rPr>
          <w:highlight w:val="none"/>
        </w:rPr>
      </w:r>
    </w:p>
    <w:p>
      <w:pPr>
        <w:pStyle w:val="1225"/>
        <w:contextualSpacing w:val="0"/>
        <w:jc w:val="center"/>
        <w:keepLines w:val="0"/>
        <w:keepNext w:val="0"/>
        <w:spacing w:before="0"/>
        <w:widowControl w:val="off"/>
        <w:rPr>
          <w:highlight w:val="none"/>
        </w:rPr>
        <w:suppressLineNumbers w:val="0"/>
      </w:pPr>
      <w:r>
        <w:rPr>
          <w:highlight w:val="none"/>
        </w:rPr>
      </w:r>
      <w:r>
        <w:rPr>
          <w:highlight w:val="none"/>
        </w:rPr>
      </w:r>
      <w:r>
        <w:rPr>
          <w:highlight w:val="none"/>
        </w:rPr>
      </w:r>
    </w:p>
    <w:p>
      <w:pPr>
        <w:pStyle w:val="1225"/>
        <w:jc w:val="center"/>
        <w:spacing w:before="0"/>
        <w:rPr>
          <w:highlight w:val="none"/>
        </w:rPr>
      </w:pPr>
      <w:r>
        <w:rPr>
          <w:highlight w:val="none"/>
        </w:rPr>
      </w:r>
      <w:r>
        <w:rPr>
          <w:highlight w:val="none"/>
        </w:rPr>
      </w:r>
      <w:r>
        <w:rPr>
          <w:highlight w:val="none"/>
        </w:rPr>
      </w:r>
    </w:p>
    <w:p>
      <w:pPr>
        <w:pStyle w:val="1225"/>
        <w:jc w:val="center"/>
        <w:spacing w:before="0"/>
        <w:rPr>
          <w:highlight w:val="none"/>
        </w:rPr>
      </w:pPr>
      <w:r>
        <w:rPr>
          <w:highlight w:val="none"/>
        </w:rPr>
      </w:r>
      <w:r>
        <w:rPr>
          <w:highlight w:val="none"/>
        </w:rPr>
      </w:r>
      <w:r>
        <w:rPr>
          <w:highlight w:val="none"/>
        </w:rPr>
      </w:r>
    </w:p>
    <w:p>
      <w:pPr>
        <w:pStyle w:val="1225"/>
        <w:jc w:val="center"/>
        <w:spacing w:before="0"/>
        <w:rPr>
          <w:highlight w:val="none"/>
        </w:rPr>
      </w:pPr>
      <w:r>
        <w:rPr>
          <w:highlight w:val="none"/>
        </w:rPr>
      </w:r>
      <w:r>
        <w:rPr>
          <w:highlight w:val="none"/>
        </w:rPr>
      </w:r>
      <w:r>
        <w:rPr>
          <w:highlight w:val="none"/>
        </w:rPr>
      </w:r>
    </w:p>
    <w:p>
      <w:pPr>
        <w:pStyle w:val="1225"/>
        <w:jc w:val="center"/>
        <w:spacing w:before="0"/>
        <w:rPr>
          <w:highlight w:val="none"/>
        </w:rPr>
      </w:pPr>
      <w:r>
        <w:rPr>
          <w:highlight w:val="none"/>
        </w:rPr>
      </w:r>
      <w:r>
        <w:rPr>
          <w:highlight w:val="none"/>
        </w:rPr>
      </w:r>
      <w:r>
        <w:rPr>
          <w:highlight w:val="none"/>
        </w:rPr>
      </w:r>
    </w:p>
    <w:p>
      <w:pPr>
        <w:pStyle w:val="1225"/>
        <w:jc w:val="center"/>
        <w:spacing w:before="0"/>
        <w:rPr>
          <w:highlight w:val="none"/>
        </w:rPr>
      </w:pPr>
      <w:r>
        <w:rPr>
          <w:highlight w:val="none"/>
        </w:rPr>
      </w:r>
      <w:r>
        <w:rPr>
          <w:highlight w:val="none"/>
        </w:rPr>
      </w:r>
      <w:r>
        <w:rPr>
          <w:highlight w:val="none"/>
        </w:rPr>
      </w:r>
    </w:p>
    <w:p>
      <w:pPr>
        <w:pStyle w:val="1225"/>
        <w:jc w:val="center"/>
        <w:spacing w:before="0"/>
        <w:rPr>
          <w:highlight w:val="none"/>
        </w:rPr>
      </w:pPr>
      <w:r>
        <w:rPr>
          <w:highlight w:val="none"/>
        </w:rPr>
      </w:r>
      <w:r>
        <w:rPr>
          <w:highlight w:val="none"/>
        </w:rPr>
      </w:r>
      <w:r>
        <w:rPr>
          <w:highlight w:val="none"/>
        </w:rPr>
      </w:r>
    </w:p>
    <w:p>
      <w:pPr>
        <w:pStyle w:val="1225"/>
        <w:jc w:val="center"/>
        <w:spacing w:before="0"/>
        <w:rPr>
          <w:highlight w:val="none"/>
        </w:rPr>
      </w:pPr>
      <w:r>
        <w:rPr>
          <w:highlight w:val="none"/>
        </w:rPr>
      </w:r>
      <w:r>
        <w:rPr>
          <w:highlight w:val="none"/>
        </w:rPr>
      </w:r>
      <w:r>
        <w:rPr>
          <w:highlight w:val="none"/>
        </w:rPr>
      </w:r>
    </w:p>
    <w:p>
      <w:pPr>
        <w:pStyle w:val="1225"/>
        <w:jc w:val="center"/>
        <w:spacing w:before="0"/>
        <w:rPr>
          <w:highlight w:val="none"/>
        </w:rPr>
      </w:pPr>
      <w:r>
        <w:rPr>
          <w:highlight w:val="none"/>
        </w:rPr>
      </w:r>
      <w:r>
        <w:rPr>
          <w:highlight w:val="none"/>
        </w:rPr>
      </w:r>
      <w:r>
        <w:rPr>
          <w:highlight w:val="none"/>
        </w:rPr>
      </w:r>
    </w:p>
    <w:p>
      <w:pPr>
        <w:pStyle w:val="1225"/>
        <w:jc w:val="center"/>
        <w:spacing w:before="0"/>
        <w:rPr>
          <w:highlight w:val="none"/>
        </w:rPr>
      </w:pPr>
      <w:r>
        <w:rPr>
          <w:highlight w:val="none"/>
        </w:rPr>
      </w:r>
      <w:r>
        <w:rPr>
          <w:highlight w:val="none"/>
        </w:rPr>
      </w:r>
      <w:r>
        <w:rPr>
          <w:highlight w:val="none"/>
        </w:rPr>
      </w:r>
    </w:p>
    <w:p>
      <w:pPr>
        <w:pStyle w:val="1225"/>
        <w:jc w:val="left"/>
        <w:spacing w:before="0"/>
        <w:rPr>
          <w:highlight w:val="none"/>
        </w:rPr>
      </w:pPr>
      <w:r>
        <w:rPr>
          <w:highlight w:val="none"/>
        </w:rPr>
      </w:r>
      <w:r>
        <w:rPr>
          <w:highlight w:val="none"/>
        </w:rPr>
      </w:r>
      <w:r>
        <w:rPr>
          <w:highlight w:val="none"/>
        </w:rPr>
      </w:r>
    </w:p>
    <w:p>
      <w:pPr>
        <w:pStyle w:val="1225"/>
        <w:jc w:val="left"/>
        <w:spacing w:before="0"/>
        <w:rPr>
          <w:highlight w:val="none"/>
        </w:rPr>
      </w:pPr>
      <w:r>
        <w:rPr>
          <w:highlight w:val="none"/>
        </w:rPr>
      </w:r>
      <w:r>
        <w:rPr>
          <w:highlight w:val="none"/>
        </w:rPr>
      </w:r>
      <w:r>
        <w:rPr>
          <w:highlight w:val="none"/>
        </w:rPr>
      </w:r>
    </w:p>
    <w:p>
      <w:pPr>
        <w:pStyle w:val="1225"/>
        <w:jc w:val="left"/>
        <w:spacing w:before="0"/>
        <w:rPr>
          <w:highlight w:val="none"/>
        </w:rPr>
      </w:pPr>
      <w:r>
        <w:rPr>
          <w:highlight w:val="none"/>
        </w:rPr>
      </w:r>
      <w:r>
        <w:rPr>
          <w:highlight w:val="none"/>
        </w:rPr>
      </w:r>
      <w:r>
        <w:rPr>
          <w:highlight w:val="none"/>
        </w:rPr>
      </w:r>
    </w:p>
    <w:p>
      <w:pPr>
        <w:pStyle w:val="1225"/>
        <w:contextualSpacing w:val="0"/>
        <w:jc w:val="left"/>
        <w:keepNext w:val="0"/>
        <w:spacing w:before="0"/>
        <w:rPr>
          <w:highlight w:val="none"/>
        </w:rPr>
        <w:suppressLineNumbers w:val="0"/>
      </w:pPr>
      <w:r>
        <w:rPr>
          <w:highlight w:val="none"/>
        </w:rPr>
      </w:r>
      <w:r>
        <w:rPr>
          <w:highlight w:val="none"/>
        </w:rPr>
      </w:r>
      <w:r>
        <w:rPr>
          <w:highlight w:val="none"/>
        </w:rPr>
      </w:r>
    </w:p>
    <w:p>
      <w:pPr>
        <w:pStyle w:val="1225"/>
        <w:jc w:val="left"/>
        <w:spacing w:before="0"/>
        <w:rPr>
          <w:highlight w:val="none"/>
        </w:rPr>
      </w:pPr>
      <w:r>
        <w:rPr>
          <w:highlight w:val="none"/>
        </w:rPr>
      </w:r>
      <w:r>
        <w:rPr>
          <w:highlight w:val="none"/>
        </w:rPr>
      </w:r>
      <w:r>
        <w:rPr>
          <w:highlight w:val="none"/>
        </w:rPr>
      </w:r>
    </w:p>
    <w:p>
      <w:pPr>
        <w:pStyle w:val="1225"/>
        <w:jc w:val="left"/>
        <w:spacing w:before="0"/>
        <w:rPr>
          <w:highlight w:val="none"/>
        </w:rPr>
      </w:pPr>
      <w:r>
        <w:rPr>
          <w:highlight w:val="none"/>
        </w:rPr>
      </w:r>
      <w:r>
        <w:rPr>
          <w:highlight w:val="none"/>
        </w:rPr>
      </w:r>
      <w:r>
        <w:rPr>
          <w:highlight w:val="none"/>
        </w:rPr>
      </w:r>
    </w:p>
    <w:p>
      <w:pPr>
        <w:pStyle w:val="1225"/>
        <w:jc w:val="left"/>
        <w:spacing w:before="0"/>
        <w:rPr>
          <w:highlight w:val="none"/>
        </w:rPr>
      </w:pPr>
      <w:r>
        <w:rPr>
          <w:highlight w:val="none"/>
        </w:rPr>
      </w:r>
      <w:r>
        <w:rPr>
          <w:highlight w:val="none"/>
        </w:rPr>
      </w:r>
      <w:r>
        <w:rPr>
          <w:highlight w:val="none"/>
        </w:rPr>
      </w:r>
    </w:p>
    <w:p>
      <w:pPr>
        <w:pStyle w:val="1225"/>
        <w:contextualSpacing w:val="0"/>
        <w:jc w:val="left"/>
        <w:keepLines w:val="0"/>
        <w:keepNext w:val="0"/>
        <w:spacing w:before="0"/>
        <w:rPr>
          <w:highlight w:val="none"/>
        </w:rPr>
        <w:suppressLineNumbers w:val="0"/>
      </w:pPr>
      <w:r>
        <w:rPr>
          <w:highlight w:val="none"/>
        </w:rPr>
      </w:r>
      <w:r>
        <w:rPr>
          <w:highlight w:val="none"/>
        </w:rPr>
      </w:r>
      <w:r>
        <w:rPr>
          <w:highlight w:val="none"/>
        </w:rPr>
      </w:r>
    </w:p>
    <w:p>
      <w:pPr>
        <w:pStyle w:val="1225"/>
        <w:jc w:val="left"/>
        <w:spacing w:before="0"/>
        <w:rPr>
          <w:highlight w:val="none"/>
        </w:rPr>
      </w:pPr>
      <w:r>
        <w:rPr>
          <w:highlight w:val="none"/>
        </w:rPr>
      </w:r>
      <w:r>
        <w:rPr>
          <w:highlight w:val="none"/>
        </w:rPr>
      </w:r>
      <w:r>
        <w:rPr>
          <w:highlight w:val="none"/>
        </w:rPr>
      </w:r>
    </w:p>
    <w:p>
      <w:pPr>
        <w:pStyle w:val="1225"/>
        <w:contextualSpacing w:val="0"/>
        <w:jc w:val="left"/>
        <w:keepLines w:val="0"/>
        <w:keepNext w:val="0"/>
        <w:spacing w:before="0"/>
        <w:widowControl w:val="off"/>
        <w:rPr>
          <w:highlight w:val="none"/>
        </w:rPr>
        <w:suppressLineNumbers w:val="0"/>
      </w:pPr>
      <w:r>
        <w:rPr>
          <w:highlight w:val="none"/>
        </w:rPr>
      </w:r>
      <w:r>
        <w:rPr>
          <w:highlight w:val="none"/>
        </w:rPr>
      </w:r>
      <w:r>
        <w:rPr>
          <w:highlight w:val="none"/>
        </w:rPr>
      </w:r>
    </w:p>
    <w:p>
      <w:pPr>
        <w:pStyle w:val="1225"/>
        <w:jc w:val="left"/>
        <w:spacing w:before="0"/>
        <w:rPr>
          <w:highlight w:val="none"/>
        </w:rPr>
      </w:pPr>
      <w:r>
        <w:rPr>
          <w:highlight w:val="none"/>
        </w:rPr>
      </w:r>
      <w:r>
        <w:rPr>
          <w:highlight w:val="none"/>
        </w:rPr>
      </w:r>
    </w:p>
    <w:p>
      <w:pPr>
        <w:pStyle w:val="1225"/>
        <w:jc w:val="left"/>
        <w:spacing w:before="0"/>
        <w:rPr>
          <w:highlight w:val="none"/>
        </w:rPr>
      </w:pPr>
      <w:r>
        <w:rPr>
          <w:highlight w:val="none"/>
        </w:rPr>
      </w:r>
      <w:r>
        <w:rPr>
          <w:highlight w:val="none"/>
        </w:rPr>
      </w:r>
      <w:r>
        <w:rPr>
          <w:highlight w:val="none"/>
        </w:rPr>
      </w:r>
    </w:p>
    <w:p>
      <w:pPr>
        <w:pStyle w:val="1225"/>
        <w:jc w:val="center"/>
        <w:spacing w:before="0"/>
        <w:rPr>
          <w:highlight w:val="none"/>
        </w:rPr>
      </w:pPr>
      <w:r/>
      <w:bookmarkStart w:id="23" w:name="_Toc1"/>
      <w:r>
        <w:t xml:space="preserve">ВВЕДЕНИЕ</w:t>
      </w:r>
      <w:r>
        <w:rPr>
          <w:highlight w:val="none"/>
        </w:rPr>
      </w:r>
      <w:bookmarkEnd w:id="23"/>
      <w:r>
        <w:rPr>
          <w:highlight w:val="none"/>
        </w:rPr>
      </w:r>
      <w:r>
        <w:rPr>
          <w:highlight w:val="none"/>
        </w:rPr>
      </w:r>
    </w:p>
    <w:p>
      <w:r/>
      <w:r/>
    </w:p>
    <w:p>
      <w:pPr>
        <w:jc w:val="right"/>
        <w:rPr>
          <w:rFonts w:ascii="Times New Roman" w:hAnsi="Times New Roman"/>
          <w:b/>
          <w:i/>
          <w:sz w:val="28"/>
          <w:szCs w:val="28"/>
        </w:rPr>
      </w:pPr>
      <w:r>
        <w:rPr>
          <w:rFonts w:ascii="Times New Roman" w:hAnsi="Times New Roman"/>
          <w:b/>
          <w:i/>
          <w:sz w:val="28"/>
          <w:szCs w:val="28"/>
        </w:rPr>
        <w:t xml:space="preserve"> «Необходимо и дальше совершенствовать деятельность уполномоченных по правам человека, в том числе своевременно предоставлять правовую поддержку, содействовать надлежащему </w:t>
      </w:r>
      <w:r>
        <w:rPr>
          <w:rFonts w:ascii="Times New Roman" w:hAnsi="Times New Roman"/>
          <w:b/>
          <w:i/>
          <w:sz w:val="28"/>
          <w:szCs w:val="28"/>
        </w:rPr>
        <w:t xml:space="preserve">обеспечению социальных гарантий участникам специальной военной операции и членам их семей», - отметил Президент России Владимир Владимирович Путин в своем обращении к участникам Всероссийского совещания уполномоченных по правам человека, сентябрь 2025 года</w:t>
      </w:r>
      <w:r>
        <w:rPr>
          <w:rFonts w:ascii="Times New Roman" w:hAnsi="Times New Roman"/>
          <w:b/>
          <w:i/>
          <w:sz w:val="28"/>
          <w:szCs w:val="28"/>
        </w:rPr>
      </w:r>
      <w:r>
        <w:rPr>
          <w:rFonts w:ascii="Times New Roman" w:hAnsi="Times New Roman"/>
          <w:b/>
          <w:i/>
          <w:sz w:val="28"/>
          <w:szCs w:val="28"/>
        </w:rPr>
      </w:r>
    </w:p>
    <w:p>
      <w:pPr>
        <w:jc w:val="right"/>
        <w:rPr>
          <w:rFonts w:ascii="Times New Roman" w:hAnsi="Times New Roman"/>
          <w:b/>
          <w:i/>
          <w:sz w:val="28"/>
          <w:szCs w:val="28"/>
        </w:rPr>
      </w:pPr>
      <w:r>
        <w:rPr>
          <w:rFonts w:ascii="Times New Roman" w:hAnsi="Times New Roman"/>
          <w:b/>
          <w:i/>
          <w:sz w:val="28"/>
          <w:szCs w:val="28"/>
        </w:rPr>
      </w:r>
      <w:r>
        <w:rPr>
          <w:rFonts w:ascii="Times New Roman" w:hAnsi="Times New Roman"/>
          <w:b/>
          <w:i/>
          <w:sz w:val="28"/>
          <w:szCs w:val="28"/>
        </w:rPr>
      </w:r>
      <w:r>
        <w:rPr>
          <w:rFonts w:ascii="Times New Roman" w:hAnsi="Times New Roman"/>
          <w:b/>
          <w:i/>
          <w:sz w:val="28"/>
          <w:szCs w:val="28"/>
        </w:rPr>
      </w:r>
    </w:p>
    <w:p>
      <w:pPr>
        <w:jc w:val="both"/>
        <w:spacing w:after="0"/>
        <w:tabs>
          <w:tab w:val="left" w:pos="709" w:leader="none"/>
        </w:tabs>
        <w:rPr>
          <w:rFonts w:ascii="Times New Roman" w:hAnsi="Times New Roman"/>
          <w:sz w:val="28"/>
          <w:szCs w:val="28"/>
        </w:rPr>
      </w:pPr>
      <w:r>
        <w:rPr>
          <w:rFonts w:ascii="Times New Roman" w:hAnsi="Times New Roman"/>
          <w:sz w:val="28"/>
          <w:szCs w:val="28"/>
        </w:rPr>
        <w:tab/>
        <w:t xml:space="preserve">Ежегодный доклад Уполномоченного – это результат труда регионального омбудсмена, рабочего аппарата УПЧ и социальных партнёров в области сохранения, предупреждения  возможных нарушений и анализа восстановительных</w:t>
      </w:r>
      <w:r>
        <w:rPr>
          <w:rFonts w:ascii="Times New Roman" w:hAnsi="Times New Roman"/>
          <w:sz w:val="28"/>
          <w:szCs w:val="28"/>
        </w:rPr>
        <w:t xml:space="preserve"> механизмов нарушенных конституционных прав жителей нашей области. Он является  основным документом, информирующим о положении в области обеспечения и защиты прав и свобод человека и гражданина на территории Ивановской области.  Доклад подготовлен в соотве</w:t>
      </w:r>
      <w:r>
        <w:rPr>
          <w:rFonts w:ascii="Times New Roman" w:hAnsi="Times New Roman"/>
          <w:sz w:val="28"/>
          <w:szCs w:val="28"/>
        </w:rPr>
        <w:t xml:space="preserve">тствии со ст. 16 Федерального закона от 18.03.2020  г. №48-ФЗ «Об уполномоченных по правам человека в субъектах Российской Федерации» и ст. 15 Закона Ивановской области от 08.12.2010 г. № 140-ОЗ «Об Уполномоченном по правам человека в Ивановской области». </w:t>
      </w:r>
      <w:r>
        <w:rPr>
          <w:rFonts w:ascii="Times New Roman" w:hAnsi="Times New Roman"/>
          <w:sz w:val="28"/>
          <w:szCs w:val="28"/>
        </w:rPr>
      </w:r>
      <w:r>
        <w:rPr>
          <w:rFonts w:ascii="Times New Roman" w:hAnsi="Times New Roman"/>
          <w:sz w:val="28"/>
          <w:szCs w:val="28"/>
        </w:rPr>
      </w:r>
    </w:p>
    <w:p>
      <w:pPr>
        <w:jc w:val="both"/>
        <w:spacing w:after="0"/>
        <w:tabs>
          <w:tab w:val="left" w:pos="709" w:leader="none"/>
        </w:tabs>
        <w:rPr>
          <w:rFonts w:ascii="Times New Roman" w:hAnsi="Times New Roman"/>
          <w:sz w:val="28"/>
          <w:szCs w:val="28"/>
        </w:rPr>
      </w:pPr>
      <w:r>
        <w:rPr>
          <w:rFonts w:ascii="Times New Roman" w:hAnsi="Times New Roman"/>
          <w:sz w:val="28"/>
          <w:szCs w:val="28"/>
        </w:rPr>
        <w:tab/>
        <w:t xml:space="preserve">Необходимо отметить, что Закону «Об Уполномоченном по правам человека в Ивановской области», который положил начало работы государственного регионального правозащитного института,  в 2025 году исполнилось 15 лет.  </w:t>
      </w:r>
      <w:r>
        <w:rPr>
          <w:rFonts w:ascii="Times New Roman" w:hAnsi="Times New Roman"/>
          <w:sz w:val="28"/>
          <w:szCs w:val="28"/>
        </w:rPr>
      </w:r>
      <w:r>
        <w:rPr>
          <w:rFonts w:ascii="Times New Roman" w:hAnsi="Times New Roman"/>
          <w:sz w:val="28"/>
          <w:szCs w:val="28"/>
        </w:rPr>
      </w:r>
    </w:p>
    <w:p>
      <w:pPr>
        <w:jc w:val="both"/>
        <w:spacing w:after="0"/>
        <w:tabs>
          <w:tab w:val="left" w:pos="709" w:leader="none"/>
        </w:tabs>
        <w:rPr>
          <w:rFonts w:ascii="Times New Roman" w:hAnsi="Times New Roman"/>
          <w:sz w:val="28"/>
          <w:szCs w:val="28"/>
        </w:rPr>
      </w:pPr>
      <w:r>
        <w:rPr>
          <w:rFonts w:ascii="Times New Roman" w:hAnsi="Times New Roman"/>
          <w:sz w:val="28"/>
          <w:szCs w:val="28"/>
        </w:rPr>
        <w:tab/>
        <w:t xml:space="preserve">Тогда, в 2010 году, законопроект </w:t>
      </w:r>
      <w:r>
        <w:rPr>
          <w:rFonts w:ascii="Times New Roman" w:hAnsi="Times New Roman" w:eastAsia="Times New Roman"/>
          <w:color w:val="202020"/>
          <w:sz w:val="28"/>
          <w:szCs w:val="28"/>
          <w:highlight w:val="white"/>
        </w:rPr>
        <w:t xml:space="preserve">прошел многомесячное и серьезное общественное и депутатское обсуждение</w:t>
      </w:r>
      <w:r>
        <w:rPr>
          <w:rFonts w:ascii="Times New Roman" w:hAnsi="Times New Roman" w:eastAsia="Times New Roman"/>
          <w:sz w:val="28"/>
          <w:szCs w:val="28"/>
        </w:rPr>
        <w:t xml:space="preserve">.</w:t>
      </w:r>
      <w:r>
        <w:rPr>
          <w:rFonts w:ascii="Times New Roman" w:hAnsi="Times New Roman"/>
          <w:sz w:val="28"/>
          <w:szCs w:val="28"/>
        </w:rPr>
        <w:t xml:space="preserve"> </w:t>
      </w:r>
      <w:r>
        <w:rPr>
          <w:rFonts w:ascii="Times New Roman" w:hAnsi="Times New Roman" w:eastAsia="Times New Roman"/>
          <w:sz w:val="28"/>
          <w:szCs w:val="28"/>
        </w:rPr>
        <w:t xml:space="preserve">Законом определялась </w:t>
      </w:r>
      <w:r>
        <w:rPr>
          <w:rFonts w:ascii="Times New Roman" w:hAnsi="Times New Roman" w:eastAsia="Times New Roman"/>
          <w:sz w:val="28"/>
          <w:szCs w:val="28"/>
        </w:rPr>
        <w:t xml:space="preserve">компетенция Уполномоченного, цели и задачи его деятельности, порядок рассмотрения обращений граждан и другие важные аспекты. На тот момент не во всех регионах нашей страны работали омбудсмены.</w:t>
      </w:r>
      <w:r>
        <w:rPr>
          <w:rFonts w:ascii="Times New Roman" w:hAnsi="Times New Roman"/>
          <w:sz w:val="28"/>
          <w:szCs w:val="28"/>
        </w:rPr>
      </w:r>
      <w:r>
        <w:rPr>
          <w:rFonts w:ascii="Times New Roman" w:hAnsi="Times New Roman"/>
          <w:sz w:val="28"/>
          <w:szCs w:val="28"/>
        </w:rPr>
      </w:r>
    </w:p>
    <w:p>
      <w:pPr>
        <w:ind w:firstLine="567"/>
        <w:jc w:val="both"/>
        <w:spacing w:after="0"/>
        <w:tabs>
          <w:tab w:val="left" w:pos="709" w:leader="none"/>
        </w:tabs>
        <w:rPr>
          <w:rFonts w:ascii="Times New Roman" w:hAnsi="Times New Roman"/>
          <w:sz w:val="28"/>
          <w:szCs w:val="28"/>
        </w:rPr>
      </w:pPr>
      <w:r>
        <w:rPr>
          <w:rFonts w:ascii="Times New Roman" w:hAnsi="Times New Roman"/>
          <w:sz w:val="28"/>
          <w:szCs w:val="28"/>
        </w:rPr>
        <w:tab/>
        <w:t xml:space="preserve">Прошедшее пятнадцатилетие показало, что деятельность Уполномоченного продолжает оставаться многогранной. Люди, как и прежде, обращаются по вопросам всех сфер правоотношений к Уполномоченному, порой как к последней инстанции, когда все </w:t>
      </w:r>
      <w:r>
        <w:rPr>
          <w:rFonts w:ascii="Times New Roman" w:hAnsi="Times New Roman"/>
          <w:sz w:val="28"/>
          <w:szCs w:val="28"/>
          <w:shd w:val="clear" w:color="auto" w:fill="ffffff"/>
        </w:rPr>
        <w:t xml:space="preserve">возможности разрешения проблемы исчерпаны</w:t>
      </w:r>
      <w:r>
        <w:rPr>
          <w:rFonts w:ascii="Times New Roman" w:hAnsi="Times New Roman"/>
          <w:sz w:val="28"/>
          <w:szCs w:val="28"/>
        </w:rPr>
        <w:t xml:space="preserve">. </w:t>
      </w:r>
      <w:r>
        <w:rPr>
          <w:rFonts w:ascii="Times New Roman" w:hAnsi="Times New Roman"/>
          <w:sz w:val="28"/>
          <w:szCs w:val="28"/>
        </w:rPr>
      </w:r>
      <w:r>
        <w:rPr>
          <w:rFonts w:ascii="Times New Roman" w:hAnsi="Times New Roman"/>
          <w:sz w:val="28"/>
          <w:szCs w:val="28"/>
        </w:rPr>
      </w:r>
    </w:p>
    <w:p>
      <w:pPr>
        <w:ind w:firstLine="567"/>
        <w:jc w:val="both"/>
        <w:spacing w:after="0"/>
        <w:tabs>
          <w:tab w:val="left" w:pos="709" w:leader="none"/>
        </w:tabs>
        <w:rPr>
          <w:rFonts w:ascii="Times New Roman" w:hAnsi="Times New Roman"/>
          <w:sz w:val="28"/>
          <w:szCs w:val="28"/>
        </w:rPr>
      </w:pPr>
      <w:r>
        <w:rPr>
          <w:rFonts w:ascii="Times New Roman" w:hAnsi="Times New Roman"/>
          <w:sz w:val="28"/>
          <w:szCs w:val="28"/>
        </w:rPr>
        <w:tab/>
        <w:t xml:space="preserve">Институт </w:t>
      </w:r>
      <w:r>
        <w:rPr>
          <w:rFonts w:ascii="Times New Roman" w:hAnsi="Times New Roman"/>
          <w:sz w:val="28"/>
          <w:szCs w:val="28"/>
        </w:rPr>
        <w:t xml:space="preserve">правозащиты</w:t>
      </w:r>
      <w:r>
        <w:rPr>
          <w:rFonts w:ascii="Times New Roman" w:hAnsi="Times New Roman"/>
          <w:sz w:val="28"/>
          <w:szCs w:val="28"/>
        </w:rPr>
        <w:t xml:space="preserve"> как «лакмусовая бумажка» всегда реагирует на изменения, происходящие в обществе. Появились новые направления в работе и инструменты защиты прав, расширяются формы правового пр</w:t>
      </w:r>
      <w:r>
        <w:rPr>
          <w:rFonts w:ascii="Times New Roman" w:hAnsi="Times New Roman"/>
          <w:sz w:val="28"/>
          <w:szCs w:val="28"/>
        </w:rPr>
        <w:t xml:space="preserve">освещения населения, обновляется Команда правозащитников, расширяются формы взаимодействия с региональным правительством, депутатским корпусом, вносятся соответствующие изменения в действующее законодательство и т.п. И 2025 год в этом не стал исключением. </w:t>
      </w:r>
      <w:r>
        <w:rPr>
          <w:rFonts w:ascii="Times New Roman" w:hAnsi="Times New Roman"/>
          <w:sz w:val="28"/>
          <w:szCs w:val="28"/>
        </w:rPr>
      </w:r>
      <w:r>
        <w:rPr>
          <w:rFonts w:ascii="Times New Roman" w:hAnsi="Times New Roman"/>
          <w:sz w:val="28"/>
          <w:szCs w:val="28"/>
        </w:rPr>
      </w:r>
    </w:p>
    <w:p>
      <w:pPr>
        <w:jc w:val="both"/>
        <w:spacing w:after="0"/>
        <w:tabs>
          <w:tab w:val="left" w:pos="709" w:leader="none"/>
        </w:tabs>
        <w:rPr>
          <w:rFonts w:ascii="Times New Roman" w:hAnsi="Times New Roman"/>
          <w:sz w:val="28"/>
          <w:szCs w:val="28"/>
        </w:rPr>
      </w:pPr>
      <w:r>
        <w:rPr>
          <w:rFonts w:ascii="Times New Roman" w:hAnsi="Times New Roman"/>
          <w:sz w:val="28"/>
          <w:szCs w:val="28"/>
        </w:rPr>
        <w:tab/>
        <w:t xml:space="preserve">В пр</w:t>
      </w:r>
      <w:r>
        <w:rPr>
          <w:rFonts w:ascii="Times New Roman" w:hAnsi="Times New Roman"/>
          <w:sz w:val="28"/>
          <w:szCs w:val="28"/>
        </w:rPr>
        <w:t xml:space="preserve">ошлом году   при поддержке руководства области серьёзное внимание омбудсменом продолжилось уделяться работе с обращениями военнослужащих и членов их семей. Благодаря выстроенному взаимодействию с Уполномоченным по правам человека в РФ Татьяной Николаевной </w:t>
      </w:r>
      <w:r>
        <w:rPr>
          <w:rFonts w:ascii="Times New Roman" w:hAnsi="Times New Roman"/>
          <w:sz w:val="28"/>
          <w:szCs w:val="28"/>
        </w:rPr>
        <w:t xml:space="preserve">Москальковой</w:t>
      </w:r>
      <w:r>
        <w:rPr>
          <w:rFonts w:ascii="Times New Roman" w:hAnsi="Times New Roman"/>
          <w:sz w:val="28"/>
          <w:szCs w:val="28"/>
        </w:rPr>
        <w:t xml:space="preserve">, Министерством обороны РФ и его территориальными органами и другими компетентными службами удается решать данные вопросы в оперативном порядке, без суеты и излишней бюрократии. </w:t>
      </w:r>
      <w:r>
        <w:rPr>
          <w:rFonts w:ascii="Times New Roman" w:hAnsi="Times New Roman"/>
          <w:sz w:val="28"/>
          <w:szCs w:val="28"/>
        </w:rPr>
      </w:r>
      <w:r>
        <w:rPr>
          <w:rFonts w:ascii="Times New Roman" w:hAnsi="Times New Roman"/>
          <w:sz w:val="28"/>
          <w:szCs w:val="28"/>
        </w:rPr>
      </w:r>
    </w:p>
    <w:p>
      <w:pPr>
        <w:jc w:val="both"/>
        <w:spacing w:after="0"/>
        <w:tabs>
          <w:tab w:val="left" w:pos="709" w:leader="none"/>
        </w:tabs>
        <w:rPr>
          <w:rFonts w:ascii="Times New Roman" w:hAnsi="Times New Roman"/>
          <w:sz w:val="28"/>
          <w:szCs w:val="28"/>
        </w:rPr>
      </w:pPr>
      <w:r>
        <w:rPr>
          <w:rFonts w:ascii="Times New Roman" w:hAnsi="Times New Roman"/>
          <w:sz w:val="28"/>
          <w:szCs w:val="28"/>
        </w:rPr>
        <w:tab/>
        <w:t xml:space="preserve">При этом жалобы граждан по другим тематикам также не потеряли своей актуальности, как и в прошлые годы. Каждое обращение тщательно изучалось региональным правозащитником с юристами аппарата и не осталось без внимания.</w:t>
      </w:r>
      <w:r>
        <w:rPr>
          <w:rFonts w:ascii="Times New Roman" w:hAnsi="Times New Roman"/>
          <w:sz w:val="28"/>
          <w:szCs w:val="28"/>
        </w:rPr>
      </w:r>
      <w:r>
        <w:rPr>
          <w:rFonts w:ascii="Times New Roman" w:hAnsi="Times New Roman"/>
          <w:sz w:val="28"/>
          <w:szCs w:val="28"/>
        </w:rPr>
      </w:r>
    </w:p>
    <w:p>
      <w:pPr>
        <w:jc w:val="both"/>
        <w:spacing w:after="0"/>
        <w:tabs>
          <w:tab w:val="left" w:pos="709" w:leader="none"/>
        </w:tabs>
        <w:rPr>
          <w:rFonts w:ascii="Times New Roman" w:hAnsi="Times New Roman"/>
          <w:sz w:val="28"/>
          <w:szCs w:val="28"/>
        </w:rPr>
      </w:pPr>
      <w:r>
        <w:rPr>
          <w:rFonts w:ascii="Times New Roman" w:hAnsi="Times New Roman"/>
          <w:sz w:val="28"/>
          <w:szCs w:val="28"/>
        </w:rPr>
        <w:tab/>
        <w:t xml:space="preserve"> Активное внимание вновь уделено оказанию содействия в реализации молодёжн</w:t>
      </w:r>
      <w:r>
        <w:rPr>
          <w:rFonts w:ascii="Times New Roman" w:hAnsi="Times New Roman"/>
          <w:sz w:val="28"/>
          <w:szCs w:val="28"/>
        </w:rPr>
        <w:t xml:space="preserve">ых прав</w:t>
      </w:r>
      <w:r>
        <w:rPr>
          <w:rFonts w:ascii="Times New Roman" w:hAnsi="Times New Roman"/>
          <w:sz w:val="28"/>
          <w:szCs w:val="28"/>
        </w:rPr>
        <w:t xml:space="preserve"> жителей области, что в системе отражено в публичных заявлениях и результатах работы. Омбудсмен подчёркивает важность развития правозащитного молодёжного движения, так как это направление имеет большое значение для всей системы защиты прав человека. Так, с</w:t>
      </w:r>
      <w:r>
        <w:rPr>
          <w:rFonts w:ascii="Times New Roman" w:hAnsi="Times New Roman"/>
          <w:sz w:val="28"/>
          <w:szCs w:val="28"/>
        </w:rPr>
        <w:t xml:space="preserve">овместно с Молодежным общественным советом  при УПЧ в   2025 году был реализован </w:t>
      </w:r>
      <w:r>
        <w:rPr>
          <w:rFonts w:ascii="Times New Roman" w:hAnsi="Times New Roman"/>
          <w:sz w:val="28"/>
          <w:szCs w:val="28"/>
        </w:rPr>
        <w:t xml:space="preserve">правопросветительский</w:t>
      </w:r>
      <w:r>
        <w:rPr>
          <w:rFonts w:ascii="Times New Roman" w:hAnsi="Times New Roman"/>
          <w:sz w:val="28"/>
          <w:szCs w:val="28"/>
        </w:rPr>
        <w:t xml:space="preserve"> проект «Право на память», направленный на укрепление духовно-нравственных ценностей и правовой культуры у молодого поколения, формирование у молодежи целостного представления об истории Отечества, сохранения исторической правды.</w:t>
      </w:r>
      <w:r>
        <w:rPr>
          <w:rFonts w:ascii="Times New Roman" w:hAnsi="Times New Roman"/>
          <w:sz w:val="28"/>
          <w:szCs w:val="28"/>
        </w:rPr>
      </w:r>
      <w:r>
        <w:rPr>
          <w:rFonts w:ascii="Times New Roman" w:hAnsi="Times New Roman"/>
          <w:sz w:val="28"/>
          <w:szCs w:val="28"/>
        </w:rPr>
      </w:r>
    </w:p>
    <w:p>
      <w:pPr>
        <w:jc w:val="both"/>
        <w:spacing w:after="0"/>
        <w:tabs>
          <w:tab w:val="left" w:pos="709" w:leader="none"/>
        </w:tabs>
        <w:rPr>
          <w:rFonts w:ascii="Times New Roman" w:hAnsi="Times New Roman"/>
          <w:sz w:val="28"/>
          <w:szCs w:val="28"/>
          <w:shd w:val="clear" w:color="auto" w:fill="ffffff"/>
        </w:rPr>
      </w:pPr>
      <w:r>
        <w:rPr>
          <w:rFonts w:ascii="Times New Roman" w:hAnsi="Times New Roman"/>
          <w:sz w:val="28"/>
          <w:szCs w:val="28"/>
          <w:shd w:val="clear" w:color="auto" w:fill="ffffff"/>
        </w:rPr>
        <w:tab/>
      </w:r>
      <w:r>
        <w:rPr>
          <w:rFonts w:ascii="Times New Roman" w:hAnsi="Times New Roman"/>
          <w:sz w:val="28"/>
          <w:szCs w:val="28"/>
          <w:shd w:val="clear" w:color="auto" w:fill="ffffff"/>
        </w:rPr>
        <w:t xml:space="preserve">В планах на 2026 год: создание  публичного канала в отечественном </w:t>
      </w:r>
      <w:r>
        <w:rPr>
          <w:rFonts w:ascii="Times New Roman" w:hAnsi="Times New Roman"/>
          <w:sz w:val="28"/>
          <w:szCs w:val="28"/>
          <w:shd w:val="clear" w:color="auto" w:fill="ffffff"/>
        </w:rPr>
        <w:t xml:space="preserve">мессенджере</w:t>
      </w:r>
      <w:r>
        <w:rPr>
          <w:rFonts w:ascii="Times New Roman" w:hAnsi="Times New Roman"/>
          <w:sz w:val="28"/>
          <w:szCs w:val="28"/>
          <w:shd w:val="clear" w:color="auto" w:fill="ffffff"/>
        </w:rPr>
        <w:t xml:space="preserve">  </w:t>
      </w:r>
      <w:r>
        <w:rPr>
          <w:rFonts w:ascii="Times New Roman" w:hAnsi="Times New Roman"/>
          <w:sz w:val="28"/>
          <w:szCs w:val="28"/>
          <w:shd w:val="clear" w:color="auto" w:fill="ffffff"/>
          <w:lang w:val="en-US"/>
        </w:rPr>
        <w:t xml:space="preserve">MAX</w:t>
      </w:r>
      <w:r>
        <w:rPr>
          <w:rFonts w:ascii="Times New Roman" w:hAnsi="Times New Roman"/>
          <w:sz w:val="28"/>
          <w:szCs w:val="28"/>
          <w:shd w:val="clear" w:color="auto" w:fill="ffffff"/>
        </w:rPr>
        <w:t xml:space="preserve"> для освещения деятельности, выпуск специального тематического доклада по актуальным вопросам правозащитной повестки, обновление состава Молодежного общественного совета и Команды </w:t>
      </w:r>
      <w:r>
        <w:rPr>
          <w:rFonts w:ascii="Times New Roman" w:hAnsi="Times New Roman"/>
          <w:sz w:val="28"/>
          <w:szCs w:val="28"/>
          <w:shd w:val="clear" w:color="auto" w:fill="ffffff"/>
        </w:rPr>
        <w:t xml:space="preserve">общественных помощников, реализация новых значимых </w:t>
      </w:r>
      <w:r>
        <w:rPr>
          <w:rFonts w:ascii="Times New Roman" w:hAnsi="Times New Roman"/>
          <w:sz w:val="28"/>
          <w:szCs w:val="28"/>
          <w:shd w:val="clear" w:color="auto" w:fill="ffffff"/>
        </w:rPr>
        <w:t xml:space="preserve">проектов, организация мероприятий, посвященных Году единства народов России и                15 – </w:t>
      </w:r>
      <w:r>
        <w:rPr>
          <w:rFonts w:ascii="Times New Roman" w:hAnsi="Times New Roman"/>
          <w:sz w:val="28"/>
          <w:szCs w:val="28"/>
          <w:shd w:val="clear" w:color="auto" w:fill="ffffff"/>
        </w:rPr>
        <w:t xml:space="preserve">летию</w:t>
      </w:r>
      <w:r>
        <w:rPr>
          <w:rFonts w:ascii="Times New Roman" w:hAnsi="Times New Roman"/>
          <w:sz w:val="28"/>
          <w:szCs w:val="28"/>
          <w:shd w:val="clear" w:color="auto" w:fill="ffffff"/>
        </w:rPr>
        <w:t xml:space="preserve"> со дня образования регионального института </w:t>
      </w:r>
      <w:r>
        <w:rPr>
          <w:rFonts w:ascii="Times New Roman" w:hAnsi="Times New Roman"/>
          <w:sz w:val="28"/>
          <w:szCs w:val="28"/>
          <w:shd w:val="clear" w:color="auto" w:fill="ffffff"/>
        </w:rPr>
        <w:t xml:space="preserve">правозащиты</w:t>
      </w:r>
      <w:r>
        <w:rPr>
          <w:rFonts w:ascii="Times New Roman" w:hAnsi="Times New Roman"/>
          <w:sz w:val="28"/>
          <w:szCs w:val="28"/>
          <w:shd w:val="clear" w:color="auto" w:fill="ffffff"/>
        </w:rPr>
        <w:t xml:space="preserve">,  проведение юбилейного X правозащитного экологического форума и т.п.</w:t>
      </w:r>
      <w:r>
        <w:rPr>
          <w:rFonts w:ascii="Times New Roman" w:hAnsi="Times New Roman"/>
          <w:sz w:val="28"/>
          <w:szCs w:val="28"/>
          <w:shd w:val="clear" w:color="auto" w:fill="ffffff"/>
        </w:rPr>
        <w:t xml:space="preserve"> </w:t>
      </w:r>
      <w:r>
        <w:rPr>
          <w:rFonts w:ascii="Times New Roman" w:hAnsi="Times New Roman"/>
          <w:sz w:val="28"/>
          <w:szCs w:val="28"/>
          <w:shd w:val="clear" w:color="auto" w:fill="ffffff"/>
        </w:rPr>
      </w:r>
    </w:p>
    <w:p>
      <w:pPr>
        <w:jc w:val="both"/>
        <w:spacing w:after="0"/>
        <w:tabs>
          <w:tab w:val="left" w:pos="709" w:leader="none"/>
        </w:tabs>
        <w:rPr>
          <w:rFonts w:ascii="Times New Roman" w:hAnsi="Times New Roman"/>
          <w:sz w:val="28"/>
          <w:szCs w:val="28"/>
        </w:rPr>
      </w:pPr>
      <w:r>
        <w:rPr>
          <w:rFonts w:ascii="Times New Roman" w:hAnsi="Times New Roman"/>
          <w:sz w:val="28"/>
          <w:szCs w:val="28"/>
          <w:shd w:val="clear" w:color="auto" w:fill="ffffff"/>
        </w:rPr>
        <w:tab/>
        <w:t xml:space="preserve">Но приоритет в командной работе – это совершенствование форм, методов и средств по оказанию адресной помощ</w:t>
      </w:r>
      <w:r>
        <w:rPr>
          <w:rFonts w:ascii="Times New Roman" w:hAnsi="Times New Roman"/>
          <w:sz w:val="28"/>
          <w:szCs w:val="28"/>
          <w:shd w:val="clear" w:color="auto" w:fill="ffffff"/>
        </w:rPr>
        <w:t xml:space="preserve">и заявителям. Так, индивидуальный подход к рассмотрению каждого обращения позволяет глубоко внимать в проблемы земляков и не только, находить эффективные решения и обеспечивать защиту прав конкретных людей, возвращает попавшим в беду веру в справедливость.</w:t>
      </w:r>
      <w:r>
        <w:rPr>
          <w:rFonts w:ascii="Times New Roman" w:hAnsi="Times New Roman"/>
          <w:sz w:val="28"/>
          <w:szCs w:val="28"/>
          <w:shd w:val="clear" w:color="auto" w:fill="ffffff"/>
        </w:rPr>
      </w:r>
      <w:r/>
    </w:p>
    <w:p>
      <w:pPr>
        <w:ind w:firstLine="567"/>
        <w:jc w:val="both"/>
        <w:spacing w:after="0"/>
        <w:tabs>
          <w:tab w:val="left" w:pos="709" w:leader="none"/>
        </w:tabs>
        <w:rPr>
          <w:rFonts w:ascii="Times New Roman" w:hAnsi="Times New Roman"/>
          <w:sz w:val="28"/>
          <w:szCs w:val="28"/>
        </w:rPr>
      </w:pPr>
      <w:r>
        <w:rPr>
          <w:rFonts w:ascii="Times New Roman" w:hAnsi="Times New Roman"/>
          <w:sz w:val="28"/>
          <w:szCs w:val="28"/>
        </w:rPr>
        <w:tab/>
        <w:t xml:space="preserve">Ежегодный доклад направлен в Ивановскую областную Думу, Губернатору Ивановской области, Ивановский областной суд,  прокуратуру области, Уполномоченному по правам человека в Российской Федерации.</w:t>
      </w:r>
      <w:r>
        <w:rPr>
          <w:rFonts w:ascii="Times New Roman" w:hAnsi="Times New Roman"/>
          <w:sz w:val="28"/>
          <w:szCs w:val="28"/>
        </w:rPr>
      </w:r>
      <w:r>
        <w:rPr>
          <w:rFonts w:ascii="Times New Roman" w:hAnsi="Times New Roman"/>
          <w:sz w:val="28"/>
          <w:szCs w:val="28"/>
        </w:rPr>
      </w:r>
    </w:p>
    <w:p>
      <w:pPr>
        <w:ind w:firstLine="567"/>
        <w:jc w:val="both"/>
        <w:spacing w:after="0"/>
        <w:tabs>
          <w:tab w:val="left" w:pos="709" w:leader="none"/>
        </w:tabs>
        <w:rPr>
          <w:rFonts w:ascii="Times New Roman" w:hAnsi="Times New Roman"/>
          <w:sz w:val="28"/>
          <w:szCs w:val="28"/>
        </w:rPr>
      </w:pPr>
      <w:r>
        <w:rPr>
          <w:rFonts w:ascii="Times New Roman" w:hAnsi="Times New Roman"/>
          <w:sz w:val="28"/>
          <w:szCs w:val="28"/>
        </w:rPr>
        <w:tab/>
        <w:t xml:space="preserve">Доклад в полном объеме размещен на официальном сайте Уполномоченного </w:t>
      </w:r>
      <w:r>
        <w:rPr>
          <w:rFonts w:ascii="Times New Roman" w:hAnsi="Times New Roman"/>
          <w:sz w:val="28"/>
          <w:szCs w:val="28"/>
          <w:lang w:val="en-US"/>
        </w:rPr>
        <w:t xml:space="preserve">ombudsman</w:t>
      </w:r>
      <w:r>
        <w:rPr>
          <w:rFonts w:ascii="Times New Roman" w:hAnsi="Times New Roman"/>
          <w:sz w:val="28"/>
          <w:szCs w:val="28"/>
        </w:rPr>
        <w:t xml:space="preserve">.</w:t>
      </w:r>
      <w:r>
        <w:rPr>
          <w:rFonts w:ascii="Times New Roman" w:hAnsi="Times New Roman"/>
          <w:sz w:val="28"/>
          <w:szCs w:val="28"/>
          <w:lang w:val="en-US"/>
        </w:rPr>
        <w:t xml:space="preserve">ivanovoobl</w:t>
      </w:r>
      <w:r>
        <w:rPr>
          <w:rFonts w:ascii="Times New Roman" w:hAnsi="Times New Roman"/>
          <w:sz w:val="28"/>
          <w:szCs w:val="28"/>
        </w:rPr>
        <w:t xml:space="preserve">.</w:t>
      </w:r>
      <w:r>
        <w:rPr>
          <w:rFonts w:ascii="Times New Roman" w:hAnsi="Times New Roman"/>
          <w:sz w:val="28"/>
          <w:szCs w:val="28"/>
          <w:lang w:val="en-US"/>
        </w:rPr>
        <w:t xml:space="preserve">ru</w:t>
      </w:r>
      <w:r>
        <w:rPr>
          <w:rFonts w:ascii="Times New Roman" w:hAnsi="Times New Roman"/>
          <w:sz w:val="28"/>
          <w:szCs w:val="28"/>
        </w:rPr>
        <w:t xml:space="preserve">.</w:t>
      </w:r>
      <w:r>
        <w:rPr>
          <w:rFonts w:ascii="Times New Roman" w:hAnsi="Times New Roman"/>
          <w:sz w:val="28"/>
          <w:szCs w:val="28"/>
        </w:rPr>
      </w:r>
      <w:r>
        <w:rPr>
          <w:rFonts w:ascii="Times New Roman" w:hAnsi="Times New Roman"/>
          <w:sz w:val="28"/>
          <w:szCs w:val="28"/>
        </w:rPr>
      </w:r>
    </w:p>
    <w:p>
      <w:pPr>
        <w:jc w:val="both"/>
        <w:spacing w:after="0"/>
        <w:rPr>
          <w:rFonts w:ascii="Times New Roman" w:hAnsi="Times New Roman"/>
          <w:b/>
          <w:sz w:val="28"/>
          <w:szCs w:val="28"/>
        </w:rPr>
      </w:pPr>
      <w:r>
        <w:rPr>
          <w:rFonts w:ascii="Times New Roman" w:hAnsi="Times New Roman"/>
          <w:sz w:val="28"/>
          <w:szCs w:val="28"/>
        </w:rPr>
        <w:tab/>
        <w:t xml:space="preserve">Выражаю слова признательности всем причастным к подготовке настоящего доклада, а также тем, кто оказывал содействие в правозащитной деятельности, организации </w:t>
      </w:r>
      <w:r>
        <w:rPr>
          <w:rFonts w:ascii="Times New Roman" w:hAnsi="Times New Roman"/>
          <w:sz w:val="28"/>
          <w:szCs w:val="28"/>
        </w:rPr>
        <w:t xml:space="preserve">правопросветительской</w:t>
      </w:r>
      <w:r>
        <w:rPr>
          <w:rFonts w:ascii="Times New Roman" w:hAnsi="Times New Roman"/>
          <w:sz w:val="28"/>
          <w:szCs w:val="28"/>
        </w:rPr>
        <w:t xml:space="preserve"> миссии в 2025 году. Спасибо, что вместе! </w:t>
      </w:r>
      <w:r>
        <w:rPr>
          <w:rFonts w:ascii="Times New Roman" w:hAnsi="Times New Roman"/>
          <w:b/>
          <w:sz w:val="28"/>
          <w:szCs w:val="28"/>
        </w:rPr>
      </w:r>
      <w:r>
        <w:rPr>
          <w:rFonts w:ascii="Times New Roman" w:hAnsi="Times New Roman"/>
          <w:b/>
          <w:sz w:val="28"/>
          <w:szCs w:val="28"/>
        </w:rPr>
      </w:r>
    </w:p>
    <w:p>
      <w:pPr>
        <w:spacing w:after="0"/>
        <w:rPr>
          <w:rFonts w:ascii="Times New Roman" w:hAnsi="Times New Roman"/>
          <w:b/>
          <w:sz w:val="28"/>
          <w:szCs w:val="28"/>
        </w:rPr>
      </w:pPr>
      <w:r>
        <w:rPr>
          <w:rFonts w:ascii="Times New Roman" w:hAnsi="Times New Roman"/>
          <w:b/>
          <w:sz w:val="28"/>
          <w:szCs w:val="28"/>
        </w:rPr>
      </w:r>
      <w:r>
        <w:rPr>
          <w:rFonts w:ascii="Times New Roman" w:hAnsi="Times New Roman"/>
          <w:b/>
          <w:sz w:val="28"/>
          <w:szCs w:val="28"/>
        </w:rPr>
      </w:r>
      <w:r>
        <w:rPr>
          <w:rFonts w:ascii="Times New Roman" w:hAnsi="Times New Roman"/>
          <w:b/>
          <w:sz w:val="28"/>
          <w:szCs w:val="28"/>
        </w:rPr>
      </w:r>
    </w:p>
    <w:p>
      <w:pPr>
        <w:jc w:val="right"/>
        <w:spacing w:after="0"/>
        <w:rPr>
          <w:rFonts w:ascii="Times New Roman" w:hAnsi="Times New Roman"/>
          <w:b/>
          <w:sz w:val="28"/>
          <w:szCs w:val="28"/>
        </w:rPr>
      </w:pPr>
      <w:r>
        <w:rPr>
          <w:rFonts w:ascii="Times New Roman" w:hAnsi="Times New Roman"/>
          <w:b/>
          <w:sz w:val="28"/>
          <w:szCs w:val="28"/>
        </w:rPr>
        <w:t xml:space="preserve">С.А. Шмелева,</w:t>
      </w:r>
      <w:r>
        <w:rPr>
          <w:rFonts w:ascii="Times New Roman" w:hAnsi="Times New Roman"/>
          <w:b/>
          <w:sz w:val="28"/>
          <w:szCs w:val="28"/>
        </w:rPr>
      </w:r>
      <w:r>
        <w:rPr>
          <w:rFonts w:ascii="Times New Roman" w:hAnsi="Times New Roman"/>
          <w:b/>
          <w:sz w:val="28"/>
          <w:szCs w:val="28"/>
        </w:rPr>
      </w:r>
    </w:p>
    <w:p>
      <w:pPr>
        <w:jc w:val="right"/>
        <w:spacing w:after="0"/>
        <w:rPr>
          <w:rFonts w:ascii="Times New Roman" w:hAnsi="Times New Roman"/>
          <w:b/>
          <w:sz w:val="28"/>
          <w:szCs w:val="28"/>
        </w:rPr>
      </w:pPr>
      <w:r>
        <w:rPr>
          <w:rFonts w:ascii="Times New Roman" w:hAnsi="Times New Roman"/>
          <w:b/>
          <w:sz w:val="28"/>
          <w:szCs w:val="28"/>
        </w:rPr>
        <w:t xml:space="preserve">Уполномоченный по правам</w:t>
      </w:r>
      <w:r>
        <w:rPr>
          <w:rFonts w:ascii="Times New Roman" w:hAnsi="Times New Roman"/>
          <w:b/>
          <w:sz w:val="28"/>
          <w:szCs w:val="28"/>
        </w:rPr>
      </w:r>
      <w:r>
        <w:rPr>
          <w:rFonts w:ascii="Times New Roman" w:hAnsi="Times New Roman"/>
          <w:b/>
          <w:sz w:val="28"/>
          <w:szCs w:val="28"/>
        </w:rPr>
      </w:r>
    </w:p>
    <w:p>
      <w:pPr>
        <w:jc w:val="right"/>
        <w:spacing w:after="0"/>
        <w:rPr>
          <w:rFonts w:ascii="Times New Roman" w:hAnsi="Times New Roman"/>
          <w:b/>
          <w:sz w:val="28"/>
          <w:szCs w:val="28"/>
        </w:rPr>
      </w:pPr>
      <w:r>
        <w:rPr>
          <w:rFonts w:ascii="Times New Roman" w:hAnsi="Times New Roman"/>
          <w:b/>
          <w:sz w:val="28"/>
          <w:szCs w:val="28"/>
        </w:rPr>
        <w:t xml:space="preserve">человека в Ивановской области</w:t>
      </w:r>
      <w:r>
        <w:rPr>
          <w:rFonts w:ascii="Times New Roman" w:hAnsi="Times New Roman"/>
          <w:b/>
          <w:sz w:val="28"/>
          <w:szCs w:val="28"/>
        </w:rPr>
      </w:r>
      <w:r>
        <w:rPr>
          <w:rFonts w:ascii="Times New Roman" w:hAnsi="Times New Roman"/>
          <w:b/>
          <w:sz w:val="28"/>
          <w:szCs w:val="28"/>
        </w:rPr>
      </w:r>
    </w:p>
    <w:p>
      <w:pPr>
        <w:jc w:val="right"/>
        <w:spacing w:after="0"/>
        <w:rPr>
          <w:rFonts w:ascii="Times New Roman" w:hAnsi="Times New Roman"/>
          <w:b/>
          <w:sz w:val="28"/>
          <w:szCs w:val="28"/>
        </w:rPr>
      </w:pPr>
      <w:r>
        <w:rPr>
          <w:rFonts w:ascii="Times New Roman" w:hAnsi="Times New Roman"/>
          <w:b/>
          <w:sz w:val="28"/>
          <w:szCs w:val="28"/>
        </w:rPr>
      </w:r>
      <w:r>
        <w:rPr>
          <w:rFonts w:ascii="Times New Roman" w:hAnsi="Times New Roman"/>
          <w:b/>
          <w:sz w:val="28"/>
          <w:szCs w:val="28"/>
        </w:rPr>
      </w:r>
      <w:r>
        <w:rPr>
          <w:rFonts w:ascii="Times New Roman" w:hAnsi="Times New Roman"/>
          <w:b/>
          <w:sz w:val="28"/>
          <w:szCs w:val="28"/>
        </w:rPr>
      </w:r>
    </w:p>
    <w:p>
      <w:pPr>
        <w:jc w:val="right"/>
        <w:spacing w:after="0"/>
        <w:rPr>
          <w:rFonts w:ascii="Times New Roman" w:hAnsi="Times New Roman"/>
          <w:b/>
          <w:sz w:val="28"/>
          <w:szCs w:val="28"/>
        </w:rPr>
      </w:pPr>
      <w:r>
        <w:rPr>
          <w:rFonts w:ascii="Times New Roman" w:hAnsi="Times New Roman"/>
          <w:b/>
          <w:sz w:val="28"/>
          <w:szCs w:val="28"/>
        </w:rPr>
      </w:r>
      <w:r>
        <w:rPr>
          <w:rFonts w:ascii="Times New Roman" w:hAnsi="Times New Roman"/>
          <w:b/>
          <w:sz w:val="28"/>
          <w:szCs w:val="28"/>
        </w:rPr>
      </w:r>
      <w:r>
        <w:rPr>
          <w:rFonts w:ascii="Times New Roman" w:hAnsi="Times New Roman"/>
          <w:b/>
          <w:sz w:val="28"/>
          <w:szCs w:val="28"/>
        </w:rPr>
      </w:r>
    </w:p>
    <w:p>
      <w:pPr>
        <w:jc w:val="right"/>
        <w:spacing w:after="0"/>
        <w:rPr>
          <w:rFonts w:ascii="Times New Roman" w:hAnsi="Times New Roman"/>
          <w:b/>
          <w:sz w:val="28"/>
          <w:szCs w:val="28"/>
        </w:rPr>
      </w:pPr>
      <w:r>
        <w:rPr>
          <w:rFonts w:ascii="Times New Roman" w:hAnsi="Times New Roman"/>
          <w:b/>
          <w:sz w:val="28"/>
          <w:szCs w:val="28"/>
        </w:rPr>
      </w:r>
      <w:r>
        <w:rPr>
          <w:rFonts w:ascii="Times New Roman" w:hAnsi="Times New Roman"/>
          <w:b/>
          <w:sz w:val="28"/>
          <w:szCs w:val="28"/>
        </w:rPr>
      </w:r>
      <w:r>
        <w:rPr>
          <w:rFonts w:ascii="Times New Roman" w:hAnsi="Times New Roman"/>
          <w:b/>
          <w:sz w:val="28"/>
          <w:szCs w:val="28"/>
        </w:rPr>
      </w:r>
    </w:p>
    <w:p>
      <w:pPr>
        <w:jc w:val="right"/>
        <w:spacing w:after="0"/>
        <w:rPr>
          <w:rFonts w:ascii="Times New Roman" w:hAnsi="Times New Roman"/>
          <w:b/>
          <w:sz w:val="28"/>
          <w:szCs w:val="28"/>
        </w:rPr>
      </w:pPr>
      <w:r>
        <w:rPr>
          <w:rFonts w:ascii="Times New Roman" w:hAnsi="Times New Roman"/>
          <w:b/>
          <w:sz w:val="28"/>
          <w:szCs w:val="28"/>
        </w:rPr>
      </w:r>
      <w:r>
        <w:rPr>
          <w:rFonts w:ascii="Times New Roman" w:hAnsi="Times New Roman"/>
          <w:b/>
          <w:sz w:val="28"/>
          <w:szCs w:val="28"/>
        </w:rPr>
      </w:r>
      <w:r>
        <w:rPr>
          <w:rFonts w:ascii="Times New Roman" w:hAnsi="Times New Roman"/>
          <w:b/>
          <w:sz w:val="28"/>
          <w:szCs w:val="28"/>
        </w:rPr>
      </w:r>
    </w:p>
    <w:p>
      <w:pPr>
        <w:jc w:val="right"/>
        <w:spacing w:after="0"/>
        <w:rPr>
          <w:rFonts w:ascii="Times New Roman" w:hAnsi="Times New Roman"/>
          <w:b/>
          <w:sz w:val="28"/>
          <w:szCs w:val="28"/>
        </w:rPr>
      </w:pPr>
      <w:r>
        <w:rPr>
          <w:rFonts w:ascii="Times New Roman" w:hAnsi="Times New Roman"/>
          <w:b/>
          <w:sz w:val="28"/>
          <w:szCs w:val="28"/>
        </w:rPr>
      </w:r>
      <w:r>
        <w:rPr>
          <w:rFonts w:ascii="Times New Roman" w:hAnsi="Times New Roman"/>
          <w:b/>
          <w:sz w:val="28"/>
          <w:szCs w:val="28"/>
        </w:rPr>
      </w:r>
      <w:r>
        <w:rPr>
          <w:rFonts w:ascii="Times New Roman" w:hAnsi="Times New Roman"/>
          <w:b/>
          <w:sz w:val="28"/>
          <w:szCs w:val="28"/>
        </w:rPr>
      </w:r>
    </w:p>
    <w:p>
      <w:pPr>
        <w:jc w:val="right"/>
        <w:spacing w:after="0"/>
        <w:rPr>
          <w:rFonts w:ascii="Times New Roman" w:hAnsi="Times New Roman"/>
          <w:b/>
          <w:sz w:val="28"/>
          <w:szCs w:val="28"/>
        </w:rPr>
      </w:pPr>
      <w:r>
        <w:rPr>
          <w:rFonts w:ascii="Times New Roman" w:hAnsi="Times New Roman"/>
          <w:b/>
          <w:sz w:val="28"/>
          <w:szCs w:val="28"/>
        </w:rPr>
      </w:r>
      <w:r>
        <w:rPr>
          <w:rFonts w:ascii="Times New Roman" w:hAnsi="Times New Roman"/>
          <w:b/>
          <w:sz w:val="28"/>
          <w:szCs w:val="28"/>
        </w:rPr>
      </w:r>
      <w:r>
        <w:rPr>
          <w:rFonts w:ascii="Times New Roman" w:hAnsi="Times New Roman"/>
          <w:b/>
          <w:sz w:val="28"/>
          <w:szCs w:val="28"/>
        </w:rPr>
      </w:r>
    </w:p>
    <w:p>
      <w:pPr>
        <w:jc w:val="right"/>
        <w:spacing w:after="0"/>
        <w:rPr>
          <w:rFonts w:ascii="Times New Roman" w:hAnsi="Times New Roman"/>
          <w:b/>
          <w:sz w:val="28"/>
          <w:szCs w:val="28"/>
        </w:rPr>
      </w:pPr>
      <w:r>
        <w:rPr>
          <w:rFonts w:ascii="Times New Roman" w:hAnsi="Times New Roman"/>
          <w:b/>
          <w:sz w:val="28"/>
          <w:szCs w:val="28"/>
        </w:rPr>
      </w:r>
      <w:r>
        <w:rPr>
          <w:rFonts w:ascii="Times New Roman" w:hAnsi="Times New Roman"/>
          <w:b/>
          <w:sz w:val="28"/>
          <w:szCs w:val="28"/>
        </w:rPr>
      </w:r>
      <w:r>
        <w:rPr>
          <w:rFonts w:ascii="Times New Roman" w:hAnsi="Times New Roman"/>
          <w:b/>
          <w:sz w:val="28"/>
          <w:szCs w:val="28"/>
        </w:rPr>
      </w:r>
    </w:p>
    <w:p>
      <w:pPr>
        <w:jc w:val="right"/>
        <w:spacing w:after="0"/>
        <w:rPr>
          <w:rFonts w:ascii="Times New Roman" w:hAnsi="Times New Roman"/>
          <w:b/>
          <w:sz w:val="28"/>
          <w:szCs w:val="28"/>
        </w:rPr>
      </w:pPr>
      <w:r>
        <w:rPr>
          <w:rFonts w:ascii="Times New Roman" w:hAnsi="Times New Roman"/>
          <w:b/>
          <w:sz w:val="28"/>
          <w:szCs w:val="28"/>
        </w:rPr>
      </w:r>
      <w:r>
        <w:rPr>
          <w:rFonts w:ascii="Times New Roman" w:hAnsi="Times New Roman"/>
          <w:b/>
          <w:sz w:val="28"/>
          <w:szCs w:val="28"/>
        </w:rPr>
      </w:r>
      <w:r>
        <w:rPr>
          <w:rFonts w:ascii="Times New Roman" w:hAnsi="Times New Roman"/>
          <w:b/>
          <w:sz w:val="28"/>
          <w:szCs w:val="28"/>
        </w:rPr>
      </w:r>
    </w:p>
    <w:p>
      <w:pPr>
        <w:jc w:val="right"/>
        <w:spacing w:after="0"/>
        <w:rPr>
          <w:rFonts w:ascii="Times New Roman" w:hAnsi="Times New Roman"/>
          <w:b/>
          <w:sz w:val="28"/>
          <w:szCs w:val="28"/>
        </w:rPr>
      </w:pPr>
      <w:r>
        <w:rPr>
          <w:rFonts w:ascii="Times New Roman" w:hAnsi="Times New Roman"/>
          <w:b/>
          <w:sz w:val="28"/>
          <w:szCs w:val="28"/>
        </w:rPr>
      </w:r>
      <w:r>
        <w:rPr>
          <w:rFonts w:ascii="Times New Roman" w:hAnsi="Times New Roman"/>
          <w:b/>
          <w:sz w:val="28"/>
          <w:szCs w:val="28"/>
        </w:rPr>
      </w:r>
      <w:r>
        <w:rPr>
          <w:rFonts w:ascii="Times New Roman" w:hAnsi="Times New Roman"/>
          <w:b/>
          <w:sz w:val="28"/>
          <w:szCs w:val="28"/>
        </w:rPr>
      </w:r>
    </w:p>
    <w:p>
      <w:pPr>
        <w:jc w:val="right"/>
        <w:spacing w:after="0"/>
        <w:rPr>
          <w:rFonts w:ascii="Times New Roman" w:hAnsi="Times New Roman"/>
          <w:b/>
          <w:sz w:val="28"/>
          <w:szCs w:val="28"/>
        </w:rPr>
      </w:pPr>
      <w:r>
        <w:rPr>
          <w:rFonts w:ascii="Times New Roman" w:hAnsi="Times New Roman"/>
          <w:b/>
          <w:sz w:val="28"/>
          <w:szCs w:val="28"/>
        </w:rPr>
      </w:r>
      <w:r>
        <w:rPr>
          <w:rFonts w:ascii="Times New Roman" w:hAnsi="Times New Roman"/>
          <w:b/>
          <w:sz w:val="28"/>
          <w:szCs w:val="28"/>
        </w:rPr>
      </w:r>
      <w:r>
        <w:rPr>
          <w:rFonts w:ascii="Times New Roman" w:hAnsi="Times New Roman"/>
          <w:b/>
          <w:sz w:val="28"/>
          <w:szCs w:val="28"/>
        </w:rPr>
      </w:r>
    </w:p>
    <w:p>
      <w:pPr>
        <w:jc w:val="right"/>
        <w:spacing w:after="0"/>
        <w:rPr>
          <w:rFonts w:ascii="Times New Roman" w:hAnsi="Times New Roman"/>
          <w:b/>
          <w:sz w:val="28"/>
          <w:szCs w:val="28"/>
        </w:rPr>
      </w:pPr>
      <w:r>
        <w:rPr>
          <w:rFonts w:ascii="Times New Roman" w:hAnsi="Times New Roman"/>
          <w:b/>
          <w:sz w:val="28"/>
          <w:szCs w:val="28"/>
        </w:rPr>
      </w:r>
      <w:r>
        <w:rPr>
          <w:rFonts w:ascii="Times New Roman" w:hAnsi="Times New Roman"/>
          <w:b/>
          <w:sz w:val="28"/>
          <w:szCs w:val="28"/>
        </w:rPr>
      </w:r>
      <w:r>
        <w:rPr>
          <w:rFonts w:ascii="Times New Roman" w:hAnsi="Times New Roman"/>
          <w:b/>
          <w:sz w:val="28"/>
          <w:szCs w:val="28"/>
        </w:rPr>
      </w:r>
    </w:p>
    <w:p>
      <w:pPr>
        <w:jc w:val="right"/>
        <w:spacing w:after="0"/>
        <w:rPr>
          <w:rFonts w:ascii="Times New Roman" w:hAnsi="Times New Roman"/>
          <w:b/>
          <w:bCs/>
          <w:sz w:val="28"/>
          <w:szCs w:val="28"/>
        </w:rPr>
      </w:pPr>
      <w:r>
        <w:rPr>
          <w:rFonts w:ascii="Times New Roman" w:hAnsi="Times New Roman"/>
          <w:b/>
          <w:sz w:val="28"/>
          <w:szCs w:val="28"/>
        </w:rPr>
      </w:r>
      <w:r>
        <w:rPr>
          <w:rFonts w:ascii="Times New Roman" w:hAnsi="Times New Roman"/>
          <w:b/>
          <w:bCs/>
          <w:sz w:val="28"/>
          <w:szCs w:val="28"/>
        </w:rPr>
      </w:r>
      <w:r>
        <w:rPr>
          <w:rFonts w:ascii="Times New Roman" w:hAnsi="Times New Roman"/>
          <w:b/>
          <w:bCs/>
          <w:sz w:val="28"/>
          <w:szCs w:val="28"/>
        </w:rPr>
      </w:r>
    </w:p>
    <w:p>
      <w:pPr>
        <w:jc w:val="right"/>
        <w:spacing w:after="0"/>
        <w:rPr>
          <w:rFonts w:ascii="Times New Roman" w:hAnsi="Times New Roman"/>
          <w:b/>
          <w:bCs/>
          <w:sz w:val="28"/>
          <w:szCs w:val="28"/>
        </w:rPr>
      </w:pPr>
      <w:r>
        <w:rPr>
          <w:rFonts w:ascii="Times New Roman" w:hAnsi="Times New Roman"/>
          <w:b/>
          <w:bCs/>
          <w:sz w:val="28"/>
          <w:szCs w:val="28"/>
        </w:rPr>
      </w:r>
      <w:r>
        <w:rPr>
          <w:rFonts w:ascii="Times New Roman" w:hAnsi="Times New Roman"/>
          <w:b/>
          <w:bCs/>
          <w:sz w:val="28"/>
          <w:szCs w:val="28"/>
        </w:rPr>
      </w:r>
      <w:r>
        <w:rPr>
          <w:rFonts w:ascii="Times New Roman" w:hAnsi="Times New Roman"/>
          <w:b/>
          <w:bCs/>
          <w:sz w:val="28"/>
          <w:szCs w:val="28"/>
        </w:rPr>
      </w:r>
    </w:p>
    <w:p>
      <w:pPr>
        <w:jc w:val="right"/>
        <w:spacing w:after="0"/>
        <w:rPr>
          <w:rFonts w:ascii="Times New Roman" w:hAnsi="Times New Roman"/>
          <w:b/>
          <w:bCs/>
          <w:sz w:val="28"/>
          <w:szCs w:val="28"/>
        </w:rPr>
      </w:pPr>
      <w:r>
        <w:rPr>
          <w:rFonts w:ascii="Times New Roman" w:hAnsi="Times New Roman"/>
          <w:b/>
          <w:bCs/>
          <w:sz w:val="28"/>
          <w:szCs w:val="28"/>
        </w:rPr>
      </w:r>
      <w:r>
        <w:rPr>
          <w:rFonts w:ascii="Times New Roman" w:hAnsi="Times New Roman"/>
          <w:b/>
          <w:bCs/>
          <w:sz w:val="28"/>
          <w:szCs w:val="28"/>
        </w:rPr>
      </w:r>
      <w:r>
        <w:rPr>
          <w:rFonts w:ascii="Times New Roman" w:hAnsi="Times New Roman"/>
          <w:b/>
          <w:bCs/>
          <w:sz w:val="28"/>
          <w:szCs w:val="28"/>
        </w:rPr>
      </w:r>
    </w:p>
    <w:p>
      <w:pPr>
        <w:jc w:val="right"/>
        <w:spacing w:after="0"/>
        <w:rPr>
          <w:rFonts w:ascii="Times New Roman" w:hAnsi="Times New Roman"/>
          <w:b/>
          <w:bCs/>
          <w:sz w:val="28"/>
          <w:szCs w:val="28"/>
        </w:rPr>
      </w:pPr>
      <w:r>
        <w:rPr>
          <w:rFonts w:ascii="Times New Roman" w:hAnsi="Times New Roman"/>
          <w:b/>
          <w:bCs/>
          <w:sz w:val="28"/>
          <w:szCs w:val="28"/>
        </w:rPr>
      </w:r>
      <w:r>
        <w:rPr>
          <w:rFonts w:ascii="Times New Roman" w:hAnsi="Times New Roman"/>
          <w:b/>
          <w:bCs/>
          <w:sz w:val="28"/>
          <w:szCs w:val="28"/>
        </w:rPr>
      </w:r>
      <w:r>
        <w:rPr>
          <w:rFonts w:ascii="Times New Roman" w:hAnsi="Times New Roman"/>
          <w:b/>
          <w:bCs/>
          <w:sz w:val="28"/>
          <w:szCs w:val="28"/>
        </w:rPr>
      </w:r>
    </w:p>
    <w:p>
      <w:pPr>
        <w:jc w:val="right"/>
        <w:spacing w:after="0"/>
        <w:rPr>
          <w:rFonts w:ascii="Times New Roman" w:hAnsi="Times New Roman"/>
          <w:b/>
          <w:bCs/>
          <w:sz w:val="28"/>
          <w:szCs w:val="28"/>
        </w:rPr>
      </w:pPr>
      <w:r>
        <w:rPr>
          <w:rFonts w:ascii="Times New Roman" w:hAnsi="Times New Roman"/>
          <w:b/>
          <w:sz w:val="28"/>
          <w:szCs w:val="28"/>
        </w:rPr>
      </w:r>
      <w:r>
        <w:rPr>
          <w:rFonts w:ascii="Times New Roman" w:hAnsi="Times New Roman"/>
          <w:b/>
          <w:bCs/>
          <w:sz w:val="28"/>
          <w:szCs w:val="28"/>
        </w:rPr>
      </w:r>
      <w:r>
        <w:rPr>
          <w:rFonts w:ascii="Times New Roman" w:hAnsi="Times New Roman"/>
          <w:b/>
          <w:bCs/>
          <w:sz w:val="28"/>
          <w:szCs w:val="28"/>
        </w:rPr>
      </w:r>
    </w:p>
    <w:p>
      <w:pPr>
        <w:spacing w:after="0"/>
        <w:rPr>
          <w:rFonts w:ascii="Times New Roman" w:hAnsi="Times New Roman"/>
          <w:b/>
          <w:bCs/>
          <w:sz w:val="28"/>
          <w:szCs w:val="28"/>
        </w:rPr>
      </w:pPr>
      <w:r>
        <w:rPr>
          <w:rFonts w:ascii="Times New Roman" w:hAnsi="Times New Roman"/>
          <w:b/>
          <w:sz w:val="28"/>
          <w:szCs w:val="28"/>
        </w:rPr>
      </w:r>
      <w:r>
        <w:rPr>
          <w:rFonts w:ascii="Times New Roman" w:hAnsi="Times New Roman"/>
          <w:b/>
          <w:bCs/>
          <w:sz w:val="28"/>
          <w:szCs w:val="28"/>
        </w:rPr>
      </w:r>
      <w:r>
        <w:rPr>
          <w:rFonts w:ascii="Times New Roman" w:hAnsi="Times New Roman"/>
          <w:b/>
          <w:bCs/>
          <w:sz w:val="28"/>
          <w:szCs w:val="28"/>
        </w:rPr>
      </w:r>
    </w:p>
    <w:p>
      <w:pPr>
        <w:spacing w:after="0"/>
        <w:rPr>
          <w:rFonts w:ascii="Times New Roman" w:hAnsi="Times New Roman"/>
          <w:b/>
          <w:bCs/>
          <w:sz w:val="28"/>
          <w:szCs w:val="28"/>
        </w:rPr>
      </w:pPr>
      <w:r>
        <w:rPr>
          <w:rFonts w:ascii="Times New Roman" w:hAnsi="Times New Roman"/>
          <w:b/>
          <w:bCs/>
          <w:sz w:val="28"/>
          <w:szCs w:val="28"/>
        </w:rPr>
      </w:r>
      <w:r>
        <w:rPr>
          <w:rFonts w:ascii="Times New Roman" w:hAnsi="Times New Roman"/>
          <w:b/>
          <w:bCs/>
          <w:sz w:val="28"/>
          <w:szCs w:val="28"/>
        </w:rPr>
      </w:r>
      <w:r>
        <w:rPr>
          <w:rFonts w:ascii="Times New Roman" w:hAnsi="Times New Roman"/>
          <w:b/>
          <w:bCs/>
          <w:sz w:val="28"/>
          <w:szCs w:val="28"/>
        </w:rPr>
      </w:r>
    </w:p>
    <w:p>
      <w:pPr>
        <w:spacing w:after="0"/>
        <w:rPr>
          <w:rFonts w:ascii="Times New Roman" w:hAnsi="Times New Roman"/>
          <w:b/>
          <w:bCs/>
          <w:sz w:val="28"/>
          <w:szCs w:val="28"/>
        </w:rPr>
      </w:pPr>
      <w:r>
        <w:rPr>
          <w:rFonts w:ascii="Times New Roman" w:hAnsi="Times New Roman"/>
          <w:b/>
          <w:bCs/>
          <w:sz w:val="28"/>
          <w:szCs w:val="28"/>
        </w:rPr>
      </w:r>
      <w:r>
        <w:rPr>
          <w:rFonts w:ascii="Times New Roman" w:hAnsi="Times New Roman"/>
          <w:b/>
          <w:bCs/>
          <w:sz w:val="28"/>
          <w:szCs w:val="28"/>
        </w:rPr>
      </w:r>
    </w:p>
    <w:p>
      <w:pPr>
        <w:spacing w:after="0"/>
        <w:rPr>
          <w:rFonts w:ascii="Times New Roman" w:hAnsi="Times New Roman"/>
          <w:b/>
          <w:bCs/>
          <w:sz w:val="28"/>
          <w:szCs w:val="28"/>
        </w:rPr>
      </w:pPr>
      <w:r>
        <w:rPr>
          <w:rFonts w:ascii="Times New Roman" w:hAnsi="Times New Roman"/>
          <w:b/>
          <w:bCs/>
          <w:sz w:val="28"/>
          <w:szCs w:val="28"/>
        </w:rPr>
      </w:r>
      <w:r>
        <w:rPr>
          <w:rFonts w:ascii="Times New Roman" w:hAnsi="Times New Roman"/>
          <w:b/>
          <w:bCs/>
          <w:sz w:val="28"/>
          <w:szCs w:val="28"/>
        </w:rPr>
      </w:r>
    </w:p>
    <w:p>
      <w:pPr>
        <w:spacing w:after="0"/>
        <w:rPr>
          <w:rFonts w:ascii="Times New Roman" w:hAnsi="Times New Roman"/>
          <w:b/>
          <w:bCs/>
          <w:sz w:val="28"/>
          <w:szCs w:val="28"/>
        </w:rPr>
      </w:pPr>
      <w:r>
        <w:rPr>
          <w:rFonts w:ascii="Times New Roman" w:hAnsi="Times New Roman"/>
          <w:b/>
          <w:bCs/>
          <w:sz w:val="28"/>
          <w:szCs w:val="28"/>
        </w:rPr>
      </w:r>
      <w:r>
        <w:rPr>
          <w:rFonts w:ascii="Times New Roman" w:hAnsi="Times New Roman"/>
          <w:b/>
          <w:bCs/>
          <w:sz w:val="28"/>
          <w:szCs w:val="28"/>
        </w:rPr>
      </w:r>
    </w:p>
    <w:p>
      <w:pPr>
        <w:spacing w:after="0"/>
        <w:rPr>
          <w:rFonts w:ascii="Times New Roman" w:hAnsi="Times New Roman"/>
          <w:b/>
          <w:bCs/>
          <w:sz w:val="28"/>
          <w:szCs w:val="28"/>
        </w:rPr>
      </w:pPr>
      <w:r>
        <w:rPr>
          <w:rFonts w:ascii="Times New Roman" w:hAnsi="Times New Roman"/>
          <w:b/>
          <w:sz w:val="28"/>
          <w:szCs w:val="28"/>
        </w:rPr>
      </w:r>
      <w:r>
        <w:rPr>
          <w:rFonts w:ascii="Times New Roman" w:hAnsi="Times New Roman"/>
          <w:b/>
          <w:bCs/>
          <w:sz w:val="28"/>
          <w:szCs w:val="28"/>
        </w:rPr>
      </w:r>
      <w:r>
        <w:rPr>
          <w:rFonts w:ascii="Times New Roman" w:hAnsi="Times New Roman"/>
          <w:b/>
          <w:bCs/>
          <w:sz w:val="28"/>
          <w:szCs w:val="28"/>
        </w:rPr>
      </w:r>
    </w:p>
    <w:p>
      <w:pPr>
        <w:pStyle w:val="1060"/>
        <w:jc w:val="center"/>
        <w:rPr>
          <w:rFonts w:cs="Times New Roman"/>
        </w:rPr>
      </w:pPr>
      <w:r>
        <w:rPr>
          <w:rFonts w:cs="Times New Roman"/>
        </w:rPr>
      </w:r>
      <w:r>
        <w:rPr>
          <w:rFonts w:cs="Times New Roman"/>
        </w:rPr>
      </w:r>
    </w:p>
    <w:p>
      <w:pPr>
        <w:pStyle w:val="1060"/>
        <w:jc w:val="left"/>
        <w:rPr>
          <w:rFonts w:cs="Times New Roman"/>
        </w:rPr>
      </w:pPr>
      <w:r>
        <w:rPr>
          <w:rFonts w:cs="Times New Roman"/>
          <w:highlight w:val="none"/>
        </w:rPr>
      </w:r>
      <w:r/>
      <w:r>
        <w:rPr>
          <w:rFonts w:cs="Times New Roman"/>
          <w:highlight w:val="none"/>
        </w:rPr>
      </w:r>
      <w:r>
        <w:rPr>
          <w:rFonts w:cs="Times New Roman"/>
          <w:highlight w:val="none"/>
        </w:rPr>
      </w:r>
    </w:p>
    <w:p>
      <w:pPr>
        <w:pStyle w:val="1060"/>
        <w:jc w:val="center"/>
        <w:rPr>
          <w:rFonts w:cs="Times New Roman"/>
          <w:highlight w:val="none"/>
        </w:rPr>
      </w:pPr>
      <w:r>
        <w:rPr>
          <w:rFonts w:cs="Times New Roman"/>
          <w:highlight w:val="none"/>
        </w:rPr>
      </w:r>
      <w:r>
        <mc:AlternateContent>
          <mc:Choice Requires="wpg">
            <w:drawing>
              <wp:inline xmlns:wp="http://schemas.openxmlformats.org/drawingml/2006/wordprocessingDrawing" distT="0" distB="0" distL="0" distR="0">
                <wp:extent cx="5940425" cy="5940425"/>
                <wp:effectExtent l="0" t="0" r="0" b="0"/>
                <wp:docPr id="2"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251569" name=""/>
                        <pic:cNvPicPr>
                          <a:picLocks noChangeAspect="1"/>
                        </pic:cNvPicPr>
                        <pic:nvPr/>
                      </pic:nvPicPr>
                      <pic:blipFill>
                        <a:blip r:embed="rId12"/>
                        <a:stretch/>
                      </pic:blipFill>
                      <pic:spPr bwMode="auto">
                        <a:xfrm>
                          <a:off x="0" y="0"/>
                          <a:ext cx="5940424" cy="5940424"/>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 o:spid="_x0000_s1" type="#_x0000_t75" style="width:467.75pt;height:467.75pt;mso-wrap-distance-left:0.00pt;mso-wrap-distance-top:0.00pt;mso-wrap-distance-right:0.00pt;mso-wrap-distance-bottom:0.00pt;" stroked="false">
                <v:path textboxrect="0,0,0,0"/>
                <v:imagedata r:id="rId12" o:title=""/>
              </v:shape>
            </w:pict>
          </mc:Fallback>
        </mc:AlternateContent>
      </w:r>
      <w:r>
        <w:rPr>
          <w:rFonts w:cs="Times New Roman"/>
          <w:highlight w:val="none"/>
        </w:rPr>
      </w:r>
      <w:r>
        <w:rPr>
          <w:rFonts w:cs="Times New Roman"/>
          <w:highlight w:val="none"/>
        </w:rPr>
      </w:r>
    </w:p>
    <w:p>
      <w:pPr>
        <w:pStyle w:val="1060"/>
        <w:jc w:val="center"/>
        <w:rPr>
          <w:rFonts w:cs="Times New Roman"/>
          <w:highlight w:val="none"/>
        </w:rPr>
      </w:pPr>
      <w:r>
        <w:rPr>
          <w:rFonts w:cs="Times New Roman"/>
          <w:highlight w:val="none"/>
        </w:rPr>
      </w:r>
      <w:r>
        <w:rPr>
          <w:rFonts w:cs="Times New Roman"/>
          <w:highlight w:val="none"/>
        </w:rPr>
      </w:r>
    </w:p>
    <w:p>
      <w:pPr>
        <w:pStyle w:val="1060"/>
        <w:jc w:val="center"/>
        <w:rPr>
          <w:rFonts w:cs="Times New Roman"/>
          <w:highlight w:val="none"/>
        </w:rPr>
      </w:pPr>
      <w:r>
        <w:rPr>
          <w:rFonts w:cs="Times New Roman"/>
          <w:highlight w:val="none"/>
        </w:rPr>
      </w:r>
      <w:r>
        <w:rPr>
          <w:rFonts w:cs="Times New Roman"/>
          <w:highlight w:val="none"/>
        </w:rPr>
      </w:r>
    </w:p>
    <w:p>
      <w:pPr>
        <w:pStyle w:val="1060"/>
        <w:jc w:val="center"/>
        <w:rPr>
          <w:rFonts w:cs="Times New Roman"/>
          <w:highlight w:val="none"/>
        </w:rPr>
      </w:pPr>
      <w:r>
        <w:rPr>
          <w:rFonts w:cs="Times New Roman"/>
          <w:highlight w:val="none"/>
        </w:rPr>
      </w:r>
      <w:r>
        <w:rPr>
          <w:rFonts w:cs="Times New Roman"/>
          <w:highlight w:val="none"/>
        </w:rPr>
      </w:r>
    </w:p>
    <w:p>
      <w:pPr>
        <w:pStyle w:val="1060"/>
        <w:jc w:val="center"/>
        <w:rPr>
          <w:rFonts w:cs="Times New Roman"/>
          <w:highlight w:val="none"/>
        </w:rPr>
      </w:pPr>
      <w:r>
        <w:rPr>
          <w:rFonts w:cs="Times New Roman"/>
          <w:highlight w:val="none"/>
        </w:rPr>
      </w:r>
      <w:r>
        <w:rPr>
          <w:rFonts w:cs="Times New Roman"/>
          <w:highlight w:val="none"/>
        </w:rPr>
      </w:r>
    </w:p>
    <w:p>
      <w:pPr>
        <w:pStyle w:val="1060"/>
        <w:jc w:val="left"/>
        <w:rPr>
          <w:rFonts w:cs="Times New Roman"/>
          <w:highlight w:val="none"/>
        </w:rPr>
      </w:pPr>
      <w:r>
        <w:rPr>
          <w:rFonts w:cs="Times New Roman"/>
          <w:highlight w:val="none"/>
        </w:rPr>
      </w:r>
      <w:r/>
      <w:r>
        <w:rPr>
          <w:rFonts w:cs="Times New Roman"/>
          <w:highlight w:val="none"/>
        </w:rPr>
      </w:r>
      <w:r>
        <w:rPr>
          <w:rFonts w:cs="Times New Roman"/>
          <w:highlight w:val="none"/>
        </w:rPr>
      </w:r>
    </w:p>
    <w:p>
      <w:pPr>
        <w:pStyle w:val="1060"/>
        <w:jc w:val="center"/>
        <w:rPr>
          <w:rFonts w:cs="Times New Roman"/>
          <w:highlight w:val="none"/>
        </w:rPr>
      </w:pPr>
      <w:r>
        <w:rPr>
          <w:rFonts w:cs="Times New Roman"/>
          <w:highlight w:val="none"/>
        </w:rPr>
      </w:r>
      <w:r>
        <mc:AlternateContent>
          <mc:Choice Requires="wpg">
            <w:drawing>
              <wp:inline xmlns:wp="http://schemas.openxmlformats.org/drawingml/2006/wordprocessingDrawing" distT="0" distB="0" distL="0" distR="0">
                <wp:extent cx="5940425" cy="5940425"/>
                <wp:effectExtent l="0" t="0" r="0" b="0"/>
                <wp:docPr id="3"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5421126" name=""/>
                        <pic:cNvPicPr>
                          <a:picLocks noChangeAspect="1"/>
                        </pic:cNvPicPr>
                        <pic:nvPr/>
                      </pic:nvPicPr>
                      <pic:blipFill>
                        <a:blip r:embed="rId13"/>
                        <a:stretch/>
                      </pic:blipFill>
                      <pic:spPr bwMode="auto">
                        <a:xfrm>
                          <a:off x="0" y="0"/>
                          <a:ext cx="5940424" cy="5940424"/>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 o:spid="_x0000_s2" type="#_x0000_t75" style="width:467.75pt;height:467.75pt;mso-wrap-distance-left:0.00pt;mso-wrap-distance-top:0.00pt;mso-wrap-distance-right:0.00pt;mso-wrap-distance-bottom:0.00pt;" stroked="false">
                <v:path textboxrect="0,0,0,0"/>
                <v:imagedata r:id="rId13" o:title=""/>
              </v:shape>
            </w:pict>
          </mc:Fallback>
        </mc:AlternateContent>
      </w:r>
      <w:r>
        <w:rPr>
          <w:rFonts w:cs="Times New Roman"/>
          <w:highlight w:val="none"/>
        </w:rPr>
      </w:r>
      <w:r>
        <w:rPr>
          <w:rFonts w:cs="Times New Roman"/>
          <w:highlight w:val="none"/>
        </w:rPr>
      </w:r>
    </w:p>
    <w:p>
      <w:pPr>
        <w:pStyle w:val="1060"/>
        <w:jc w:val="center"/>
        <w:rPr>
          <w:rFonts w:cs="Times New Roman"/>
          <w:highlight w:val="none"/>
        </w:rPr>
      </w:pPr>
      <w:r>
        <w:rPr>
          <w:rFonts w:cs="Times New Roman"/>
          <w:highlight w:val="none"/>
        </w:rPr>
      </w:r>
      <w:r>
        <w:rPr>
          <w:rFonts w:cs="Times New Roman"/>
          <w:highlight w:val="none"/>
        </w:rPr>
      </w:r>
    </w:p>
    <w:p>
      <w:pPr>
        <w:pStyle w:val="1060"/>
        <w:jc w:val="center"/>
        <w:rPr>
          <w:rFonts w:cs="Times New Roman"/>
          <w:highlight w:val="none"/>
        </w:rPr>
      </w:pPr>
      <w:r>
        <w:rPr>
          <w:rFonts w:cs="Times New Roman"/>
          <w:highlight w:val="none"/>
        </w:rPr>
      </w:r>
      <w:r>
        <w:rPr>
          <w:rFonts w:cs="Times New Roman"/>
          <w:highlight w:val="none"/>
        </w:rPr>
      </w:r>
    </w:p>
    <w:p>
      <w:pPr>
        <w:pStyle w:val="1060"/>
        <w:jc w:val="center"/>
        <w:rPr>
          <w:rFonts w:cs="Times New Roman"/>
          <w:highlight w:val="none"/>
        </w:rPr>
      </w:pPr>
      <w:r>
        <w:rPr>
          <w:rFonts w:cs="Times New Roman"/>
          <w:highlight w:val="none"/>
        </w:rPr>
      </w:r>
      <w:r>
        <w:rPr>
          <w:rFonts w:cs="Times New Roman"/>
          <w:highlight w:val="none"/>
        </w:rPr>
      </w:r>
    </w:p>
    <w:p>
      <w:pPr>
        <w:pStyle w:val="1060"/>
        <w:jc w:val="center"/>
        <w:rPr>
          <w:rFonts w:cs="Times New Roman"/>
          <w:highlight w:val="none"/>
        </w:rPr>
      </w:pPr>
      <w:r>
        <w:rPr>
          <w:rFonts w:cs="Times New Roman"/>
          <w:highlight w:val="none"/>
        </w:rPr>
      </w:r>
      <w:r>
        <w:rPr>
          <w:rFonts w:cs="Times New Roman"/>
          <w:highlight w:val="none"/>
        </w:rPr>
      </w:r>
    </w:p>
    <w:p>
      <w:pPr>
        <w:pStyle w:val="1060"/>
        <w:jc w:val="center"/>
        <w:rPr>
          <w:rFonts w:cs="Times New Roman"/>
          <w:highlight w:val="none"/>
        </w:rPr>
      </w:pPr>
      <w:r>
        <w:rPr>
          <w:rFonts w:cs="Times New Roman"/>
          <w:highlight w:val="none"/>
        </w:rPr>
      </w:r>
      <w:r>
        <w:rPr>
          <w:rFonts w:cs="Times New Roman"/>
          <w:highlight w:val="none"/>
        </w:rPr>
      </w:r>
    </w:p>
    <w:p>
      <w:pPr>
        <w:pStyle w:val="1060"/>
        <w:jc w:val="left"/>
        <w:rPr>
          <w:rFonts w:cs="Times New Roman"/>
          <w:highlight w:val="none"/>
        </w:rPr>
      </w:pPr>
      <w:r>
        <w:rPr>
          <w:rFonts w:cs="Times New Roman"/>
          <w:highlight w:val="none"/>
        </w:rPr>
      </w:r>
      <w:r>
        <w:rPr>
          <w:rFonts w:cs="Times New Roman"/>
          <w:highlight w:val="none"/>
        </w:rPr>
      </w:r>
    </w:p>
    <w:p>
      <w:pPr>
        <w:pStyle w:val="1060"/>
        <w:jc w:val="center"/>
        <w:rPr>
          <w:rFonts w:cs="Times New Roman"/>
          <w:highlight w:val="none"/>
        </w:rPr>
      </w:pPr>
      <w:r>
        <w:rPr>
          <w:rFonts w:cs="Times New Roman"/>
          <w:highlight w:val="none"/>
        </w:rPr>
      </w:r>
      <w:r>
        <mc:AlternateContent>
          <mc:Choice Requires="wpg">
            <w:drawing>
              <wp:inline xmlns:wp="http://schemas.openxmlformats.org/drawingml/2006/wordprocessingDrawing" distT="0" distB="0" distL="0" distR="0">
                <wp:extent cx="5940425" cy="5940425"/>
                <wp:effectExtent l="0" t="0" r="0" b="0"/>
                <wp:docPr id="4"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8292569" name=""/>
                        <pic:cNvPicPr>
                          <a:picLocks noChangeAspect="1"/>
                        </pic:cNvPicPr>
                        <pic:nvPr/>
                      </pic:nvPicPr>
                      <pic:blipFill>
                        <a:blip r:embed="rId14"/>
                        <a:stretch/>
                      </pic:blipFill>
                      <pic:spPr bwMode="auto">
                        <a:xfrm>
                          <a:off x="0" y="0"/>
                          <a:ext cx="5940424" cy="5940424"/>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3" o:spid="_x0000_s3" type="#_x0000_t75" style="width:467.75pt;height:467.75pt;mso-wrap-distance-left:0.00pt;mso-wrap-distance-top:0.00pt;mso-wrap-distance-right:0.00pt;mso-wrap-distance-bottom:0.00pt;" stroked="false">
                <v:path textboxrect="0,0,0,0"/>
                <v:imagedata r:id="rId14" o:title=""/>
              </v:shape>
            </w:pict>
          </mc:Fallback>
        </mc:AlternateContent>
      </w:r>
      <w:r>
        <w:rPr>
          <w:rFonts w:cs="Times New Roman"/>
          <w:highlight w:val="none"/>
        </w:rPr>
      </w:r>
      <w:r>
        <w:rPr>
          <w:rFonts w:cs="Times New Roman"/>
          <w:highlight w:val="none"/>
        </w:rPr>
      </w:r>
    </w:p>
    <w:p>
      <w:pPr>
        <w:pStyle w:val="1060"/>
        <w:jc w:val="center"/>
        <w:rPr>
          <w:rFonts w:cs="Times New Roman"/>
          <w:highlight w:val="none"/>
        </w:rPr>
      </w:pPr>
      <w:r>
        <w:rPr>
          <w:rFonts w:cs="Times New Roman"/>
          <w:highlight w:val="none"/>
        </w:rPr>
      </w:r>
      <w:r>
        <w:rPr>
          <w:rFonts w:cs="Times New Roman"/>
          <w:highlight w:val="none"/>
        </w:rPr>
      </w:r>
    </w:p>
    <w:p>
      <w:pPr>
        <w:pStyle w:val="1060"/>
        <w:jc w:val="center"/>
        <w:rPr>
          <w:rFonts w:cs="Times New Roman"/>
          <w:highlight w:val="none"/>
        </w:rPr>
      </w:pPr>
      <w:r>
        <w:rPr>
          <w:rFonts w:cs="Times New Roman"/>
          <w:highlight w:val="none"/>
        </w:rPr>
      </w:r>
      <w:r>
        <w:rPr>
          <w:rFonts w:cs="Times New Roman"/>
          <w:highlight w:val="none"/>
        </w:rPr>
      </w:r>
    </w:p>
    <w:p>
      <w:pPr>
        <w:pStyle w:val="1060"/>
        <w:jc w:val="center"/>
        <w:rPr>
          <w:rFonts w:cs="Times New Roman"/>
          <w:highlight w:val="none"/>
        </w:rPr>
      </w:pPr>
      <w:r>
        <w:rPr>
          <w:rFonts w:cs="Times New Roman"/>
          <w:highlight w:val="none"/>
        </w:rPr>
      </w:r>
      <w:r>
        <w:rPr>
          <w:rFonts w:cs="Times New Roman"/>
          <w:highlight w:val="none"/>
        </w:rPr>
      </w:r>
    </w:p>
    <w:p>
      <w:pPr>
        <w:pStyle w:val="1060"/>
        <w:jc w:val="center"/>
        <w:rPr>
          <w:rFonts w:cs="Times New Roman"/>
          <w:highlight w:val="none"/>
        </w:rPr>
      </w:pPr>
      <w:r>
        <w:rPr>
          <w:rFonts w:cs="Times New Roman"/>
          <w:highlight w:val="none"/>
        </w:rPr>
      </w:r>
      <w:r>
        <w:rPr>
          <w:rFonts w:cs="Times New Roman"/>
          <w:highlight w:val="none"/>
        </w:rPr>
      </w:r>
    </w:p>
    <w:p>
      <w:pPr>
        <w:pStyle w:val="1060"/>
        <w:jc w:val="center"/>
        <w:rPr>
          <w:rFonts w:cs="Times New Roman"/>
          <w:highlight w:val="none"/>
        </w:rPr>
      </w:pPr>
      <w:r>
        <w:rPr>
          <w:rFonts w:cs="Times New Roman"/>
          <w:highlight w:val="none"/>
        </w:rPr>
      </w:r>
      <w:r>
        <w:rPr>
          <w:rFonts w:cs="Times New Roman"/>
          <w:highlight w:val="none"/>
        </w:rPr>
      </w:r>
    </w:p>
    <w:p>
      <w:pPr>
        <w:pStyle w:val="1060"/>
        <w:jc w:val="center"/>
        <w:rPr>
          <w:rFonts w:cs="Times New Roman"/>
          <w:highlight w:val="none"/>
        </w:rPr>
      </w:pPr>
      <w:r>
        <w:rPr>
          <w:rFonts w:cs="Times New Roman"/>
          <w:highlight w:val="none"/>
        </w:rPr>
      </w:r>
      <w:r>
        <w:rPr>
          <w:rFonts w:cs="Times New Roman"/>
          <w:highlight w:val="none"/>
        </w:rPr>
      </w:r>
    </w:p>
    <w:p>
      <w:pPr>
        <w:pStyle w:val="1060"/>
        <w:jc w:val="center"/>
        <w:rPr>
          <w:rFonts w:cs="Times New Roman"/>
          <w:highlight w:val="none"/>
        </w:rPr>
      </w:pPr>
      <w:r>
        <w:rPr>
          <w:rFonts w:cs="Times New Roman"/>
          <w:highlight w:val="none"/>
        </w:rPr>
      </w:r>
      <w:r>
        <w:rPr>
          <w:rFonts w:cs="Times New Roman"/>
          <w:highlight w:val="none"/>
        </w:rPr>
      </w:r>
    </w:p>
    <w:p>
      <w:pPr>
        <w:pStyle w:val="1060"/>
        <w:jc w:val="center"/>
        <w:rPr>
          <w:rFonts w:cs="Times New Roman"/>
          <w:highlight w:val="none"/>
        </w:rPr>
      </w:pPr>
      <w:r>
        <w:rPr>
          <w:rFonts w:cs="Times New Roman"/>
          <w:highlight w:val="none"/>
        </w:rPr>
      </w:r>
      <w:r>
        <mc:AlternateContent>
          <mc:Choice Requires="wpg">
            <w:drawing>
              <wp:inline xmlns:wp="http://schemas.openxmlformats.org/drawingml/2006/wordprocessingDrawing" distT="0" distB="0" distL="0" distR="0">
                <wp:extent cx="5940425" cy="5940425"/>
                <wp:effectExtent l="0" t="0" r="0" b="0"/>
                <wp:docPr id="5"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25430" name=""/>
                        <pic:cNvPicPr>
                          <a:picLocks noChangeAspect="1"/>
                        </pic:cNvPicPr>
                        <pic:nvPr/>
                      </pic:nvPicPr>
                      <pic:blipFill>
                        <a:blip r:embed="rId15"/>
                        <a:stretch/>
                      </pic:blipFill>
                      <pic:spPr bwMode="auto">
                        <a:xfrm>
                          <a:off x="0" y="0"/>
                          <a:ext cx="5940424" cy="5940424"/>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4" o:spid="_x0000_s4" type="#_x0000_t75" style="width:467.75pt;height:467.75pt;mso-wrap-distance-left:0.00pt;mso-wrap-distance-top:0.00pt;mso-wrap-distance-right:0.00pt;mso-wrap-distance-bottom:0.00pt;" stroked="false">
                <v:path textboxrect="0,0,0,0"/>
                <v:imagedata r:id="rId15" o:title=""/>
              </v:shape>
            </w:pict>
          </mc:Fallback>
        </mc:AlternateContent>
      </w:r>
      <w:r>
        <w:rPr>
          <w:rFonts w:cs="Times New Roman"/>
          <w:highlight w:val="none"/>
        </w:rPr>
      </w:r>
      <w:r>
        <w:rPr>
          <w:rFonts w:cs="Times New Roman"/>
          <w:highlight w:val="none"/>
        </w:rPr>
      </w:r>
    </w:p>
    <w:p>
      <w:pPr>
        <w:pStyle w:val="1060"/>
        <w:jc w:val="center"/>
        <w:rPr>
          <w:rFonts w:cs="Times New Roman"/>
          <w:highlight w:val="none"/>
        </w:rPr>
      </w:pPr>
      <w:r>
        <w:rPr>
          <w:rFonts w:cs="Times New Roman"/>
          <w:highlight w:val="none"/>
        </w:rPr>
      </w:r>
      <w:r>
        <w:rPr>
          <w:rFonts w:cs="Times New Roman"/>
          <w:highlight w:val="none"/>
        </w:rPr>
      </w:r>
    </w:p>
    <w:p>
      <w:pPr>
        <w:pStyle w:val="1060"/>
        <w:jc w:val="center"/>
        <w:rPr>
          <w:rFonts w:cs="Times New Roman"/>
          <w:highlight w:val="none"/>
        </w:rPr>
      </w:pPr>
      <w:r>
        <w:rPr>
          <w:rFonts w:cs="Times New Roman"/>
          <w:highlight w:val="none"/>
        </w:rPr>
      </w:r>
      <w:r>
        <w:rPr>
          <w:rFonts w:cs="Times New Roman"/>
          <w:highlight w:val="none"/>
        </w:rPr>
      </w:r>
    </w:p>
    <w:p>
      <w:pPr>
        <w:pStyle w:val="1060"/>
        <w:jc w:val="center"/>
        <w:rPr>
          <w:rFonts w:cs="Times New Roman"/>
          <w:highlight w:val="none"/>
        </w:rPr>
      </w:pPr>
      <w:r>
        <w:rPr>
          <w:rFonts w:cs="Times New Roman"/>
          <w:highlight w:val="none"/>
        </w:rPr>
      </w:r>
      <w:r>
        <w:rPr>
          <w:rFonts w:cs="Times New Roman"/>
          <w:highlight w:val="none"/>
        </w:rPr>
      </w:r>
    </w:p>
    <w:p>
      <w:pPr>
        <w:pStyle w:val="1060"/>
        <w:jc w:val="center"/>
        <w:rPr>
          <w:rFonts w:cs="Times New Roman"/>
          <w:highlight w:val="none"/>
        </w:rPr>
      </w:pPr>
      <w:r>
        <w:rPr>
          <w:rFonts w:cs="Times New Roman"/>
          <w:highlight w:val="none"/>
        </w:rPr>
      </w:r>
      <w:r>
        <w:rPr>
          <w:rFonts w:cs="Times New Roman"/>
          <w:highlight w:val="none"/>
        </w:rPr>
      </w:r>
    </w:p>
    <w:p>
      <w:pPr>
        <w:pStyle w:val="1060"/>
        <w:jc w:val="left"/>
        <w:rPr>
          <w:rFonts w:cs="Times New Roman"/>
          <w:highlight w:val="none"/>
        </w:rPr>
      </w:pPr>
      <w:r>
        <w:rPr>
          <w:rFonts w:cs="Times New Roman"/>
          <w:highlight w:val="none"/>
        </w:rPr>
      </w:r>
      <w:r>
        <w:rPr>
          <w:rFonts w:cs="Times New Roman"/>
          <w:highlight w:val="none"/>
        </w:rPr>
      </w:r>
    </w:p>
    <w:p>
      <w:pPr>
        <w:pStyle w:val="1060"/>
        <w:jc w:val="left"/>
        <w:rPr>
          <w:rFonts w:cs="Times New Roman"/>
          <w:highlight w:val="none"/>
        </w:rPr>
      </w:pPr>
      <w:r>
        <w:rPr>
          <w:rFonts w:cs="Times New Roman"/>
          <w:highlight w:val="none"/>
        </w:rPr>
      </w:r>
      <w:r>
        <w:rPr>
          <w:rFonts w:cs="Times New Roman"/>
          <w:highlight w:val="none"/>
        </w:rPr>
      </w:r>
    </w:p>
    <w:p>
      <w:pPr>
        <w:pStyle w:val="1060"/>
        <w:jc w:val="center"/>
        <w:rPr>
          <w:rFonts w:cs="Times New Roman"/>
          <w:highlight w:val="none"/>
        </w:rPr>
      </w:pPr>
      <w:r>
        <w:rPr>
          <w:rFonts w:cs="Times New Roman"/>
          <w:highlight w:val="none"/>
        </w:rPr>
      </w:r>
      <w:r>
        <mc:AlternateContent>
          <mc:Choice Requires="wpg">
            <w:drawing>
              <wp:inline xmlns:wp="http://schemas.openxmlformats.org/drawingml/2006/wordprocessingDrawing" distT="0" distB="0" distL="0" distR="0">
                <wp:extent cx="5940425" cy="5940425"/>
                <wp:effectExtent l="0" t="0" r="0" b="0"/>
                <wp:docPr id="6"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3638011" name=""/>
                        <pic:cNvPicPr>
                          <a:picLocks noChangeAspect="1"/>
                        </pic:cNvPicPr>
                        <pic:nvPr/>
                      </pic:nvPicPr>
                      <pic:blipFill>
                        <a:blip r:embed="rId16"/>
                        <a:stretch/>
                      </pic:blipFill>
                      <pic:spPr bwMode="auto">
                        <a:xfrm>
                          <a:off x="0" y="0"/>
                          <a:ext cx="5940424" cy="5940424"/>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5" o:spid="_x0000_s5" type="#_x0000_t75" style="width:467.75pt;height:467.75pt;mso-wrap-distance-left:0.00pt;mso-wrap-distance-top:0.00pt;mso-wrap-distance-right:0.00pt;mso-wrap-distance-bottom:0.00pt;" stroked="false">
                <v:path textboxrect="0,0,0,0"/>
                <v:imagedata r:id="rId16" o:title=""/>
              </v:shape>
            </w:pict>
          </mc:Fallback>
        </mc:AlternateContent>
      </w:r>
      <w:r>
        <w:rPr>
          <w:rFonts w:cs="Times New Roman"/>
          <w:highlight w:val="none"/>
        </w:rPr>
      </w:r>
      <w:r>
        <w:rPr>
          <w:rFonts w:cs="Times New Roman"/>
          <w:highlight w:val="none"/>
        </w:rPr>
      </w:r>
    </w:p>
    <w:p>
      <w:pPr>
        <w:pStyle w:val="1060"/>
        <w:jc w:val="center"/>
        <w:rPr>
          <w:rFonts w:cs="Times New Roman"/>
          <w:highlight w:val="none"/>
        </w:rPr>
      </w:pPr>
      <w:r>
        <w:rPr>
          <w:rFonts w:cs="Times New Roman"/>
          <w:highlight w:val="none"/>
        </w:rPr>
      </w:r>
      <w:r>
        <w:rPr>
          <w:rFonts w:cs="Times New Roman"/>
          <w:highlight w:val="none"/>
        </w:rPr>
      </w:r>
    </w:p>
    <w:p>
      <w:pPr>
        <w:pStyle w:val="1060"/>
        <w:jc w:val="center"/>
        <w:rPr>
          <w:rFonts w:cs="Times New Roman"/>
          <w:highlight w:val="none"/>
        </w:rPr>
      </w:pPr>
      <w:r>
        <w:rPr>
          <w:rFonts w:cs="Times New Roman"/>
          <w:highlight w:val="none"/>
        </w:rPr>
      </w:r>
      <w:r>
        <w:rPr>
          <w:rFonts w:cs="Times New Roman"/>
          <w:highlight w:val="none"/>
        </w:rPr>
      </w:r>
    </w:p>
    <w:p>
      <w:pPr>
        <w:pStyle w:val="1060"/>
        <w:jc w:val="center"/>
        <w:rPr>
          <w:rFonts w:cs="Times New Roman"/>
          <w:highlight w:val="none"/>
        </w:rPr>
      </w:pPr>
      <w:r>
        <w:rPr>
          <w:rFonts w:cs="Times New Roman"/>
          <w:highlight w:val="none"/>
        </w:rPr>
      </w:r>
      <w:r>
        <w:rPr>
          <w:rFonts w:cs="Times New Roman"/>
          <w:highlight w:val="none"/>
        </w:rPr>
      </w:r>
    </w:p>
    <w:p>
      <w:pPr>
        <w:pStyle w:val="1060"/>
        <w:jc w:val="center"/>
        <w:rPr>
          <w:rFonts w:cs="Times New Roman"/>
          <w:highlight w:val="none"/>
        </w:rPr>
      </w:pPr>
      <w:r>
        <w:rPr>
          <w:rFonts w:cs="Times New Roman"/>
          <w:highlight w:val="none"/>
        </w:rPr>
      </w:r>
      <w:r>
        <w:rPr>
          <w:rFonts w:cs="Times New Roman"/>
          <w:highlight w:val="none"/>
        </w:rPr>
      </w:r>
    </w:p>
    <w:p>
      <w:pPr>
        <w:pStyle w:val="1060"/>
        <w:jc w:val="left"/>
        <w:rPr>
          <w:rFonts w:cs="Times New Roman"/>
          <w:highlight w:val="none"/>
        </w:rPr>
      </w:pPr>
      <w:r>
        <w:rPr>
          <w:rFonts w:cs="Times New Roman"/>
          <w:highlight w:val="none"/>
        </w:rPr>
      </w:r>
      <w:r>
        <w:rPr>
          <w:rFonts w:cs="Times New Roman"/>
          <w:highlight w:val="none"/>
        </w:rPr>
      </w:r>
    </w:p>
    <w:p>
      <w:pPr>
        <w:pStyle w:val="1060"/>
        <w:jc w:val="center"/>
        <w:rPr>
          <w:rFonts w:cs="Times New Roman"/>
          <w:highlight w:val="none"/>
        </w:rPr>
      </w:pPr>
      <w:r>
        <w:rPr>
          <w:rFonts w:cs="Times New Roman"/>
          <w:highlight w:val="none"/>
        </w:rPr>
      </w:r>
      <w:r>
        <mc:AlternateContent>
          <mc:Choice Requires="wpg">
            <w:drawing>
              <wp:inline xmlns:wp="http://schemas.openxmlformats.org/drawingml/2006/wordprocessingDrawing" distT="0" distB="0" distL="0" distR="0">
                <wp:extent cx="5940425" cy="5940425"/>
                <wp:effectExtent l="0" t="0" r="0" b="0"/>
                <wp:docPr id="7"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0354750" name=""/>
                        <pic:cNvPicPr>
                          <a:picLocks noChangeAspect="1"/>
                        </pic:cNvPicPr>
                        <pic:nvPr/>
                      </pic:nvPicPr>
                      <pic:blipFill>
                        <a:blip r:embed="rId17"/>
                        <a:stretch/>
                      </pic:blipFill>
                      <pic:spPr bwMode="auto">
                        <a:xfrm>
                          <a:off x="0" y="0"/>
                          <a:ext cx="5940424" cy="5940424"/>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6" o:spid="_x0000_s6" type="#_x0000_t75" style="width:467.75pt;height:467.75pt;mso-wrap-distance-left:0.00pt;mso-wrap-distance-top:0.00pt;mso-wrap-distance-right:0.00pt;mso-wrap-distance-bottom:0.00pt;" stroked="false">
                <v:path textboxrect="0,0,0,0"/>
                <v:imagedata r:id="rId17" o:title=""/>
              </v:shape>
            </w:pict>
          </mc:Fallback>
        </mc:AlternateContent>
      </w:r>
      <w:r>
        <w:rPr>
          <w:rFonts w:cs="Times New Roman"/>
          <w:highlight w:val="none"/>
        </w:rPr>
      </w:r>
      <w:r>
        <w:rPr>
          <w:rFonts w:cs="Times New Roman"/>
          <w:highlight w:val="none"/>
        </w:rPr>
      </w:r>
    </w:p>
    <w:p>
      <w:pPr>
        <w:pStyle w:val="1060"/>
        <w:jc w:val="center"/>
        <w:rPr>
          <w:rFonts w:cs="Times New Roman"/>
          <w:highlight w:val="none"/>
        </w:rPr>
      </w:pPr>
      <w:r>
        <w:rPr>
          <w:rFonts w:cs="Times New Roman"/>
          <w:highlight w:val="none"/>
        </w:rPr>
      </w:r>
      <w:r>
        <w:rPr>
          <w:rFonts w:cs="Times New Roman"/>
          <w:highlight w:val="none"/>
        </w:rPr>
      </w:r>
    </w:p>
    <w:p>
      <w:pPr>
        <w:pStyle w:val="1060"/>
        <w:jc w:val="center"/>
        <w:rPr>
          <w:rFonts w:cs="Times New Roman"/>
          <w:highlight w:val="none"/>
        </w:rPr>
      </w:pPr>
      <w:r>
        <w:rPr>
          <w:rFonts w:cs="Times New Roman"/>
          <w:highlight w:val="none"/>
        </w:rPr>
      </w:r>
      <w:r>
        <w:rPr>
          <w:rFonts w:cs="Times New Roman"/>
          <w:highlight w:val="none"/>
        </w:rPr>
      </w:r>
    </w:p>
    <w:p>
      <w:pPr>
        <w:pStyle w:val="1060"/>
        <w:jc w:val="center"/>
        <w:rPr>
          <w:rFonts w:cs="Times New Roman"/>
          <w:highlight w:val="none"/>
        </w:rPr>
      </w:pPr>
      <w:r>
        <w:rPr>
          <w:rFonts w:cs="Times New Roman"/>
          <w:highlight w:val="none"/>
        </w:rPr>
      </w:r>
      <w:r>
        <w:rPr>
          <w:rFonts w:cs="Times New Roman"/>
          <w:highlight w:val="none"/>
        </w:rPr>
      </w:r>
    </w:p>
    <w:p>
      <w:pPr>
        <w:pStyle w:val="1060"/>
        <w:jc w:val="center"/>
        <w:rPr>
          <w:rFonts w:cs="Times New Roman"/>
          <w:highlight w:val="none"/>
        </w:rPr>
      </w:pPr>
      <w:r>
        <w:rPr>
          <w:rFonts w:cs="Times New Roman"/>
          <w:highlight w:val="none"/>
        </w:rPr>
      </w:r>
      <w:r>
        <w:rPr>
          <w:rFonts w:cs="Times New Roman"/>
          <w:highlight w:val="none"/>
        </w:rPr>
      </w:r>
    </w:p>
    <w:p>
      <w:pPr>
        <w:pStyle w:val="1060"/>
        <w:jc w:val="center"/>
        <w:rPr>
          <w:rFonts w:cs="Times New Roman"/>
          <w:highlight w:val="none"/>
        </w:rPr>
      </w:pPr>
      <w:r>
        <w:rPr>
          <w:rFonts w:cs="Times New Roman"/>
          <w:highlight w:val="none"/>
        </w:rPr>
      </w:r>
      <w:r>
        <w:rPr>
          <w:rFonts w:cs="Times New Roman"/>
          <w:highlight w:val="none"/>
        </w:rPr>
      </w:r>
    </w:p>
    <w:p>
      <w:pPr>
        <w:pStyle w:val="1060"/>
        <w:jc w:val="center"/>
        <w:rPr>
          <w:rFonts w:cs="Times New Roman"/>
          <w:highlight w:val="none"/>
        </w:rPr>
      </w:pPr>
      <w:r>
        <w:rPr>
          <w:rFonts w:cs="Times New Roman"/>
          <w:highlight w:val="none"/>
        </w:rPr>
      </w:r>
      <w:r>
        <w:rPr>
          <w:rFonts w:cs="Times New Roman"/>
          <w:highlight w:val="none"/>
        </w:rPr>
      </w:r>
    </w:p>
    <w:p>
      <w:pPr>
        <w:pStyle w:val="1060"/>
        <w:jc w:val="center"/>
        <w:rPr>
          <w:rFonts w:cs="Times New Roman"/>
          <w:highlight w:val="none"/>
        </w:rPr>
      </w:pPr>
      <w:r>
        <w:rPr>
          <w:rFonts w:cs="Times New Roman"/>
          <w:highlight w:val="none"/>
        </w:rPr>
      </w:r>
      <w:r>
        <mc:AlternateContent>
          <mc:Choice Requires="wpg">
            <w:drawing>
              <wp:inline xmlns:wp="http://schemas.openxmlformats.org/drawingml/2006/wordprocessingDrawing" distT="0" distB="0" distL="0" distR="0">
                <wp:extent cx="5940425" cy="5940425"/>
                <wp:effectExtent l="0" t="0" r="0" b="0"/>
                <wp:docPr id="8"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3531640" name=""/>
                        <pic:cNvPicPr>
                          <a:picLocks noChangeAspect="1"/>
                        </pic:cNvPicPr>
                        <pic:nvPr/>
                      </pic:nvPicPr>
                      <pic:blipFill>
                        <a:blip r:embed="rId18"/>
                        <a:stretch/>
                      </pic:blipFill>
                      <pic:spPr bwMode="auto">
                        <a:xfrm>
                          <a:off x="0" y="0"/>
                          <a:ext cx="5940424" cy="5940424"/>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7" o:spid="_x0000_s7" type="#_x0000_t75" style="width:467.75pt;height:467.75pt;mso-wrap-distance-left:0.00pt;mso-wrap-distance-top:0.00pt;mso-wrap-distance-right:0.00pt;mso-wrap-distance-bottom:0.00pt;" stroked="false">
                <v:path textboxrect="0,0,0,0"/>
                <v:imagedata r:id="rId18" o:title=""/>
              </v:shape>
            </w:pict>
          </mc:Fallback>
        </mc:AlternateContent>
      </w:r>
      <w:r>
        <w:rPr>
          <w:rFonts w:cs="Times New Roman"/>
          <w:highlight w:val="none"/>
        </w:rPr>
      </w:r>
      <w:r>
        <w:rPr>
          <w:rFonts w:cs="Times New Roman"/>
          <w:highlight w:val="none"/>
        </w:rPr>
      </w:r>
    </w:p>
    <w:p>
      <w:pPr>
        <w:pStyle w:val="1060"/>
        <w:jc w:val="center"/>
        <w:rPr>
          <w:rFonts w:cs="Times New Roman"/>
          <w:highlight w:val="none"/>
        </w:rPr>
      </w:pPr>
      <w:r>
        <w:rPr>
          <w:rFonts w:cs="Times New Roman"/>
          <w:highlight w:val="none"/>
        </w:rPr>
      </w:r>
      <w:r>
        <w:rPr>
          <w:rFonts w:cs="Times New Roman"/>
          <w:highlight w:val="none"/>
        </w:rPr>
      </w:r>
    </w:p>
    <w:p>
      <w:pPr>
        <w:pStyle w:val="1060"/>
        <w:jc w:val="center"/>
        <w:rPr>
          <w:rFonts w:cs="Times New Roman"/>
          <w:highlight w:val="none"/>
        </w:rPr>
      </w:pPr>
      <w:r>
        <w:rPr>
          <w:rFonts w:cs="Times New Roman"/>
          <w:highlight w:val="none"/>
        </w:rPr>
      </w:r>
      <w:r>
        <w:rPr>
          <w:rFonts w:cs="Times New Roman"/>
          <w:highlight w:val="none"/>
        </w:rPr>
      </w:r>
    </w:p>
    <w:p>
      <w:pPr>
        <w:pStyle w:val="1060"/>
        <w:jc w:val="center"/>
        <w:rPr>
          <w:rFonts w:cs="Times New Roman"/>
          <w:highlight w:val="none"/>
        </w:rPr>
      </w:pPr>
      <w:r>
        <w:rPr>
          <w:rFonts w:cs="Times New Roman"/>
          <w:highlight w:val="none"/>
        </w:rPr>
      </w:r>
      <w:r>
        <w:rPr>
          <w:rFonts w:cs="Times New Roman"/>
          <w:highlight w:val="none"/>
        </w:rPr>
      </w:r>
    </w:p>
    <w:p>
      <w:pPr>
        <w:pStyle w:val="1060"/>
        <w:jc w:val="center"/>
        <w:rPr>
          <w:rFonts w:cs="Times New Roman"/>
          <w:highlight w:val="none"/>
        </w:rPr>
      </w:pPr>
      <w:r>
        <w:rPr>
          <w:rFonts w:cs="Times New Roman"/>
          <w:highlight w:val="none"/>
        </w:rPr>
      </w:r>
      <w:r>
        <w:rPr>
          <w:rFonts w:cs="Times New Roman"/>
          <w:highlight w:val="none"/>
        </w:rPr>
      </w:r>
    </w:p>
    <w:p>
      <w:pPr>
        <w:pStyle w:val="1060"/>
        <w:jc w:val="center"/>
        <w:rPr>
          <w:rFonts w:cs="Times New Roman"/>
          <w:highlight w:val="none"/>
        </w:rPr>
      </w:pPr>
      <w:r>
        <w:rPr>
          <w:rFonts w:cs="Times New Roman"/>
          <w:highlight w:val="none"/>
        </w:rPr>
      </w:r>
      <w:r>
        <w:rPr>
          <w:rFonts w:cs="Times New Roman"/>
          <w:highlight w:val="none"/>
        </w:rPr>
      </w:r>
    </w:p>
    <w:p>
      <w:pPr>
        <w:pStyle w:val="1060"/>
        <w:jc w:val="center"/>
        <w:rPr>
          <w:rFonts w:cs="Times New Roman"/>
          <w:highlight w:val="none"/>
        </w:rPr>
      </w:pPr>
      <w:r>
        <w:rPr>
          <w:rFonts w:cs="Times New Roman"/>
          <w:highlight w:val="none"/>
        </w:rPr>
      </w:r>
      <w:r>
        <mc:AlternateContent>
          <mc:Choice Requires="wpg">
            <w:drawing>
              <wp:inline xmlns:wp="http://schemas.openxmlformats.org/drawingml/2006/wordprocessingDrawing" distT="0" distB="0" distL="0" distR="0">
                <wp:extent cx="5940425" cy="5940425"/>
                <wp:effectExtent l="0" t="0" r="0" b="0"/>
                <wp:docPr id="9"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1238551" name=""/>
                        <pic:cNvPicPr>
                          <a:picLocks noChangeAspect="1"/>
                        </pic:cNvPicPr>
                        <pic:nvPr/>
                      </pic:nvPicPr>
                      <pic:blipFill>
                        <a:blip r:embed="rId19"/>
                        <a:stretch/>
                      </pic:blipFill>
                      <pic:spPr bwMode="auto">
                        <a:xfrm>
                          <a:off x="0" y="0"/>
                          <a:ext cx="5940424" cy="5940424"/>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8" o:spid="_x0000_s8" type="#_x0000_t75" style="width:467.75pt;height:467.75pt;mso-wrap-distance-left:0.00pt;mso-wrap-distance-top:0.00pt;mso-wrap-distance-right:0.00pt;mso-wrap-distance-bottom:0.00pt;" stroked="false">
                <v:path textboxrect="0,0,0,0"/>
                <v:imagedata r:id="rId19" o:title=""/>
              </v:shape>
            </w:pict>
          </mc:Fallback>
        </mc:AlternateContent>
      </w:r>
      <w:r>
        <w:rPr>
          <w:rFonts w:cs="Times New Roman"/>
          <w:highlight w:val="none"/>
        </w:rPr>
      </w:r>
      <w:r>
        <w:rPr>
          <w:rFonts w:cs="Times New Roman"/>
          <w:highlight w:val="none"/>
        </w:rPr>
      </w:r>
    </w:p>
    <w:p>
      <w:pPr>
        <w:pStyle w:val="1060"/>
        <w:jc w:val="center"/>
        <w:rPr>
          <w:rFonts w:cs="Times New Roman"/>
          <w:highlight w:val="none"/>
        </w:rPr>
      </w:pPr>
      <w:r>
        <w:rPr>
          <w:rFonts w:cs="Times New Roman"/>
          <w:highlight w:val="none"/>
        </w:rPr>
      </w:r>
      <w:r>
        <w:rPr>
          <w:rFonts w:cs="Times New Roman"/>
          <w:highlight w:val="none"/>
        </w:rPr>
      </w:r>
    </w:p>
    <w:p>
      <w:pPr>
        <w:pStyle w:val="1060"/>
        <w:jc w:val="center"/>
        <w:rPr>
          <w:rFonts w:cs="Times New Roman"/>
          <w:highlight w:val="none"/>
        </w:rPr>
      </w:pPr>
      <w:r>
        <w:rPr>
          <w:rFonts w:cs="Times New Roman"/>
          <w:highlight w:val="none"/>
        </w:rPr>
      </w:r>
      <w:r>
        <w:rPr>
          <w:rFonts w:cs="Times New Roman"/>
          <w:highlight w:val="none"/>
        </w:rPr>
      </w:r>
    </w:p>
    <w:p>
      <w:pPr>
        <w:pStyle w:val="1060"/>
        <w:jc w:val="center"/>
        <w:rPr>
          <w:rFonts w:cs="Times New Roman"/>
          <w:highlight w:val="none"/>
        </w:rPr>
      </w:pPr>
      <w:r>
        <w:rPr>
          <w:rFonts w:cs="Times New Roman"/>
          <w:highlight w:val="none"/>
        </w:rPr>
      </w:r>
      <w:r>
        <w:rPr>
          <w:rFonts w:cs="Times New Roman"/>
          <w:highlight w:val="none"/>
        </w:rPr>
      </w:r>
    </w:p>
    <w:p>
      <w:pPr>
        <w:pStyle w:val="1060"/>
        <w:jc w:val="center"/>
        <w:rPr>
          <w:rFonts w:cs="Times New Roman"/>
          <w:highlight w:val="none"/>
        </w:rPr>
      </w:pPr>
      <w:r>
        <w:rPr>
          <w:rFonts w:cs="Times New Roman"/>
          <w:highlight w:val="none"/>
        </w:rPr>
      </w:r>
      <w:r>
        <w:rPr>
          <w:rFonts w:cs="Times New Roman"/>
          <w:highlight w:val="none"/>
        </w:rPr>
      </w:r>
    </w:p>
    <w:p>
      <w:pPr>
        <w:pStyle w:val="1060"/>
        <w:jc w:val="center"/>
        <w:rPr>
          <w:rFonts w:cs="Times New Roman"/>
          <w:highlight w:val="none"/>
        </w:rPr>
      </w:pPr>
      <w:r>
        <w:rPr>
          <w:rFonts w:cs="Times New Roman"/>
          <w:highlight w:val="none"/>
        </w:rPr>
      </w:r>
      <w:r>
        <mc:AlternateContent>
          <mc:Choice Requires="wpg">
            <w:drawing>
              <wp:inline xmlns:wp="http://schemas.openxmlformats.org/drawingml/2006/wordprocessingDrawing" distT="0" distB="0" distL="0" distR="0">
                <wp:extent cx="5940425" cy="5940425"/>
                <wp:effectExtent l="0" t="0" r="0" b="0"/>
                <wp:docPr id="10"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3779007" name=""/>
                        <pic:cNvPicPr>
                          <a:picLocks noChangeAspect="1"/>
                        </pic:cNvPicPr>
                        <pic:nvPr/>
                      </pic:nvPicPr>
                      <pic:blipFill>
                        <a:blip r:embed="rId20"/>
                        <a:stretch/>
                      </pic:blipFill>
                      <pic:spPr bwMode="auto">
                        <a:xfrm>
                          <a:off x="0" y="0"/>
                          <a:ext cx="5940424" cy="5940424"/>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9" o:spid="_x0000_s9" type="#_x0000_t75" style="width:467.75pt;height:467.75pt;mso-wrap-distance-left:0.00pt;mso-wrap-distance-top:0.00pt;mso-wrap-distance-right:0.00pt;mso-wrap-distance-bottom:0.00pt;" stroked="false">
                <v:path textboxrect="0,0,0,0"/>
                <v:imagedata r:id="rId20" o:title=""/>
              </v:shape>
            </w:pict>
          </mc:Fallback>
        </mc:AlternateContent>
      </w:r>
      <w:r>
        <w:rPr>
          <w:rFonts w:cs="Times New Roman"/>
          <w:highlight w:val="none"/>
        </w:rPr>
      </w:r>
      <w:r>
        <w:rPr>
          <w:rFonts w:cs="Times New Roman"/>
          <w:highlight w:val="none"/>
        </w:rPr>
      </w:r>
    </w:p>
    <w:p>
      <w:pPr>
        <w:pStyle w:val="1060"/>
        <w:jc w:val="center"/>
        <w:rPr>
          <w:rFonts w:cs="Times New Roman"/>
          <w:highlight w:val="none"/>
        </w:rPr>
      </w:pPr>
      <w:r>
        <w:rPr>
          <w:rFonts w:cs="Times New Roman"/>
          <w:highlight w:val="none"/>
        </w:rPr>
      </w:r>
      <w:r>
        <w:rPr>
          <w:rFonts w:cs="Times New Roman"/>
          <w:highlight w:val="none"/>
        </w:rPr>
      </w:r>
    </w:p>
    <w:p>
      <w:pPr>
        <w:pStyle w:val="1060"/>
        <w:jc w:val="center"/>
        <w:rPr>
          <w:rFonts w:cs="Times New Roman"/>
          <w:highlight w:val="none"/>
        </w:rPr>
      </w:pPr>
      <w:r>
        <w:rPr>
          <w:rFonts w:cs="Times New Roman"/>
          <w:highlight w:val="none"/>
        </w:rPr>
      </w:r>
      <w:r>
        <w:rPr>
          <w:rFonts w:cs="Times New Roman"/>
          <w:highlight w:val="none"/>
        </w:rPr>
      </w:r>
    </w:p>
    <w:p>
      <w:pPr>
        <w:pStyle w:val="1060"/>
        <w:jc w:val="center"/>
        <w:rPr>
          <w:rFonts w:cs="Times New Roman"/>
          <w:highlight w:val="none"/>
        </w:rPr>
      </w:pPr>
      <w:r>
        <w:rPr>
          <w:rFonts w:cs="Times New Roman"/>
          <w:highlight w:val="none"/>
        </w:rPr>
      </w:r>
      <w:r>
        <w:rPr>
          <w:rFonts w:cs="Times New Roman"/>
          <w:highlight w:val="none"/>
        </w:rPr>
      </w:r>
    </w:p>
    <w:p>
      <w:pPr>
        <w:pStyle w:val="1060"/>
        <w:jc w:val="center"/>
        <w:rPr>
          <w:rFonts w:cs="Times New Roman"/>
          <w:highlight w:val="none"/>
        </w:rPr>
      </w:pPr>
      <w:r>
        <w:rPr>
          <w:rFonts w:cs="Times New Roman"/>
          <w:highlight w:val="none"/>
        </w:rPr>
      </w:r>
      <w:r>
        <w:rPr>
          <w:rFonts w:cs="Times New Roman"/>
          <w:highlight w:val="none"/>
        </w:rPr>
      </w:r>
    </w:p>
    <w:p>
      <w:pPr>
        <w:pStyle w:val="1060"/>
        <w:jc w:val="center"/>
        <w:rPr>
          <w:rFonts w:cs="Times New Roman"/>
          <w:highlight w:val="none"/>
        </w:rPr>
      </w:pPr>
      <w:r>
        <w:rPr>
          <w:rFonts w:cs="Times New Roman"/>
          <w:highlight w:val="none"/>
        </w:rPr>
      </w:r>
      <w:r>
        <w:rPr>
          <w:rFonts w:cs="Times New Roman"/>
          <w:highlight w:val="none"/>
        </w:rPr>
      </w:r>
    </w:p>
    <w:p>
      <w:pPr>
        <w:pStyle w:val="1060"/>
        <w:jc w:val="center"/>
        <w:rPr>
          <w:rFonts w:cs="Times New Roman"/>
          <w:highlight w:val="none"/>
        </w:rPr>
      </w:pPr>
      <w:r>
        <w:rPr>
          <w:rFonts w:cs="Times New Roman"/>
          <w:highlight w:val="none"/>
        </w:rPr>
      </w:r>
      <w:r>
        <w:rPr>
          <w:rFonts w:cs="Times New Roman"/>
          <w:highlight w:val="none"/>
        </w:rPr>
      </w:r>
    </w:p>
    <w:p>
      <w:pPr>
        <w:pStyle w:val="1060"/>
        <w:jc w:val="center"/>
        <w:rPr>
          <w:rFonts w:cs="Times New Roman"/>
          <w:highlight w:val="none"/>
        </w:rPr>
      </w:pPr>
      <w:r>
        <w:rPr>
          <w:rFonts w:cs="Times New Roman"/>
          <w:highlight w:val="none"/>
        </w:rPr>
      </w:r>
      <w:r>
        <w:rPr>
          <w:rFonts w:cs="Times New Roman"/>
          <w:highlight w:val="none"/>
        </w:rPr>
      </w:r>
    </w:p>
    <w:p>
      <w:pPr>
        <w:pStyle w:val="1060"/>
        <w:jc w:val="center"/>
        <w:rPr>
          <w:rFonts w:cs="Times New Roman"/>
          <w:highlight w:val="none"/>
        </w:rPr>
      </w:pPr>
      <w:r>
        <w:rPr>
          <w:rFonts w:cs="Times New Roman"/>
          <w:highlight w:val="none"/>
        </w:rPr>
      </w:r>
      <w:r>
        <mc:AlternateContent>
          <mc:Choice Requires="wpg">
            <w:drawing>
              <wp:inline xmlns:wp="http://schemas.openxmlformats.org/drawingml/2006/wordprocessingDrawing" distT="0" distB="0" distL="0" distR="0">
                <wp:extent cx="5940425" cy="5940425"/>
                <wp:effectExtent l="0" t="0" r="0" b="0"/>
                <wp:docPr id="11"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6718051" name=""/>
                        <pic:cNvPicPr>
                          <a:picLocks noChangeAspect="1"/>
                        </pic:cNvPicPr>
                        <pic:nvPr/>
                      </pic:nvPicPr>
                      <pic:blipFill>
                        <a:blip r:embed="rId21"/>
                        <a:stretch/>
                      </pic:blipFill>
                      <pic:spPr bwMode="auto">
                        <a:xfrm>
                          <a:off x="0" y="0"/>
                          <a:ext cx="5940424" cy="5940424"/>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0" o:spid="_x0000_s10" type="#_x0000_t75" style="width:467.75pt;height:467.75pt;mso-wrap-distance-left:0.00pt;mso-wrap-distance-top:0.00pt;mso-wrap-distance-right:0.00pt;mso-wrap-distance-bottom:0.00pt;" stroked="false">
                <v:path textboxrect="0,0,0,0"/>
                <v:imagedata r:id="rId21" o:title=""/>
              </v:shape>
            </w:pict>
          </mc:Fallback>
        </mc:AlternateContent>
      </w:r>
      <w:r>
        <w:rPr>
          <w:rFonts w:cs="Times New Roman"/>
          <w:highlight w:val="none"/>
        </w:rPr>
      </w:r>
      <w:r>
        <w:rPr>
          <w:rFonts w:cs="Times New Roman"/>
          <w:highlight w:val="none"/>
        </w:rPr>
      </w:r>
    </w:p>
    <w:p>
      <w:pPr>
        <w:pStyle w:val="1060"/>
        <w:jc w:val="center"/>
        <w:rPr>
          <w:rFonts w:cs="Times New Roman"/>
          <w:highlight w:val="none"/>
        </w:rPr>
      </w:pPr>
      <w:r>
        <w:rPr>
          <w:rFonts w:cs="Times New Roman"/>
          <w:highlight w:val="none"/>
        </w:rPr>
      </w:r>
      <w:r>
        <w:rPr>
          <w:rFonts w:cs="Times New Roman"/>
          <w:highlight w:val="none"/>
        </w:rPr>
      </w:r>
    </w:p>
    <w:p>
      <w:pPr>
        <w:pStyle w:val="1060"/>
        <w:jc w:val="center"/>
        <w:rPr>
          <w:rFonts w:cs="Times New Roman"/>
          <w:highlight w:val="none"/>
        </w:rPr>
      </w:pPr>
      <w:r>
        <w:rPr>
          <w:rFonts w:cs="Times New Roman"/>
          <w:highlight w:val="none"/>
        </w:rPr>
      </w:r>
      <w:r>
        <w:rPr>
          <w:rFonts w:cs="Times New Roman"/>
          <w:highlight w:val="none"/>
        </w:rPr>
      </w:r>
    </w:p>
    <w:p>
      <w:pPr>
        <w:pStyle w:val="1060"/>
        <w:jc w:val="center"/>
        <w:rPr>
          <w:rFonts w:cs="Times New Roman"/>
          <w:highlight w:val="none"/>
        </w:rPr>
      </w:pPr>
      <w:r>
        <w:rPr>
          <w:rFonts w:cs="Times New Roman"/>
          <w:highlight w:val="none"/>
        </w:rPr>
      </w:r>
      <w:r>
        <w:rPr>
          <w:rFonts w:cs="Times New Roman"/>
          <w:highlight w:val="none"/>
        </w:rPr>
      </w:r>
    </w:p>
    <w:p>
      <w:pPr>
        <w:pStyle w:val="1060"/>
        <w:jc w:val="left"/>
        <w:rPr>
          <w:rFonts w:cs="Times New Roman"/>
          <w:highlight w:val="none"/>
        </w:rPr>
      </w:pPr>
      <w:r>
        <w:rPr>
          <w:rFonts w:cs="Times New Roman"/>
          <w:highlight w:val="none"/>
        </w:rPr>
      </w:r>
      <w:r>
        <w:rPr>
          <w:rFonts w:cs="Times New Roman"/>
          <w:highlight w:val="none"/>
        </w:rPr>
      </w:r>
    </w:p>
    <w:p>
      <w:pPr>
        <w:pStyle w:val="1060"/>
        <w:jc w:val="left"/>
        <w:rPr>
          <w:rFonts w:cs="Times New Roman"/>
          <w:highlight w:val="none"/>
        </w:rPr>
      </w:pPr>
      <w:r>
        <w:rPr>
          <w:rFonts w:cs="Times New Roman"/>
          <w:highlight w:val="none"/>
        </w:rPr>
      </w:r>
      <w:r>
        <w:rPr>
          <w:rFonts w:cs="Times New Roman"/>
          <w:highlight w:val="none"/>
        </w:rPr>
      </w:r>
    </w:p>
    <w:p>
      <w:pPr>
        <w:pStyle w:val="1060"/>
        <w:jc w:val="center"/>
        <w:rPr>
          <w:rFonts w:cs="Times New Roman"/>
          <w:highlight w:val="none"/>
        </w:rPr>
      </w:pPr>
      <w:r/>
      <w:bookmarkStart w:id="24" w:name="_Toc2"/>
      <w:r>
        <w:rPr>
          <w:rFonts w:cs="Times New Roman"/>
        </w:rPr>
        <w:t xml:space="preserve">РАЗДЕЛ 1.  ИНФОРМАЦИОННО-СТАТИСТИЧЕСКИЙ ОБЗОР ОБРАЩЕНИЙ, ПОСТУПИВШИХ В АДРЕС УПОЛНОМОЧЕННОГО ПО ПРАВАМ ЧЕЛОВЕКА</w:t>
      </w:r>
      <w:r>
        <w:rPr>
          <w:rFonts w:cs="Times New Roman"/>
        </w:rPr>
        <w:t xml:space="preserve"> </w:t>
      </w:r>
      <w:r>
        <w:rPr>
          <w:rFonts w:cs="Times New Roman"/>
        </w:rPr>
      </w:r>
      <w:bookmarkEnd w:id="24"/>
      <w:r>
        <w:rPr>
          <w:rFonts w:cs="Times New Roman"/>
        </w:rPr>
      </w:r>
      <w:r>
        <w:rPr>
          <w:rFonts w:cs="Times New Roman"/>
          <w:highlight w:val="none"/>
        </w:rPr>
      </w:r>
    </w:p>
    <w:p>
      <w:pPr>
        <w:jc w:val="center"/>
        <w:spacing w:after="0"/>
        <w:rPr>
          <w:rFonts w:ascii="Times New Roman" w:hAnsi="Times New Roman"/>
          <w:sz w:val="28"/>
          <w:szCs w:val="28"/>
        </w:rPr>
      </w:pPr>
      <w:r>
        <w:rPr>
          <w:rFonts w:ascii="Times New Roman" w:hAnsi="Times New Roman"/>
          <w:sz w:val="28"/>
          <w:szCs w:val="28"/>
        </w:rPr>
      </w:r>
      <w:r>
        <w:rPr>
          <w:rFonts w:ascii="Times New Roman" w:hAnsi="Times New Roman"/>
          <w:sz w:val="28"/>
          <w:szCs w:val="28"/>
        </w:rPr>
      </w:r>
      <w:r>
        <w:rPr>
          <w:rFonts w:ascii="Times New Roman" w:hAnsi="Times New Roman"/>
          <w:sz w:val="28"/>
          <w:szCs w:val="28"/>
        </w:rPr>
      </w:r>
    </w:p>
    <w:p>
      <w:pPr>
        <w:jc w:val="both"/>
        <w:spacing w:after="0"/>
        <w:rPr>
          <w:rFonts w:ascii="Times New Roman" w:hAnsi="Times New Roman"/>
          <w:sz w:val="28"/>
          <w:szCs w:val="28"/>
        </w:rPr>
      </w:pPr>
      <w:r>
        <w:rPr>
          <w:rFonts w:ascii="Times New Roman" w:hAnsi="Times New Roman"/>
          <w:sz w:val="28"/>
          <w:szCs w:val="28"/>
        </w:rPr>
        <w:tab/>
        <w:t xml:space="preserve">Взаимодействие с гражданами в ходе личных приемов, рассмотрение их письменных заявлений и жалоб – одно из приоритетных направлений деятельности Уполномоченного по правам человека в Ивановской области. </w:t>
      </w:r>
      <w:r>
        <w:rPr>
          <w:rFonts w:ascii="Times New Roman" w:hAnsi="Times New Roman"/>
          <w:sz w:val="28"/>
          <w:szCs w:val="28"/>
        </w:rPr>
      </w:r>
      <w:r>
        <w:rPr>
          <w:rFonts w:ascii="Times New Roman" w:hAnsi="Times New Roman"/>
          <w:sz w:val="28"/>
          <w:szCs w:val="28"/>
        </w:rPr>
      </w:r>
    </w:p>
    <w:p>
      <w:pPr>
        <w:jc w:val="both"/>
        <w:spacing w:after="0"/>
        <w:rPr>
          <w:rFonts w:ascii="Times New Roman" w:hAnsi="Times New Roman"/>
          <w:sz w:val="28"/>
          <w:szCs w:val="28"/>
        </w:rPr>
      </w:pPr>
      <w:r>
        <w:rPr>
          <w:rFonts w:ascii="Times New Roman" w:hAnsi="Times New Roman"/>
          <w:sz w:val="28"/>
          <w:szCs w:val="28"/>
        </w:rPr>
        <w:tab/>
      </w:r>
      <w:r>
        <w:rPr>
          <w:rFonts w:ascii="Times New Roman" w:hAnsi="Times New Roman"/>
          <w:sz w:val="28"/>
          <w:szCs w:val="28"/>
          <w:shd w:val="clear" w:color="auto" w:fill="ffffff"/>
        </w:rPr>
        <w:t xml:space="preserve">Обращения граждан, хоть и носят зачастую в определенной степени личный характер, но являются формой гражданского участия и указания власти на существующие потребности. Это своего рода индикатор определенных проблем в обществе. </w:t>
      </w:r>
      <w:r>
        <w:rPr>
          <w:rFonts w:ascii="Times New Roman" w:hAnsi="Times New Roman"/>
          <w:sz w:val="28"/>
          <w:szCs w:val="28"/>
        </w:rPr>
      </w:r>
      <w:r>
        <w:rPr>
          <w:rFonts w:ascii="Times New Roman" w:hAnsi="Times New Roman"/>
          <w:sz w:val="28"/>
          <w:szCs w:val="28"/>
        </w:rPr>
      </w:r>
    </w:p>
    <w:p>
      <w:pPr>
        <w:ind w:firstLine="709"/>
        <w:jc w:val="both"/>
        <w:spacing w:after="0"/>
        <w:rPr>
          <w:rFonts w:ascii="Times New Roman" w:hAnsi="Times New Roman"/>
          <w:sz w:val="28"/>
          <w:szCs w:val="28"/>
        </w:rPr>
      </w:pPr>
      <w:r>
        <w:rPr>
          <w:rFonts w:ascii="Times New Roman" w:hAnsi="Times New Roman"/>
          <w:sz w:val="28"/>
          <w:szCs w:val="28"/>
        </w:rPr>
        <w:t xml:space="preserve">За время существования регионального института Уполномоченного  с 2011 по 2025 годы рассмотрено 39 тысяч 397 обращений.</w:t>
      </w:r>
      <w:r>
        <w:rPr>
          <w:rFonts w:ascii="Times New Roman" w:hAnsi="Times New Roman"/>
          <w:sz w:val="28"/>
          <w:szCs w:val="28"/>
        </w:rPr>
      </w:r>
      <w:r>
        <w:rPr>
          <w:rFonts w:ascii="Times New Roman" w:hAnsi="Times New Roman"/>
          <w:sz w:val="28"/>
          <w:szCs w:val="28"/>
        </w:rPr>
      </w:r>
    </w:p>
    <w:p>
      <w:pPr>
        <w:ind w:firstLine="709"/>
        <w:jc w:val="both"/>
        <w:spacing w:after="0"/>
        <w:rPr>
          <w:rFonts w:ascii="Times New Roman" w:hAnsi="Times New Roman"/>
          <w:sz w:val="28"/>
          <w:szCs w:val="28"/>
        </w:rPr>
      </w:pPr>
      <w:r>
        <w:rPr>
          <w:rFonts w:ascii="Times New Roman" w:hAnsi="Times New Roman"/>
          <w:sz w:val="28"/>
          <w:szCs w:val="28"/>
        </w:rPr>
      </w:r>
      <w:r>
        <w:rPr>
          <w:rFonts w:ascii="Times New Roman" w:hAnsi="Times New Roman"/>
          <w:sz w:val="28"/>
          <w:szCs w:val="28"/>
        </w:rPr>
      </w:r>
      <w:r>
        <w:rPr>
          <w:rFonts w:ascii="Times New Roman" w:hAnsi="Times New Roman"/>
          <w:sz w:val="28"/>
          <w:szCs w:val="28"/>
        </w:rPr>
      </w:r>
    </w:p>
    <w:p>
      <w:pPr>
        <w:ind w:firstLine="709"/>
        <w:jc w:val="right"/>
        <w:rPr>
          <w:rFonts w:ascii="Times New Roman" w:hAnsi="Times New Roman"/>
          <w:b/>
          <w:sz w:val="24"/>
          <w:szCs w:val="24"/>
        </w:rPr>
      </w:pPr>
      <w:r>
        <w:rPr>
          <w:rFonts w:ascii="Times New Roman" w:hAnsi="Times New Roman"/>
          <w:b/>
          <w:sz w:val="24"/>
          <w:szCs w:val="24"/>
        </w:rPr>
        <w:t xml:space="preserve">Рисунок 1.1. Динамика количества обращений за 2011-2025 гг. </w:t>
      </w:r>
      <w:r>
        <w:rPr>
          <w:rFonts w:ascii="Times New Roman" w:hAnsi="Times New Roman"/>
          <w:b/>
          <w:sz w:val="24"/>
          <w:szCs w:val="24"/>
        </w:rPr>
      </w:r>
      <w:r>
        <w:rPr>
          <w:rFonts w:ascii="Times New Roman" w:hAnsi="Times New Roman"/>
          <w:b/>
          <w:sz w:val="24"/>
          <w:szCs w:val="24"/>
        </w:rPr>
      </w:r>
    </w:p>
    <w:p>
      <w:pPr>
        <w:jc w:val="right"/>
        <w:rPr>
          <w:rFonts w:ascii="Times New Roman" w:hAnsi="Times New Roman"/>
          <w:b/>
          <w:sz w:val="24"/>
          <w:szCs w:val="24"/>
        </w:rPr>
      </w:pPr>
      <w:r>
        <w:rPr>
          <w:rFonts w:ascii="Times New Roman" w:hAnsi="Times New Roman"/>
          <w:b/>
          <w:sz w:val="24"/>
          <w:szCs w:val="24"/>
          <w:lang w:eastAsia="ru-RU"/>
        </w:rPr>
        <w:drawing>
          <wp:inline distT="0" distB="0" distL="0" distR="0">
            <wp:extent cx="6038850" cy="2819400"/>
            <wp:effectExtent l="0" t="0" r="0" b="0"/>
            <wp:docPr id="12"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r>
        <w:rPr>
          <w:rFonts w:ascii="Times New Roman" w:hAnsi="Times New Roman"/>
          <w:b/>
          <w:sz w:val="24"/>
          <w:szCs w:val="24"/>
        </w:rPr>
      </w:r>
      <w:r>
        <w:rPr>
          <w:rFonts w:ascii="Times New Roman" w:hAnsi="Times New Roman"/>
          <w:b/>
          <w:sz w:val="24"/>
          <w:szCs w:val="24"/>
        </w:rPr>
      </w:r>
    </w:p>
    <w:p>
      <w:pPr>
        <w:jc w:val="both"/>
        <w:spacing w:after="0"/>
        <w:rPr>
          <w:rFonts w:ascii="Times New Roman" w:hAnsi="Times New Roman"/>
          <w:sz w:val="28"/>
          <w:szCs w:val="28"/>
        </w:rPr>
      </w:pPr>
      <w:r>
        <w:rPr>
          <w:rFonts w:ascii="Times New Roman" w:hAnsi="Times New Roman"/>
          <w:sz w:val="28"/>
          <w:szCs w:val="28"/>
        </w:rPr>
        <w:tab/>
        <w:t xml:space="preserve">Как  и 15 лет назад по-прежн</w:t>
      </w:r>
      <w:r>
        <w:rPr>
          <w:rFonts w:ascii="Times New Roman" w:hAnsi="Times New Roman"/>
          <w:sz w:val="28"/>
          <w:szCs w:val="28"/>
        </w:rPr>
        <w:t xml:space="preserve">ему традиционными каналами получения обращений являются: личный прием граждан, который проводился Уполномоченным и его юристами, общественными помощниками, почтовая связь, интернет-приемная на официальном сайте Уполномоченного, социальные сети омбудсмена. </w:t>
      </w:r>
      <w:r>
        <w:rPr>
          <w:rFonts w:ascii="Times New Roman" w:hAnsi="Times New Roman"/>
          <w:sz w:val="28"/>
          <w:szCs w:val="28"/>
        </w:rPr>
      </w:r>
      <w:r>
        <w:rPr>
          <w:rFonts w:ascii="Times New Roman" w:hAnsi="Times New Roman"/>
          <w:sz w:val="28"/>
          <w:szCs w:val="28"/>
        </w:rPr>
      </w:r>
    </w:p>
    <w:p>
      <w:pPr>
        <w:ind w:firstLine="708"/>
        <w:jc w:val="both"/>
        <w:spacing w:after="0"/>
        <w:rPr>
          <w:rFonts w:ascii="Times New Roman" w:hAnsi="Times New Roman"/>
          <w:sz w:val="28"/>
          <w:szCs w:val="28"/>
        </w:rPr>
      </w:pPr>
      <w:r>
        <w:rPr>
          <w:rFonts w:ascii="Times New Roman" w:hAnsi="Times New Roman"/>
          <w:sz w:val="28"/>
          <w:szCs w:val="28"/>
        </w:rPr>
        <w:t xml:space="preserve">К дополнительным видам способов получения информации о нарушении прав  можно отнести социальные сети «</w:t>
      </w:r>
      <w:r>
        <w:rPr>
          <w:rFonts w:ascii="Times New Roman" w:hAnsi="Times New Roman"/>
          <w:sz w:val="28"/>
          <w:szCs w:val="28"/>
        </w:rPr>
        <w:t xml:space="preserve">ВКонтакте</w:t>
      </w:r>
      <w:r>
        <w:rPr>
          <w:rFonts w:ascii="Times New Roman" w:hAnsi="Times New Roman"/>
          <w:sz w:val="28"/>
          <w:szCs w:val="28"/>
        </w:rPr>
        <w:t xml:space="preserve">», «Одноклассники», «ТГ».</w:t>
      </w:r>
      <w:r>
        <w:rPr>
          <w:rFonts w:ascii="Times New Roman" w:hAnsi="Times New Roman"/>
          <w:sz w:val="28"/>
          <w:szCs w:val="28"/>
        </w:rPr>
        <w:t xml:space="preserve"> Также Уполномоченный с сотрудниками аппарата и органами власти проводил мониторинг средств массовой информации с целью выявления волнующих тем </w:t>
      </w:r>
      <w:r>
        <w:rPr>
          <w:rFonts w:ascii="Times New Roman" w:hAnsi="Times New Roman"/>
          <w:sz w:val="28"/>
          <w:szCs w:val="28"/>
        </w:rPr>
        <w:t xml:space="preserve">ивановцев</w:t>
      </w:r>
      <w:r>
        <w:rPr>
          <w:rFonts w:ascii="Times New Roman" w:hAnsi="Times New Roman"/>
          <w:sz w:val="28"/>
          <w:szCs w:val="28"/>
        </w:rPr>
        <w:t xml:space="preserve"> и оперативного реагирования на тревожные сигналы.  </w:t>
      </w:r>
      <w:r>
        <w:rPr>
          <w:rFonts w:ascii="Times New Roman" w:hAnsi="Times New Roman"/>
          <w:sz w:val="28"/>
          <w:szCs w:val="28"/>
        </w:rPr>
      </w:r>
      <w:r>
        <w:rPr>
          <w:rFonts w:ascii="Times New Roman" w:hAnsi="Times New Roman"/>
          <w:sz w:val="28"/>
          <w:szCs w:val="28"/>
        </w:rPr>
      </w:r>
    </w:p>
    <w:p>
      <w:pPr>
        <w:ind w:firstLine="708"/>
        <w:jc w:val="both"/>
        <w:spacing w:after="0"/>
        <w:rPr>
          <w:rFonts w:ascii="Times New Roman" w:hAnsi="Times New Roman"/>
          <w:sz w:val="28"/>
          <w:szCs w:val="28"/>
        </w:rPr>
      </w:pPr>
      <w:r>
        <w:rPr>
          <w:rFonts w:ascii="Times New Roman" w:hAnsi="Times New Roman"/>
          <w:sz w:val="28"/>
          <w:szCs w:val="28"/>
        </w:rPr>
        <w:t xml:space="preserve">Изучение средств массовой информации</w:t>
      </w:r>
      <w:r>
        <w:rPr>
          <w:rFonts w:ascii="Times New Roman" w:hAnsi="Times New Roman"/>
          <w:sz w:val="28"/>
          <w:szCs w:val="28"/>
        </w:rPr>
        <w:t xml:space="preserve">  меж</w:t>
      </w:r>
      <w:r>
        <w:rPr>
          <w:rFonts w:ascii="Times New Roman" w:hAnsi="Times New Roman"/>
          <w:sz w:val="28"/>
          <w:szCs w:val="28"/>
        </w:rPr>
        <w:t xml:space="preserve">дународного и федерального уровней и правозащитных каналов также позволяет повысить эффективность работы, улучшить сотрудничество с федеральными структурами, правительством региона,  расширить возможности для решения проблем граждан здесь, на малой родине.</w:t>
      </w:r>
      <w:r>
        <w:rPr>
          <w:rFonts w:ascii="Times New Roman" w:hAnsi="Times New Roman"/>
          <w:sz w:val="28"/>
          <w:szCs w:val="28"/>
        </w:rPr>
      </w:r>
      <w:r>
        <w:rPr>
          <w:rFonts w:ascii="Times New Roman" w:hAnsi="Times New Roman"/>
          <w:sz w:val="28"/>
          <w:szCs w:val="28"/>
        </w:rPr>
      </w:r>
    </w:p>
    <w:p>
      <w:pPr>
        <w:jc w:val="both"/>
        <w:spacing w:after="0"/>
        <w:rPr>
          <w:rFonts w:ascii="Times New Roman" w:hAnsi="Times New Roman"/>
          <w:sz w:val="28"/>
          <w:szCs w:val="28"/>
        </w:rPr>
      </w:pPr>
      <w:r>
        <w:rPr>
          <w:rFonts w:ascii="Times New Roman" w:hAnsi="Times New Roman"/>
          <w:sz w:val="28"/>
          <w:szCs w:val="28"/>
        </w:rPr>
      </w:r>
      <w:r>
        <w:rPr>
          <w:rFonts w:ascii="Times New Roman" w:hAnsi="Times New Roman"/>
          <w:sz w:val="28"/>
          <w:szCs w:val="28"/>
        </w:rPr>
      </w:r>
      <w:r>
        <w:rPr>
          <w:rFonts w:ascii="Times New Roman" w:hAnsi="Times New Roman"/>
          <w:sz w:val="28"/>
          <w:szCs w:val="28"/>
        </w:rPr>
      </w:r>
    </w:p>
    <w:p>
      <w:pPr>
        <w:jc w:val="right"/>
        <w:rPr>
          <w:rFonts w:ascii="Times New Roman" w:hAnsi="Times New Roman"/>
          <w:b/>
          <w:sz w:val="24"/>
          <w:szCs w:val="24"/>
        </w:rPr>
      </w:pPr>
      <w:r>
        <w:rPr>
          <w:rFonts w:ascii="Times New Roman" w:hAnsi="Times New Roman"/>
          <w:sz w:val="28"/>
          <w:szCs w:val="28"/>
        </w:rPr>
        <w:tab/>
      </w:r>
      <w:r>
        <w:rPr>
          <w:rFonts w:ascii="Times New Roman" w:hAnsi="Times New Roman"/>
          <w:b/>
          <w:sz w:val="24"/>
          <w:szCs w:val="24"/>
        </w:rPr>
        <w:t xml:space="preserve">Рисунок 1.2. Каналы получения обращений граждан</w:t>
      </w:r>
      <w:r>
        <w:rPr>
          <w:rFonts w:ascii="Times New Roman" w:hAnsi="Times New Roman"/>
          <w:b/>
          <w:sz w:val="24"/>
          <w:szCs w:val="24"/>
        </w:rPr>
      </w:r>
      <w:r>
        <w:rPr>
          <w:rFonts w:ascii="Times New Roman" w:hAnsi="Times New Roman"/>
          <w:b/>
          <w:sz w:val="24"/>
          <w:szCs w:val="24"/>
        </w:rPr>
      </w:r>
    </w:p>
    <w:p>
      <w:pPr>
        <w:rPr>
          <w:rFonts w:ascii="Times New Roman" w:hAnsi="Times New Roman"/>
          <w:sz w:val="28"/>
          <w:szCs w:val="28"/>
        </w:rPr>
      </w:pPr>
      <w:r>
        <w:rPr>
          <w:rFonts w:ascii="Times New Roman" w:hAnsi="Times New Roman"/>
          <w:sz w:val="28"/>
          <w:szCs w:val="28"/>
        </w:rPr>
        <w:t xml:space="preserve">       </w:t>
      </w:r>
      <w:r>
        <w:rPr>
          <w:rFonts w:ascii="Times New Roman" w:hAnsi="Times New Roman"/>
          <w:sz w:val="28"/>
          <w:szCs w:val="28"/>
          <w:lang w:eastAsia="ru-RU"/>
        </w:rPr>
        <w:drawing>
          <wp:inline xmlns:wp="http://schemas.openxmlformats.org/drawingml/2006/wordprocessingDrawing" distT="0" distB="0" distL="0" distR="0">
            <wp:extent cx="5397840" cy="2689923"/>
            <wp:effectExtent l="0" t="0" r="0" b="224724"/>
            <wp:docPr id="13" name="Схема 3"/>
            <wp:cNvGraphicFramePr/>
            <a:graphic>
              <a:graphicData uri="http://schemas.openxmlformats.org/drawingml/2006/diagram">
                <dgm:relIds xmlns:dgm="http://schemas.openxmlformats.org/drawingml/2006/diagram" xmlns:r="http://schemas.openxmlformats.org/officeDocument/2006/relationships" r:dm="rId23" r:lo="rId26" r:qs="rId27" r:cs="rId25"/>
              </a:graphicData>
            </a:graphic>
          </wp:inline>
        </w:drawing>
      </w:r>
      <w:r>
        <w:rPr>
          <w:rFonts w:ascii="Times New Roman" w:hAnsi="Times New Roman"/>
          <w:sz w:val="28"/>
          <w:szCs w:val="28"/>
        </w:rPr>
      </w:r>
      <w:r>
        <w:rPr>
          <w:rFonts w:ascii="Times New Roman" w:hAnsi="Times New Roman"/>
          <w:sz w:val="28"/>
          <w:szCs w:val="28"/>
        </w:rPr>
      </w:r>
    </w:p>
    <w:p>
      <w:pPr>
        <w:jc w:val="both"/>
        <w:rPr>
          <w:rFonts w:ascii="Times New Roman" w:hAnsi="Times New Roman"/>
          <w:sz w:val="28"/>
          <w:szCs w:val="28"/>
          <w:highlight w:val="none"/>
        </w:rPr>
      </w:pPr>
      <w:r>
        <w:rPr>
          <w:rFonts w:ascii="Times New Roman" w:hAnsi="Times New Roman"/>
          <w:sz w:val="28"/>
          <w:szCs w:val="28"/>
        </w:rPr>
        <w:tab/>
        <w:t xml:space="preserve">Непосредственное общение с гражданами в форме личного приёма не теряет своей популярности среди населения. При этом личный приём, предполагая устное общение, не исключает возможности подачи письменного обращения. Личный приём Уполномоченный проводит в оф</w:t>
      </w:r>
      <w:r>
        <w:rPr>
          <w:rFonts w:ascii="Times New Roman" w:hAnsi="Times New Roman"/>
          <w:sz w:val="28"/>
          <w:szCs w:val="28"/>
        </w:rPr>
        <w:t xml:space="preserve">исе в областном центре, в ходе Дней правовых знаний в муниципальных образованиях региона, в исправительных учреждениях Ивановской области, пунктах временного размещения граждан, социальных организациях, при организации тематических массовых площадок и т.д.</w:t>
      </w:r>
      <w:r>
        <w:rPr>
          <w:rFonts w:ascii="Times New Roman" w:hAnsi="Times New Roman"/>
          <w:sz w:val="28"/>
          <w:szCs w:val="28"/>
          <w:highlight w:val="none"/>
        </w:rPr>
      </w:r>
      <w:r>
        <w:rPr>
          <w:rFonts w:ascii="Times New Roman" w:hAnsi="Times New Roman"/>
          <w:sz w:val="28"/>
          <w:szCs w:val="28"/>
          <w:highlight w:val="none"/>
        </w:rPr>
      </w:r>
    </w:p>
    <w:p>
      <w:pPr>
        <w:jc w:val="both"/>
        <w:rPr>
          <w:rFonts w:ascii="Times New Roman" w:hAnsi="Times New Roman"/>
          <w:sz w:val="28"/>
          <w:szCs w:val="28"/>
        </w:rPr>
      </w:pPr>
      <w:r>
        <w:rPr>
          <w:rFonts w:ascii="Times New Roman" w:hAnsi="Times New Roman"/>
          <w:sz w:val="28"/>
          <w:szCs w:val="28"/>
        </w:rPr>
      </w:r>
      <w:r>
        <w:rPr>
          <w:rFonts w:ascii="Times New Roman" w:hAnsi="Times New Roman"/>
          <w:sz w:val="28"/>
          <w:szCs w:val="28"/>
        </w:rPr>
      </w:r>
      <w:r>
        <w:rPr>
          <w:rFonts w:ascii="Times New Roman" w:hAnsi="Times New Roman"/>
          <w:sz w:val="28"/>
          <w:szCs w:val="28"/>
        </w:rPr>
      </w:r>
    </w:p>
    <w:p>
      <w:pPr>
        <w:jc w:val="both"/>
        <w:rPr>
          <w:rFonts w:ascii="Times New Roman" w:hAnsi="Times New Roman"/>
          <w:sz w:val="28"/>
          <w:szCs w:val="28"/>
        </w:rPr>
      </w:pPr>
      <w:r>
        <w:rPr>
          <w:rFonts w:ascii="Times New Roman" w:hAnsi="Times New Roman"/>
          <w:sz w:val="28"/>
          <w:szCs w:val="28"/>
        </w:rPr>
      </w:r>
      <w:r>
        <w:rPr>
          <w:rFonts w:ascii="Times New Roman" w:hAnsi="Times New Roman"/>
          <w:sz w:val="28"/>
          <w:szCs w:val="28"/>
        </w:rPr>
      </w:r>
      <w:r>
        <w:rPr>
          <w:rFonts w:ascii="Times New Roman" w:hAnsi="Times New Roman"/>
          <w:sz w:val="28"/>
          <w:szCs w:val="28"/>
        </w:rPr>
      </w:r>
    </w:p>
    <w:p>
      <w:pPr>
        <w:jc w:val="both"/>
        <w:rPr>
          <w:rFonts w:ascii="Times New Roman" w:hAnsi="Times New Roman"/>
          <w:sz w:val="28"/>
          <w:szCs w:val="28"/>
        </w:rPr>
      </w:pPr>
      <w:r>
        <w:rPr>
          <w:rFonts w:ascii="Times New Roman" w:hAnsi="Times New Roman"/>
          <w:sz w:val="28"/>
          <w:szCs w:val="28"/>
        </w:rPr>
      </w:r>
      <w:r>
        <w:rPr>
          <w:rFonts w:ascii="Times New Roman" w:hAnsi="Times New Roman"/>
          <w:sz w:val="28"/>
          <w:szCs w:val="28"/>
        </w:rPr>
      </w:r>
      <w:r>
        <w:rPr>
          <w:rFonts w:ascii="Times New Roman" w:hAnsi="Times New Roman"/>
          <w:sz w:val="28"/>
          <w:szCs w:val="28"/>
        </w:rPr>
      </w:r>
    </w:p>
    <w:p>
      <w:pPr>
        <w:jc w:val="both"/>
        <w:rPr>
          <w:rFonts w:ascii="Times New Roman" w:hAnsi="Times New Roman"/>
          <w:sz w:val="28"/>
          <w:szCs w:val="28"/>
        </w:rPr>
      </w:pPr>
      <w:r>
        <w:rPr>
          <w:rFonts w:ascii="Times New Roman" w:hAnsi="Times New Roman"/>
          <w:sz w:val="28"/>
          <w:szCs w:val="28"/>
        </w:rPr>
      </w:r>
      <w:r>
        <w:rPr>
          <w:rFonts w:ascii="Times New Roman" w:hAnsi="Times New Roman"/>
          <w:sz w:val="28"/>
          <w:szCs w:val="28"/>
        </w:rPr>
      </w:r>
      <w:r>
        <w:rPr>
          <w:rFonts w:ascii="Times New Roman" w:hAnsi="Times New Roman"/>
          <w:sz w:val="28"/>
          <w:szCs w:val="28"/>
        </w:rPr>
      </w:r>
    </w:p>
    <w:p>
      <w:pPr>
        <w:jc w:val="both"/>
        <w:rPr>
          <w:rFonts w:ascii="Times New Roman" w:hAnsi="Times New Roman"/>
          <w:sz w:val="28"/>
          <w:szCs w:val="28"/>
        </w:rPr>
      </w:pPr>
      <w:r>
        <w:rPr>
          <w:rFonts w:ascii="Times New Roman" w:hAnsi="Times New Roman"/>
          <w:sz w:val="28"/>
          <w:szCs w:val="28"/>
        </w:rPr>
      </w:r>
      <w:r>
        <w:rPr>
          <w:rFonts w:ascii="Times New Roman" w:hAnsi="Times New Roman"/>
          <w:sz w:val="28"/>
          <w:szCs w:val="28"/>
        </w:rPr>
      </w:r>
      <w:r>
        <w:rPr>
          <w:rFonts w:ascii="Times New Roman" w:hAnsi="Times New Roman"/>
          <w:sz w:val="28"/>
          <w:szCs w:val="28"/>
        </w:rPr>
      </w:r>
    </w:p>
    <w:p>
      <w:pPr>
        <w:jc w:val="both"/>
        <w:rPr>
          <w:rFonts w:ascii="Times New Roman" w:hAnsi="Times New Roman"/>
          <w:sz w:val="28"/>
          <w:szCs w:val="28"/>
        </w:rPr>
      </w:pPr>
      <w:r>
        <w:rPr>
          <w:rFonts w:ascii="Times New Roman" w:hAnsi="Times New Roman"/>
          <w:sz w:val="28"/>
          <w:szCs w:val="28"/>
        </w:rPr>
      </w:r>
      <w:r>
        <w:rPr>
          <w:rFonts w:ascii="Times New Roman" w:hAnsi="Times New Roman"/>
          <w:sz w:val="28"/>
          <w:szCs w:val="28"/>
        </w:rPr>
      </w:r>
    </w:p>
    <w:p>
      <w:pPr>
        <w:jc w:val="both"/>
        <w:rPr>
          <w:rFonts w:ascii="Times New Roman" w:hAnsi="Times New Roman"/>
          <w:sz w:val="28"/>
          <w:szCs w:val="28"/>
        </w:rPr>
      </w:pPr>
      <w:r>
        <w:rPr>
          <w:rFonts w:ascii="Times New Roman" w:hAnsi="Times New Roman"/>
          <w:sz w:val="28"/>
          <w:szCs w:val="28"/>
          <w:highlight w:val="none"/>
        </w:rPr>
      </w:r>
      <w:r>
        <w:rPr>
          <w:rFonts w:ascii="Times New Roman" w:hAnsi="Times New Roman"/>
          <w:sz w:val="28"/>
          <w:szCs w:val="28"/>
        </w:rPr>
      </w:r>
      <w:r>
        <w:rPr>
          <w:rFonts w:ascii="Times New Roman" w:hAnsi="Times New Roman"/>
          <w:sz w:val="28"/>
          <w:szCs w:val="28"/>
        </w:rPr>
      </w:r>
    </w:p>
    <w:p>
      <w:pPr>
        <w:jc w:val="right"/>
        <w:spacing w:after="0" w:line="240" w:lineRule="auto"/>
        <w:rPr>
          <w:rFonts w:ascii="Times New Roman" w:hAnsi="Times New Roman"/>
          <w:b/>
          <w:sz w:val="24"/>
          <w:szCs w:val="24"/>
        </w:rPr>
      </w:pPr>
      <w:r>
        <w:rPr>
          <w:rFonts w:ascii="Times New Roman" w:hAnsi="Times New Roman"/>
          <w:sz w:val="28"/>
          <w:szCs w:val="28"/>
        </w:rPr>
        <w:tab/>
      </w:r>
      <w:r>
        <w:rPr>
          <w:rFonts w:ascii="Times New Roman" w:hAnsi="Times New Roman"/>
          <w:b/>
          <w:sz w:val="24"/>
          <w:szCs w:val="24"/>
        </w:rPr>
        <w:t xml:space="preserve">Рисунок 1.3. Динамика количества письменных обращений </w:t>
      </w:r>
      <w:r>
        <w:rPr>
          <w:rFonts w:ascii="Times New Roman" w:hAnsi="Times New Roman"/>
          <w:b/>
          <w:sz w:val="24"/>
          <w:szCs w:val="24"/>
        </w:rPr>
      </w:r>
      <w:r>
        <w:rPr>
          <w:rFonts w:ascii="Times New Roman" w:hAnsi="Times New Roman"/>
          <w:b/>
          <w:sz w:val="24"/>
          <w:szCs w:val="24"/>
        </w:rPr>
      </w:r>
    </w:p>
    <w:p>
      <w:pPr>
        <w:jc w:val="right"/>
        <w:spacing w:after="0" w:line="240" w:lineRule="auto"/>
        <w:rPr>
          <w:rFonts w:ascii="Times New Roman" w:hAnsi="Times New Roman"/>
          <w:b/>
          <w:sz w:val="24"/>
          <w:szCs w:val="24"/>
        </w:rPr>
      </w:pPr>
      <w:r>
        <w:rPr>
          <w:rFonts w:ascii="Times New Roman" w:hAnsi="Times New Roman"/>
          <w:b/>
          <w:sz w:val="24"/>
          <w:szCs w:val="24"/>
        </w:rPr>
        <w:t xml:space="preserve">и обращений в ходе личного приема</w:t>
      </w:r>
      <w:r>
        <w:rPr>
          <w:rFonts w:ascii="Times New Roman" w:hAnsi="Times New Roman"/>
          <w:b/>
          <w:sz w:val="24"/>
          <w:szCs w:val="24"/>
        </w:rPr>
      </w:r>
      <w:r>
        <w:rPr>
          <w:rFonts w:ascii="Times New Roman" w:hAnsi="Times New Roman"/>
          <w:b/>
          <w:sz w:val="24"/>
          <w:szCs w:val="24"/>
        </w:rPr>
      </w:r>
    </w:p>
    <w:p>
      <w:pPr>
        <w:jc w:val="center"/>
        <w:rPr>
          <w:rFonts w:ascii="Times New Roman" w:hAnsi="Times New Roman"/>
          <w:b/>
          <w:sz w:val="24"/>
          <w:szCs w:val="24"/>
        </w:rPr>
      </w:pPr>
      <w:r>
        <w:rPr>
          <w:rFonts w:ascii="Times New Roman" w:hAnsi="Times New Roman"/>
          <w:b/>
          <w:sz w:val="24"/>
          <w:szCs w:val="24"/>
          <w:lang w:eastAsia="ru-RU"/>
        </w:rPr>
        <w:drawing>
          <wp:inline distT="0" distB="0" distL="0" distR="0">
            <wp:extent cx="6188075" cy="3267075"/>
            <wp:effectExtent l="19050" t="0" r="3175" b="0"/>
            <wp:docPr id="14"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r>
        <w:rPr>
          <w:rFonts w:ascii="Times New Roman" w:hAnsi="Times New Roman"/>
          <w:b/>
          <w:sz w:val="24"/>
          <w:szCs w:val="24"/>
        </w:rPr>
      </w:r>
      <w:r>
        <w:rPr>
          <w:rFonts w:ascii="Times New Roman" w:hAnsi="Times New Roman"/>
          <w:b/>
          <w:sz w:val="24"/>
          <w:szCs w:val="24"/>
        </w:rPr>
      </w:r>
    </w:p>
    <w:p>
      <w:pPr>
        <w:ind w:firstLine="709"/>
        <w:jc w:val="both"/>
        <w:spacing w:after="0"/>
        <w:rPr>
          <w:rFonts w:ascii="Times New Roman" w:hAnsi="Times New Roman"/>
          <w:sz w:val="28"/>
          <w:szCs w:val="28"/>
        </w:rPr>
      </w:pPr>
      <w:r>
        <w:rPr>
          <w:rFonts w:ascii="Times New Roman" w:hAnsi="Times New Roman"/>
          <w:sz w:val="28"/>
          <w:szCs w:val="28"/>
        </w:rPr>
        <w:t xml:space="preserve"> Общее количество обращений в адрес Уполномоченного в 2025 году составляет  3016 единиц, из них 697 – письменные жалобы. По сравнению с 2024 годом произошло незначительное снижение на 114 единиц</w:t>
      </w:r>
      <w:r>
        <w:rPr>
          <w:rFonts w:ascii="Times New Roman" w:hAnsi="Times New Roman"/>
          <w:sz w:val="28"/>
          <w:szCs w:val="28"/>
        </w:rPr>
        <w:t xml:space="preserve">.  Это </w:t>
      </w:r>
      <w:r>
        <w:rPr>
          <w:rFonts w:ascii="Times New Roman" w:hAnsi="Times New Roman"/>
          <w:sz w:val="28"/>
          <w:szCs w:val="28"/>
        </w:rPr>
        <w:t xml:space="preserve">связано</w:t>
      </w:r>
      <w:r>
        <w:rPr>
          <w:rFonts w:ascii="Times New Roman" w:hAnsi="Times New Roman"/>
          <w:sz w:val="28"/>
          <w:szCs w:val="28"/>
        </w:rPr>
        <w:t xml:space="preserve"> прежде всего с широким информированием населения по правовым вопросам через специальные порталы  федеральной и региональной команд </w:t>
      </w:r>
      <w:r>
        <w:rPr>
          <w:rFonts w:ascii="Times New Roman" w:hAnsi="Times New Roman"/>
          <w:sz w:val="28"/>
          <w:szCs w:val="28"/>
        </w:rPr>
        <w:t xml:space="preserve">правозащиты</w:t>
      </w:r>
      <w:r>
        <w:rPr>
          <w:rFonts w:ascii="Times New Roman" w:hAnsi="Times New Roman"/>
          <w:sz w:val="28"/>
          <w:szCs w:val="28"/>
        </w:rPr>
        <w:t xml:space="preserve">, повышением доступности  и качества в получении необходимой юридической помощи населению по линии региональных </w:t>
      </w:r>
      <w:r>
        <w:rPr>
          <w:rFonts w:ascii="Times New Roman" w:hAnsi="Times New Roman"/>
          <w:sz w:val="28"/>
          <w:szCs w:val="28"/>
        </w:rPr>
        <w:t xml:space="preserve">органов власти, территориальной ветви федеральных органов власти. Следу</w:t>
      </w:r>
      <w:r>
        <w:rPr>
          <w:rFonts w:ascii="Times New Roman" w:hAnsi="Times New Roman"/>
          <w:sz w:val="28"/>
          <w:szCs w:val="28"/>
        </w:rPr>
        <w:t xml:space="preserve">ет отметить и сокращение штата </w:t>
      </w:r>
      <w:r>
        <w:rPr>
          <w:rFonts w:ascii="Times New Roman" w:hAnsi="Times New Roman"/>
          <w:sz w:val="28"/>
          <w:szCs w:val="28"/>
        </w:rPr>
        <w:t xml:space="preserve"> сотрудников отдела по обеспечению деятельности УПЧ на одну единицу. </w:t>
      </w:r>
      <w:r>
        <w:rPr>
          <w:rFonts w:ascii="Times New Roman" w:hAnsi="Times New Roman"/>
          <w:sz w:val="28"/>
          <w:szCs w:val="28"/>
        </w:rPr>
      </w:r>
      <w:r>
        <w:rPr>
          <w:rFonts w:ascii="Times New Roman" w:hAnsi="Times New Roman"/>
          <w:sz w:val="28"/>
          <w:szCs w:val="28"/>
        </w:rPr>
      </w:r>
    </w:p>
    <w:p>
      <w:pPr>
        <w:ind w:firstLine="709"/>
        <w:jc w:val="both"/>
        <w:spacing w:after="0"/>
        <w:rPr>
          <w:rFonts w:ascii="Times New Roman" w:hAnsi="Times New Roman"/>
          <w:sz w:val="28"/>
          <w:szCs w:val="28"/>
        </w:rPr>
      </w:pPr>
      <w:r>
        <w:rPr>
          <w:rFonts w:ascii="Times New Roman" w:hAnsi="Times New Roman"/>
          <w:sz w:val="28"/>
          <w:szCs w:val="28"/>
        </w:rPr>
        <w:t xml:space="preserve">Более подробно о каналах получения обращений и структуре обращений в разрезе тематики обращений можно увидеть на ниже приведенных рисунках. </w:t>
      </w:r>
      <w:r>
        <w:rPr>
          <w:rFonts w:ascii="Times New Roman" w:hAnsi="Times New Roman"/>
          <w:sz w:val="28"/>
          <w:szCs w:val="28"/>
        </w:rPr>
      </w:r>
      <w:r>
        <w:rPr>
          <w:rFonts w:ascii="Times New Roman" w:hAnsi="Times New Roman"/>
          <w:sz w:val="28"/>
          <w:szCs w:val="28"/>
        </w:rPr>
      </w:r>
      <w:r>
        <w:rPr>
          <w:rFonts w:ascii="Times New Roman" w:hAnsi="Times New Roman"/>
          <w:sz w:val="28"/>
          <w:szCs w:val="28"/>
        </w:rPr>
      </w:r>
      <w:r>
        <w:rPr>
          <w:rFonts w:ascii="Times New Roman" w:hAnsi="Times New Roman"/>
          <w:sz w:val="24"/>
          <w:szCs w:val="24"/>
          <w:highlight w:val="none"/>
        </w:rPr>
      </w:r>
      <w:r>
        <w:rPr>
          <w:rFonts w:ascii="Times New Roman" w:hAnsi="Times New Roman"/>
          <w:sz w:val="24"/>
          <w:szCs w:val="24"/>
          <w:highlight w:val="none"/>
        </w:rPr>
      </w:r>
      <w:r>
        <w:rPr>
          <w:rFonts w:ascii="Times New Roman" w:hAnsi="Times New Roman"/>
          <w:sz w:val="28"/>
          <w:szCs w:val="28"/>
        </w:rPr>
      </w:r>
    </w:p>
    <w:p>
      <w:pPr>
        <w:ind w:firstLine="567"/>
        <w:jc w:val="right"/>
        <w:spacing w:after="0" w:line="240" w:lineRule="auto"/>
        <w:rPr>
          <w:rFonts w:ascii="Times New Roman" w:hAnsi="Times New Roman"/>
          <w:b/>
          <w:bCs/>
          <w:sz w:val="24"/>
          <w:szCs w:val="24"/>
        </w:rPr>
      </w:pPr>
      <w:r>
        <w:rPr>
          <w:rFonts w:ascii="Times New Roman" w:hAnsi="Times New Roman"/>
          <w:b/>
          <w:sz w:val="24"/>
          <w:szCs w:val="24"/>
          <w:highlight w:val="none"/>
        </w:rPr>
      </w:r>
      <w:r>
        <w:rPr>
          <w:rFonts w:ascii="Times New Roman" w:hAnsi="Times New Roman"/>
          <w:b/>
          <w:sz w:val="24"/>
          <w:szCs w:val="24"/>
          <w:highlight w:val="none"/>
        </w:rPr>
      </w:r>
    </w:p>
    <w:p>
      <w:pPr>
        <w:ind w:firstLine="567"/>
        <w:jc w:val="right"/>
        <w:spacing w:after="0" w:line="240" w:lineRule="auto"/>
        <w:rPr>
          <w:rFonts w:ascii="Times New Roman" w:hAnsi="Times New Roman"/>
          <w:b/>
          <w:bCs/>
          <w:sz w:val="24"/>
          <w:szCs w:val="24"/>
          <w:highlight w:val="none"/>
        </w:rPr>
      </w:pPr>
      <w:r>
        <w:rPr>
          <w:rFonts w:ascii="Times New Roman" w:hAnsi="Times New Roman"/>
          <w:b/>
          <w:sz w:val="24"/>
          <w:szCs w:val="24"/>
          <w:highlight w:val="none"/>
        </w:rPr>
      </w:r>
      <w:r>
        <w:rPr>
          <w:rFonts w:ascii="Times New Roman" w:hAnsi="Times New Roman"/>
          <w:b/>
          <w:sz w:val="24"/>
          <w:szCs w:val="24"/>
          <w:highlight w:val="none"/>
        </w:rPr>
      </w:r>
    </w:p>
    <w:p>
      <w:pPr>
        <w:ind w:firstLine="567"/>
        <w:jc w:val="right"/>
        <w:spacing w:after="0" w:line="240" w:lineRule="auto"/>
        <w:rPr>
          <w:rFonts w:ascii="Times New Roman" w:hAnsi="Times New Roman"/>
          <w:b/>
          <w:bCs/>
          <w:sz w:val="24"/>
          <w:szCs w:val="24"/>
          <w:highlight w:val="none"/>
        </w:rPr>
      </w:pPr>
      <w:r>
        <w:rPr>
          <w:rFonts w:ascii="Times New Roman" w:hAnsi="Times New Roman"/>
          <w:b/>
          <w:sz w:val="24"/>
          <w:szCs w:val="24"/>
          <w:highlight w:val="none"/>
        </w:rPr>
      </w:r>
      <w:r>
        <w:rPr>
          <w:rFonts w:ascii="Times New Roman" w:hAnsi="Times New Roman"/>
          <w:b/>
          <w:sz w:val="24"/>
          <w:szCs w:val="24"/>
          <w:highlight w:val="none"/>
        </w:rPr>
      </w:r>
    </w:p>
    <w:p>
      <w:pPr>
        <w:ind w:firstLine="567"/>
        <w:jc w:val="right"/>
        <w:spacing w:after="0" w:line="240" w:lineRule="auto"/>
        <w:rPr>
          <w:rFonts w:ascii="Times New Roman" w:hAnsi="Times New Roman"/>
          <w:b/>
          <w:bCs/>
          <w:sz w:val="24"/>
          <w:szCs w:val="24"/>
          <w:highlight w:val="none"/>
        </w:rPr>
      </w:pPr>
      <w:r>
        <w:rPr>
          <w:rFonts w:ascii="Times New Roman" w:hAnsi="Times New Roman"/>
          <w:b/>
          <w:sz w:val="24"/>
          <w:szCs w:val="24"/>
          <w:highlight w:val="none"/>
        </w:rPr>
      </w:r>
      <w:r>
        <w:rPr>
          <w:rFonts w:ascii="Times New Roman" w:hAnsi="Times New Roman"/>
          <w:b/>
          <w:sz w:val="24"/>
          <w:szCs w:val="24"/>
          <w:highlight w:val="none"/>
        </w:rPr>
      </w:r>
    </w:p>
    <w:p>
      <w:pPr>
        <w:ind w:firstLine="567"/>
        <w:jc w:val="right"/>
        <w:spacing w:after="0" w:line="240" w:lineRule="auto"/>
        <w:rPr>
          <w:rFonts w:ascii="Times New Roman" w:hAnsi="Times New Roman"/>
          <w:b/>
          <w:bCs/>
          <w:sz w:val="24"/>
          <w:szCs w:val="24"/>
          <w:highlight w:val="none"/>
        </w:rPr>
      </w:pPr>
      <w:r>
        <w:rPr>
          <w:rFonts w:ascii="Times New Roman" w:hAnsi="Times New Roman"/>
          <w:b/>
          <w:sz w:val="24"/>
          <w:szCs w:val="24"/>
          <w:highlight w:val="none"/>
        </w:rPr>
      </w:r>
      <w:r>
        <w:rPr>
          <w:rFonts w:ascii="Times New Roman" w:hAnsi="Times New Roman"/>
          <w:b/>
          <w:sz w:val="24"/>
          <w:szCs w:val="24"/>
          <w:highlight w:val="none"/>
        </w:rPr>
      </w:r>
    </w:p>
    <w:p>
      <w:pPr>
        <w:ind w:firstLine="567"/>
        <w:jc w:val="right"/>
        <w:spacing w:after="0" w:line="240" w:lineRule="auto"/>
        <w:rPr>
          <w:rFonts w:ascii="Times New Roman" w:hAnsi="Times New Roman"/>
          <w:b/>
          <w:bCs/>
          <w:sz w:val="24"/>
          <w:szCs w:val="24"/>
          <w:highlight w:val="none"/>
        </w:rPr>
      </w:pPr>
      <w:r>
        <w:rPr>
          <w:rFonts w:ascii="Times New Roman" w:hAnsi="Times New Roman"/>
          <w:b/>
          <w:sz w:val="24"/>
          <w:szCs w:val="24"/>
          <w:highlight w:val="none"/>
        </w:rPr>
      </w:r>
      <w:r>
        <w:rPr>
          <w:rFonts w:ascii="Times New Roman" w:hAnsi="Times New Roman"/>
          <w:b/>
          <w:sz w:val="24"/>
          <w:szCs w:val="24"/>
          <w:highlight w:val="none"/>
        </w:rPr>
      </w:r>
    </w:p>
    <w:p>
      <w:pPr>
        <w:ind w:firstLine="567"/>
        <w:jc w:val="right"/>
        <w:spacing w:after="0" w:line="240" w:lineRule="auto"/>
        <w:rPr>
          <w:rFonts w:ascii="Times New Roman" w:hAnsi="Times New Roman"/>
          <w:b/>
          <w:bCs/>
          <w:sz w:val="24"/>
          <w:szCs w:val="24"/>
          <w:highlight w:val="none"/>
        </w:rPr>
      </w:pPr>
      <w:r>
        <w:rPr>
          <w:rFonts w:ascii="Times New Roman" w:hAnsi="Times New Roman"/>
          <w:b/>
          <w:sz w:val="24"/>
          <w:szCs w:val="24"/>
          <w:highlight w:val="none"/>
        </w:rPr>
      </w:r>
      <w:r>
        <w:rPr>
          <w:rFonts w:ascii="Times New Roman" w:hAnsi="Times New Roman"/>
          <w:b/>
          <w:sz w:val="24"/>
          <w:szCs w:val="24"/>
          <w:highlight w:val="none"/>
        </w:rPr>
      </w:r>
    </w:p>
    <w:p>
      <w:pPr>
        <w:ind w:firstLine="567"/>
        <w:jc w:val="right"/>
        <w:spacing w:after="0" w:line="240" w:lineRule="auto"/>
        <w:rPr>
          <w:rFonts w:ascii="Times New Roman" w:hAnsi="Times New Roman"/>
          <w:b/>
          <w:bCs/>
          <w:sz w:val="24"/>
          <w:szCs w:val="24"/>
          <w:highlight w:val="none"/>
        </w:rPr>
      </w:pPr>
      <w:r>
        <w:rPr>
          <w:rFonts w:ascii="Times New Roman" w:hAnsi="Times New Roman"/>
          <w:b/>
          <w:sz w:val="24"/>
          <w:szCs w:val="24"/>
          <w:highlight w:val="none"/>
        </w:rPr>
      </w:r>
      <w:r>
        <w:rPr>
          <w:rFonts w:ascii="Times New Roman" w:hAnsi="Times New Roman"/>
          <w:b/>
          <w:sz w:val="24"/>
          <w:szCs w:val="24"/>
          <w:highlight w:val="none"/>
        </w:rPr>
      </w:r>
    </w:p>
    <w:p>
      <w:pPr>
        <w:ind w:firstLine="567"/>
        <w:jc w:val="right"/>
        <w:spacing w:after="0" w:line="240" w:lineRule="auto"/>
        <w:rPr>
          <w:rFonts w:ascii="Times New Roman" w:hAnsi="Times New Roman"/>
          <w:b/>
          <w:bCs/>
          <w:sz w:val="24"/>
          <w:szCs w:val="24"/>
          <w:highlight w:val="none"/>
        </w:rPr>
      </w:pPr>
      <w:r>
        <w:rPr>
          <w:rFonts w:ascii="Times New Roman" w:hAnsi="Times New Roman"/>
          <w:b/>
          <w:sz w:val="24"/>
          <w:szCs w:val="24"/>
          <w:highlight w:val="none"/>
        </w:rPr>
      </w:r>
      <w:r>
        <w:rPr>
          <w:rFonts w:ascii="Times New Roman" w:hAnsi="Times New Roman"/>
          <w:b/>
          <w:sz w:val="24"/>
          <w:szCs w:val="24"/>
          <w:highlight w:val="none"/>
        </w:rPr>
      </w:r>
    </w:p>
    <w:p>
      <w:pPr>
        <w:ind w:firstLine="567"/>
        <w:jc w:val="right"/>
        <w:spacing w:after="0" w:line="240" w:lineRule="auto"/>
        <w:rPr>
          <w:rFonts w:ascii="Times New Roman" w:hAnsi="Times New Roman"/>
          <w:b/>
          <w:bCs/>
          <w:sz w:val="24"/>
          <w:szCs w:val="24"/>
          <w:highlight w:val="none"/>
        </w:rPr>
      </w:pPr>
      <w:r>
        <w:rPr>
          <w:rFonts w:ascii="Times New Roman" w:hAnsi="Times New Roman"/>
          <w:b/>
          <w:sz w:val="24"/>
          <w:szCs w:val="24"/>
          <w:highlight w:val="none"/>
        </w:rPr>
      </w:r>
      <w:r>
        <w:rPr>
          <w:rFonts w:ascii="Times New Roman" w:hAnsi="Times New Roman"/>
          <w:b/>
          <w:sz w:val="24"/>
          <w:szCs w:val="24"/>
          <w:highlight w:val="none"/>
        </w:rPr>
      </w:r>
    </w:p>
    <w:p>
      <w:pPr>
        <w:ind w:firstLine="567"/>
        <w:jc w:val="right"/>
        <w:spacing w:after="0" w:line="240" w:lineRule="auto"/>
        <w:rPr>
          <w:rFonts w:ascii="Times New Roman" w:hAnsi="Times New Roman"/>
          <w:b/>
          <w:bCs/>
          <w:sz w:val="24"/>
          <w:szCs w:val="24"/>
          <w:highlight w:val="none"/>
        </w:rPr>
      </w:pPr>
      <w:r>
        <w:rPr>
          <w:rFonts w:ascii="Times New Roman" w:hAnsi="Times New Roman"/>
          <w:b/>
          <w:sz w:val="24"/>
          <w:szCs w:val="24"/>
          <w:highlight w:val="none"/>
        </w:rPr>
      </w:r>
      <w:r>
        <w:rPr>
          <w:rFonts w:ascii="Times New Roman" w:hAnsi="Times New Roman"/>
          <w:b/>
          <w:sz w:val="24"/>
          <w:szCs w:val="24"/>
          <w:highlight w:val="none"/>
        </w:rPr>
      </w:r>
    </w:p>
    <w:p>
      <w:pPr>
        <w:ind w:firstLine="567"/>
        <w:jc w:val="right"/>
        <w:spacing w:after="0" w:line="240" w:lineRule="auto"/>
        <w:rPr>
          <w:rFonts w:ascii="Times New Roman" w:hAnsi="Times New Roman"/>
          <w:b/>
          <w:bCs/>
          <w:sz w:val="24"/>
          <w:szCs w:val="24"/>
          <w:highlight w:val="none"/>
        </w:rPr>
      </w:pPr>
      <w:r>
        <w:rPr>
          <w:rFonts w:ascii="Times New Roman" w:hAnsi="Times New Roman"/>
          <w:b/>
          <w:sz w:val="24"/>
          <w:szCs w:val="24"/>
        </w:rPr>
        <w:t xml:space="preserve">Рисунок 1.4. Структура обращений граждан за 2025 г. </w:t>
      </w:r>
      <w:r>
        <w:rPr>
          <w:rFonts w:ascii="Times New Roman" w:hAnsi="Times New Roman"/>
          <w:b/>
          <w:sz w:val="24"/>
          <w:szCs w:val="24"/>
        </w:rPr>
      </w:r>
      <w:r>
        <w:rPr>
          <w:rFonts w:ascii="Times New Roman" w:hAnsi="Times New Roman"/>
          <w:b/>
          <w:bCs/>
          <w:sz w:val="24"/>
          <w:szCs w:val="24"/>
          <w:highlight w:val="none"/>
        </w:rPr>
      </w:r>
    </w:p>
    <w:p>
      <w:pPr>
        <w:ind w:firstLine="567"/>
        <w:jc w:val="right"/>
        <w:spacing w:after="0" w:line="240" w:lineRule="auto"/>
        <w:rPr>
          <w:rFonts w:ascii="Times New Roman" w:hAnsi="Times New Roman"/>
          <w:b/>
          <w:sz w:val="24"/>
          <w:szCs w:val="24"/>
        </w:rPr>
      </w:pPr>
      <w:r>
        <w:rPr>
          <w:rFonts w:ascii="Times New Roman" w:hAnsi="Times New Roman"/>
          <w:b/>
          <w:sz w:val="24"/>
          <w:szCs w:val="24"/>
        </w:rPr>
        <w:t xml:space="preserve">по способу (каналу) получения обращения</w:t>
      </w:r>
      <w:r>
        <w:rPr>
          <w:rFonts w:ascii="Times New Roman" w:hAnsi="Times New Roman"/>
          <w:b/>
          <w:sz w:val="24"/>
          <w:szCs w:val="24"/>
        </w:rPr>
      </w:r>
      <w:r>
        <w:rPr>
          <w:rFonts w:ascii="Times New Roman" w:hAnsi="Times New Roman"/>
          <w:b/>
          <w:sz w:val="24"/>
          <w:szCs w:val="24"/>
        </w:rPr>
      </w:r>
    </w:p>
    <w:p>
      <w:pPr>
        <w:rPr>
          <w:lang w:eastAsia="ru-RU"/>
        </w:rPr>
      </w:pPr>
      <w:r>
        <w:rPr>
          <w:lang w:eastAsia="ru-RU"/>
        </w:rPr>
        <w:drawing>
          <wp:inline distT="0" distB="0" distL="0" distR="0">
            <wp:extent cx="6086475" cy="3009900"/>
            <wp:effectExtent l="0" t="0" r="0" b="0"/>
            <wp:docPr id="15"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r>
        <w:rPr>
          <w:lang w:eastAsia="ru-RU"/>
        </w:rPr>
      </w:r>
      <w:r>
        <w:rPr>
          <w:lang w:eastAsia="ru-RU"/>
        </w:rPr>
      </w:r>
      <w:r>
        <w:rPr>
          <w:rFonts w:ascii="Times New Roman" w:hAnsi="Times New Roman"/>
          <w:b/>
          <w:sz w:val="24"/>
          <w:szCs w:val="24"/>
          <w:highlight w:val="none"/>
        </w:rPr>
      </w:r>
      <w:r>
        <w:rPr>
          <w:rFonts w:ascii="Times New Roman" w:hAnsi="Times New Roman"/>
          <w:b/>
          <w:bCs/>
          <w:sz w:val="24"/>
          <w:szCs w:val="24"/>
          <w:highlight w:val="none"/>
        </w:rPr>
      </w:r>
      <w:r>
        <w:rPr>
          <w:rFonts w:ascii="Times New Roman" w:hAnsi="Times New Roman"/>
          <w:b/>
          <w:bCs/>
          <w:sz w:val="24"/>
          <w:szCs w:val="24"/>
          <w:highlight w:val="none"/>
        </w:rPr>
      </w:r>
      <w:r>
        <w:rPr>
          <w:lang w:eastAsia="ru-RU"/>
        </w:rPr>
      </w:r>
      <w:r>
        <w:rPr>
          <w:rFonts w:ascii="Times New Roman" w:hAnsi="Times New Roman"/>
          <w:b/>
          <w:sz w:val="24"/>
          <w:szCs w:val="24"/>
          <w:highlight w:val="none"/>
        </w:rPr>
      </w:r>
      <w:r>
        <w:rPr>
          <w:rFonts w:ascii="Times New Roman" w:hAnsi="Times New Roman"/>
          <w:b/>
          <w:bCs/>
          <w:sz w:val="24"/>
          <w:szCs w:val="24"/>
          <w:highlight w:val="none"/>
        </w:rPr>
      </w:r>
      <w:r>
        <w:rPr>
          <w:rFonts w:ascii="Times New Roman" w:hAnsi="Times New Roman"/>
          <w:b/>
          <w:bCs/>
          <w:sz w:val="24"/>
          <w:szCs w:val="24"/>
          <w:highlight w:val="none"/>
        </w:rPr>
      </w:r>
      <w:r>
        <w:rPr>
          <w:lang w:eastAsia="ru-RU"/>
        </w:rPr>
      </w:r>
    </w:p>
    <w:p>
      <w:pPr>
        <w:ind w:firstLine="708"/>
        <w:jc w:val="right"/>
        <w:spacing w:after="0" w:line="240" w:lineRule="auto"/>
        <w:rPr>
          <w:rFonts w:ascii="Times New Roman" w:hAnsi="Times New Roman"/>
          <w:b/>
          <w:bCs/>
          <w:sz w:val="24"/>
          <w:szCs w:val="24"/>
          <w:highlight w:val="none"/>
        </w:rPr>
      </w:pPr>
      <w:r>
        <w:rPr>
          <w:rFonts w:ascii="Times New Roman" w:hAnsi="Times New Roman"/>
          <w:b/>
          <w:sz w:val="24"/>
          <w:szCs w:val="24"/>
          <w:highlight w:val="none"/>
        </w:rPr>
      </w:r>
      <w:r>
        <w:rPr>
          <w:rFonts w:ascii="Times New Roman" w:hAnsi="Times New Roman"/>
          <w:b/>
          <w:bCs/>
          <w:sz w:val="24"/>
          <w:szCs w:val="24"/>
          <w:highlight w:val="none"/>
        </w:rPr>
      </w:r>
      <w:r>
        <w:rPr>
          <w:rFonts w:ascii="Times New Roman" w:hAnsi="Times New Roman"/>
          <w:b/>
          <w:bCs/>
          <w:sz w:val="24"/>
          <w:szCs w:val="24"/>
          <w:highlight w:val="none"/>
        </w:rPr>
      </w:r>
    </w:p>
    <w:p>
      <w:pPr>
        <w:ind w:firstLine="708"/>
        <w:jc w:val="right"/>
        <w:spacing w:after="0" w:line="240" w:lineRule="auto"/>
        <w:rPr>
          <w:rFonts w:ascii="Times New Roman" w:hAnsi="Times New Roman"/>
          <w:b/>
          <w:bCs/>
          <w:sz w:val="24"/>
          <w:szCs w:val="24"/>
          <w:highlight w:val="none"/>
        </w:rPr>
      </w:pPr>
      <w:r>
        <w:rPr>
          <w:rFonts w:ascii="Times New Roman" w:hAnsi="Times New Roman"/>
          <w:b/>
          <w:sz w:val="24"/>
          <w:szCs w:val="24"/>
        </w:rPr>
        <w:t xml:space="preserve">Рисунок 1.5. Структура письменных обращений граждан за 2025 г.</w:t>
      </w:r>
      <w:r>
        <w:rPr>
          <w:rFonts w:ascii="Times New Roman" w:hAnsi="Times New Roman"/>
          <w:b/>
          <w:bCs/>
          <w:sz w:val="24"/>
          <w:szCs w:val="24"/>
          <w:highlight w:val="none"/>
        </w:rPr>
      </w:r>
      <w:r>
        <w:rPr>
          <w:rFonts w:ascii="Times New Roman" w:hAnsi="Times New Roman"/>
          <w:b/>
          <w:bCs/>
          <w:sz w:val="24"/>
          <w:szCs w:val="24"/>
          <w:highlight w:val="none"/>
        </w:rPr>
      </w:r>
    </w:p>
    <w:p>
      <w:pPr>
        <w:jc w:val="right"/>
        <w:spacing w:after="0"/>
        <w:rPr>
          <w:rFonts w:ascii="Times New Roman" w:hAnsi="Times New Roman"/>
          <w:b/>
          <w:sz w:val="24"/>
          <w:szCs w:val="24"/>
        </w:rPr>
      </w:pPr>
      <w:r>
        <w:rPr>
          <w:rFonts w:ascii="Times New Roman" w:hAnsi="Times New Roman"/>
          <w:b/>
          <w:sz w:val="24"/>
          <w:szCs w:val="24"/>
        </w:rPr>
        <w:t xml:space="preserve"> в разрезе тематики обращения </w:t>
      </w:r>
      <w:r>
        <w:rPr>
          <w:rFonts w:ascii="Times New Roman" w:hAnsi="Times New Roman"/>
          <w:b/>
          <w:sz w:val="24"/>
          <w:szCs w:val="24"/>
        </w:rPr>
      </w:r>
      <w:r>
        <w:rPr>
          <w:rFonts w:ascii="Times New Roman" w:hAnsi="Times New Roman"/>
          <w:b/>
          <w:sz w:val="24"/>
          <w:szCs w:val="24"/>
        </w:rPr>
      </w:r>
    </w:p>
    <w:p>
      <w:pPr>
        <w:jc w:val="right"/>
        <w:spacing w:after="0"/>
        <w:rPr>
          <w:rFonts w:ascii="Times New Roman" w:hAnsi="Times New Roman"/>
          <w:b/>
          <w:sz w:val="24"/>
          <w:szCs w:val="24"/>
        </w:rPr>
      </w:pPr>
      <w:r>
        <w:rPr>
          <w:rFonts w:ascii="Times New Roman" w:hAnsi="Times New Roman"/>
          <w:b/>
          <w:sz w:val="24"/>
          <w:szCs w:val="24"/>
          <w:lang w:eastAsia="ru-RU"/>
        </w:rPr>
        <w:drawing>
          <wp:inline distT="0" distB="0" distL="0" distR="0">
            <wp:extent cx="5753100" cy="3780345"/>
            <wp:effectExtent l="4762" t="4762" r="4762" b="4762"/>
            <wp:docPr id="16" name="Диаграмма 4"/>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r>
        <w:rPr>
          <w:rFonts w:ascii="Times New Roman" w:hAnsi="Times New Roman"/>
          <w:b/>
          <w:sz w:val="24"/>
          <w:szCs w:val="24"/>
        </w:rPr>
      </w:r>
      <w:r>
        <w:rPr>
          <w:rFonts w:ascii="Times New Roman" w:hAnsi="Times New Roman"/>
          <w:b/>
          <w:sz w:val="24"/>
          <w:szCs w:val="24"/>
        </w:rPr>
      </w:r>
    </w:p>
    <w:p>
      <w:pPr>
        <w:ind w:firstLine="708"/>
        <w:jc w:val="right"/>
        <w:spacing w:after="0" w:line="240" w:lineRule="auto"/>
        <w:rPr>
          <w:rFonts w:ascii="Times New Roman" w:hAnsi="Times New Roman"/>
          <w:b/>
          <w:bCs/>
          <w:i/>
          <w:sz w:val="24"/>
          <w:szCs w:val="24"/>
        </w:rPr>
      </w:pPr>
      <w:r>
        <w:rPr>
          <w:rFonts w:ascii="Times New Roman" w:hAnsi="Times New Roman"/>
          <w:b/>
          <w:sz w:val="24"/>
          <w:szCs w:val="24"/>
          <w:highlight w:val="none"/>
        </w:rPr>
      </w:r>
      <w:r>
        <w:rPr>
          <w:rFonts w:ascii="Times New Roman" w:hAnsi="Times New Roman"/>
          <w:b/>
          <w:sz w:val="24"/>
          <w:szCs w:val="24"/>
          <w:highlight w:val="none"/>
        </w:rPr>
      </w:r>
    </w:p>
    <w:p>
      <w:pPr>
        <w:ind w:firstLine="708"/>
        <w:jc w:val="right"/>
        <w:spacing w:after="0" w:line="240" w:lineRule="auto"/>
        <w:rPr>
          <w:rFonts w:ascii="Times New Roman" w:hAnsi="Times New Roman"/>
          <w:b/>
          <w:bCs/>
          <w:sz w:val="24"/>
          <w:szCs w:val="24"/>
          <w:highlight w:val="none"/>
        </w:rPr>
      </w:pPr>
      <w:r>
        <w:rPr>
          <w:rFonts w:ascii="Times New Roman" w:hAnsi="Times New Roman"/>
          <w:b/>
          <w:sz w:val="24"/>
          <w:szCs w:val="24"/>
          <w:highlight w:val="none"/>
        </w:rPr>
      </w:r>
      <w:r>
        <w:rPr>
          <w:rFonts w:ascii="Times New Roman" w:hAnsi="Times New Roman"/>
          <w:b/>
          <w:sz w:val="24"/>
          <w:szCs w:val="24"/>
          <w:highlight w:val="none"/>
        </w:rPr>
      </w:r>
    </w:p>
    <w:p>
      <w:pPr>
        <w:ind w:firstLine="708"/>
        <w:jc w:val="right"/>
        <w:spacing w:after="0" w:line="240" w:lineRule="auto"/>
        <w:rPr>
          <w:rFonts w:ascii="Times New Roman" w:hAnsi="Times New Roman"/>
          <w:b/>
          <w:bCs/>
          <w:sz w:val="24"/>
          <w:szCs w:val="24"/>
          <w:highlight w:val="none"/>
        </w:rPr>
      </w:pPr>
      <w:r>
        <w:rPr>
          <w:rFonts w:ascii="Times New Roman" w:hAnsi="Times New Roman"/>
          <w:b/>
          <w:sz w:val="24"/>
          <w:szCs w:val="24"/>
          <w:highlight w:val="none"/>
        </w:rPr>
      </w:r>
      <w:r>
        <w:rPr>
          <w:rFonts w:ascii="Times New Roman" w:hAnsi="Times New Roman"/>
          <w:b/>
          <w:sz w:val="24"/>
          <w:szCs w:val="24"/>
          <w:highlight w:val="none"/>
        </w:rPr>
      </w:r>
    </w:p>
    <w:p>
      <w:pPr>
        <w:ind w:firstLine="708"/>
        <w:jc w:val="right"/>
        <w:spacing w:after="0" w:line="240" w:lineRule="auto"/>
        <w:rPr>
          <w:rFonts w:ascii="Times New Roman" w:hAnsi="Times New Roman"/>
          <w:b/>
          <w:bCs/>
          <w:sz w:val="24"/>
          <w:szCs w:val="24"/>
          <w:highlight w:val="none"/>
        </w:rPr>
      </w:pPr>
      <w:r>
        <w:rPr>
          <w:rFonts w:ascii="Times New Roman" w:hAnsi="Times New Roman"/>
          <w:b/>
          <w:sz w:val="24"/>
          <w:szCs w:val="24"/>
          <w:highlight w:val="none"/>
        </w:rPr>
      </w:r>
      <w:r>
        <w:rPr>
          <w:rFonts w:ascii="Times New Roman" w:hAnsi="Times New Roman"/>
          <w:b/>
          <w:sz w:val="24"/>
          <w:szCs w:val="24"/>
          <w:highlight w:val="none"/>
        </w:rPr>
      </w:r>
    </w:p>
    <w:p>
      <w:pPr>
        <w:ind w:firstLine="708"/>
        <w:jc w:val="right"/>
        <w:spacing w:after="0" w:line="240" w:lineRule="auto"/>
        <w:rPr>
          <w:rFonts w:ascii="Times New Roman" w:hAnsi="Times New Roman"/>
          <w:b/>
          <w:bCs/>
          <w:sz w:val="24"/>
          <w:szCs w:val="24"/>
          <w:highlight w:val="none"/>
        </w:rPr>
      </w:pPr>
      <w:r>
        <w:rPr>
          <w:rFonts w:ascii="Times New Roman" w:hAnsi="Times New Roman"/>
          <w:b/>
          <w:sz w:val="24"/>
          <w:szCs w:val="24"/>
          <w:highlight w:val="none"/>
        </w:rPr>
      </w:r>
      <w:r>
        <w:rPr>
          <w:rFonts w:ascii="Times New Roman" w:hAnsi="Times New Roman"/>
          <w:b/>
          <w:sz w:val="24"/>
          <w:szCs w:val="24"/>
          <w:highlight w:val="none"/>
        </w:rPr>
      </w:r>
    </w:p>
    <w:p>
      <w:pPr>
        <w:ind w:firstLine="708"/>
        <w:jc w:val="right"/>
        <w:spacing w:after="0" w:line="240" w:lineRule="auto"/>
        <w:rPr>
          <w:rFonts w:ascii="Times New Roman" w:hAnsi="Times New Roman"/>
          <w:b/>
          <w:bCs/>
          <w:sz w:val="24"/>
          <w:szCs w:val="24"/>
          <w:highlight w:val="none"/>
        </w:rPr>
      </w:pPr>
      <w:r>
        <w:rPr>
          <w:rFonts w:ascii="Times New Roman" w:hAnsi="Times New Roman"/>
          <w:b/>
          <w:sz w:val="24"/>
          <w:szCs w:val="24"/>
          <w:highlight w:val="none"/>
        </w:rPr>
      </w:r>
      <w:r>
        <w:rPr>
          <w:rFonts w:ascii="Times New Roman" w:hAnsi="Times New Roman"/>
          <w:b/>
          <w:sz w:val="24"/>
          <w:szCs w:val="24"/>
          <w:highlight w:val="none"/>
        </w:rPr>
      </w:r>
    </w:p>
    <w:p>
      <w:pPr>
        <w:ind w:firstLine="708"/>
        <w:jc w:val="right"/>
        <w:spacing w:after="0" w:line="240" w:lineRule="auto"/>
        <w:rPr>
          <w:rFonts w:ascii="Times New Roman" w:hAnsi="Times New Roman"/>
          <w:b/>
          <w:bCs/>
          <w:sz w:val="24"/>
          <w:szCs w:val="24"/>
          <w:highlight w:val="none"/>
        </w:rPr>
      </w:pPr>
      <w:r>
        <w:rPr>
          <w:rFonts w:ascii="Times New Roman" w:hAnsi="Times New Roman"/>
          <w:b/>
          <w:sz w:val="24"/>
          <w:szCs w:val="24"/>
          <w:highlight w:val="none"/>
        </w:rPr>
      </w:r>
      <w:r>
        <w:rPr>
          <w:rFonts w:ascii="Times New Roman" w:hAnsi="Times New Roman"/>
          <w:b/>
          <w:sz w:val="24"/>
          <w:szCs w:val="24"/>
          <w:highlight w:val="none"/>
        </w:rPr>
      </w:r>
    </w:p>
    <w:p>
      <w:pPr>
        <w:ind w:firstLine="708"/>
        <w:jc w:val="right"/>
        <w:spacing w:after="0" w:line="240" w:lineRule="auto"/>
        <w:rPr>
          <w:rFonts w:ascii="Times New Roman" w:hAnsi="Times New Roman"/>
          <w:b/>
          <w:bCs/>
          <w:sz w:val="24"/>
          <w:szCs w:val="24"/>
          <w:highlight w:val="none"/>
        </w:rPr>
      </w:pPr>
      <w:r>
        <w:rPr>
          <w:rFonts w:ascii="Times New Roman" w:hAnsi="Times New Roman"/>
          <w:b/>
          <w:sz w:val="24"/>
          <w:szCs w:val="24"/>
        </w:rPr>
        <w:t xml:space="preserve">Рисунок 1.6. Структура устных обращений граждан за 2025 г.</w:t>
      </w:r>
      <w:r>
        <w:rPr>
          <w:rFonts w:ascii="Times New Roman" w:hAnsi="Times New Roman"/>
          <w:b/>
          <w:i/>
          <w:sz w:val="24"/>
          <w:szCs w:val="24"/>
        </w:rPr>
      </w:r>
      <w:r>
        <w:rPr>
          <w:rFonts w:ascii="Times New Roman" w:hAnsi="Times New Roman"/>
          <w:b/>
          <w:bCs/>
          <w:sz w:val="24"/>
          <w:szCs w:val="24"/>
          <w:highlight w:val="none"/>
        </w:rPr>
      </w:r>
    </w:p>
    <w:p>
      <w:pPr>
        <w:jc w:val="right"/>
        <w:spacing w:after="0"/>
        <w:rPr>
          <w:rFonts w:ascii="Times New Roman" w:hAnsi="Times New Roman"/>
          <w:b/>
          <w:sz w:val="24"/>
          <w:szCs w:val="24"/>
        </w:rPr>
      </w:pPr>
      <w:r>
        <w:rPr>
          <w:rFonts w:ascii="Times New Roman" w:hAnsi="Times New Roman"/>
          <w:b/>
          <w:sz w:val="24"/>
          <w:szCs w:val="24"/>
        </w:rPr>
        <w:t xml:space="preserve"> в разрезе тематики обращения </w:t>
      </w:r>
      <w:r>
        <w:rPr>
          <w:rFonts w:ascii="Times New Roman" w:hAnsi="Times New Roman"/>
          <w:b/>
          <w:sz w:val="24"/>
          <w:szCs w:val="24"/>
        </w:rPr>
      </w:r>
      <w:r>
        <w:rPr>
          <w:rFonts w:ascii="Times New Roman" w:hAnsi="Times New Roman"/>
          <w:b/>
          <w:sz w:val="24"/>
          <w:szCs w:val="24"/>
        </w:rPr>
      </w:r>
    </w:p>
    <w:p>
      <w:r>
        <w:rPr>
          <w:lang w:eastAsia="ru-RU"/>
        </w:rPr>
        <w:drawing>
          <wp:inline distT="0" distB="0" distL="0" distR="0">
            <wp:extent cx="5632110" cy="3567112"/>
            <wp:effectExtent l="4762" t="4762" r="4762" b="4762"/>
            <wp:docPr id="17" name="Диаграмма 6"/>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r/>
    </w:p>
    <w:p>
      <w:pPr>
        <w:ind w:firstLine="567"/>
        <w:jc w:val="both"/>
        <w:spacing w:after="0"/>
        <w:rPr>
          <w:rFonts w:ascii="Times New Roman" w:hAnsi="Times New Roman"/>
          <w:sz w:val="28"/>
          <w:szCs w:val="28"/>
        </w:rPr>
      </w:pPr>
      <w:r>
        <w:rPr>
          <w:rFonts w:ascii="Times New Roman" w:hAnsi="Times New Roman"/>
          <w:sz w:val="28"/>
          <w:szCs w:val="28"/>
        </w:rPr>
        <w:t xml:space="preserve">Анализируя социальный статус граждан, письменно обратившихся в 20</w:t>
      </w:r>
      <w:r>
        <w:rPr>
          <w:rFonts w:ascii="Times New Roman" w:hAnsi="Times New Roman"/>
          <w:sz w:val="28"/>
          <w:szCs w:val="28"/>
        </w:rPr>
        <w:t xml:space="preserve">25 г. к Уполномоченному и сотрудникам аппарата за помощью в </w:t>
      </w:r>
      <w:r>
        <w:rPr>
          <w:rFonts w:ascii="Times New Roman" w:hAnsi="Times New Roman"/>
          <w:sz w:val="28"/>
          <w:szCs w:val="28"/>
        </w:rPr>
        <w:t xml:space="preserve">восстановлении нарушенных прав, правовой поддержкой, необходимостью психологического сопровождения, получением квалифицированной бесплатной юридической помощи следует отметить, что наибольшее количество письменных обращений поступило в отчетном периоде от </w:t>
      </w:r>
      <w:r>
        <w:rPr>
          <w:rFonts w:ascii="Times New Roman" w:hAnsi="Times New Roman"/>
          <w:sz w:val="28"/>
          <w:szCs w:val="28"/>
        </w:rPr>
        <w:t xml:space="preserve">военнослужащих и членов их семей – 225 ед. (32 %). </w:t>
      </w:r>
      <w:r>
        <w:rPr>
          <w:rFonts w:ascii="Times New Roman" w:hAnsi="Times New Roman"/>
          <w:sz w:val="28"/>
          <w:szCs w:val="28"/>
        </w:rPr>
        <w:t xml:space="preserve">Постоянно высоким среди обратившихся остается уровень работающего населения – 201 обращений (28 %).</w:t>
      </w:r>
      <w:r>
        <w:rPr>
          <w:rFonts w:ascii="Times New Roman" w:hAnsi="Times New Roman"/>
          <w:sz w:val="28"/>
          <w:szCs w:val="28"/>
        </w:rPr>
        <w:t xml:space="preserve"> Намечено небольшое снижение в получении корреспонденции от осужденных, обвиняемых и подозреваемых, их родственников – 56 обращений (8 %). Вдвое снизилос</w:t>
      </w:r>
      <w:r>
        <w:rPr>
          <w:rFonts w:ascii="Times New Roman" w:hAnsi="Times New Roman"/>
          <w:sz w:val="28"/>
          <w:szCs w:val="28"/>
        </w:rPr>
        <w:t xml:space="preserve">ь количество обращений от пенсионеров и ветеранов труда - 23 ед. (3%). Количество коллективных жалоб составляет 13 ед. (1,9%), которые подписали 712 человек в общей сложности. Анализ структуры заявителей по социальным категориям представлен на рисунке 1.7.</w:t>
      </w:r>
      <w:r>
        <w:rPr>
          <w:rFonts w:ascii="Times New Roman" w:hAnsi="Times New Roman"/>
          <w:sz w:val="28"/>
          <w:szCs w:val="28"/>
        </w:rPr>
      </w:r>
      <w:r>
        <w:rPr>
          <w:rFonts w:ascii="Times New Roman" w:hAnsi="Times New Roman"/>
          <w:sz w:val="28"/>
          <w:szCs w:val="28"/>
        </w:rPr>
      </w:r>
    </w:p>
    <w:p>
      <w:pPr>
        <w:ind w:firstLine="567"/>
        <w:jc w:val="both"/>
        <w:spacing w:after="0"/>
        <w:rPr>
          <w:rFonts w:ascii="Times New Roman" w:hAnsi="Times New Roman"/>
          <w:sz w:val="28"/>
          <w:szCs w:val="28"/>
        </w:rPr>
      </w:pPr>
      <w:r>
        <w:rPr>
          <w:rFonts w:ascii="Times New Roman" w:hAnsi="Times New Roman"/>
          <w:sz w:val="28"/>
          <w:szCs w:val="28"/>
        </w:rPr>
      </w:r>
      <w:r>
        <w:rPr>
          <w:rFonts w:ascii="Times New Roman" w:hAnsi="Times New Roman"/>
          <w:sz w:val="28"/>
          <w:szCs w:val="28"/>
        </w:rPr>
      </w:r>
      <w:r>
        <w:rPr>
          <w:rFonts w:ascii="Times New Roman" w:hAnsi="Times New Roman"/>
          <w:sz w:val="28"/>
          <w:szCs w:val="28"/>
        </w:rPr>
      </w:r>
    </w:p>
    <w:p>
      <w:pPr>
        <w:jc w:val="right"/>
        <w:rPr>
          <w:rFonts w:ascii="Times New Roman" w:hAnsi="Times New Roman"/>
          <w:b/>
          <w:sz w:val="24"/>
          <w:szCs w:val="24"/>
        </w:rPr>
      </w:pPr>
      <w:r>
        <w:rPr>
          <w:rFonts w:ascii="Times New Roman" w:hAnsi="Times New Roman"/>
          <w:b/>
          <w:sz w:val="24"/>
          <w:szCs w:val="24"/>
        </w:rPr>
        <w:t xml:space="preserve">Рисунок 1.7. Структура заявителей по социальным категориям</w:t>
      </w:r>
      <w:r>
        <w:rPr>
          <w:lang w:eastAsia="ru-RU"/>
        </w:rPr>
        <w:drawing>
          <wp:inline distT="0" distB="0" distL="0" distR="0">
            <wp:extent cx="5953125" cy="3152775"/>
            <wp:effectExtent l="0" t="0" r="0" b="0"/>
            <wp:docPr id="18"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r>
        <w:rPr>
          <w:rFonts w:ascii="Times New Roman" w:hAnsi="Times New Roman"/>
          <w:b/>
          <w:sz w:val="24"/>
          <w:szCs w:val="24"/>
        </w:rPr>
      </w:r>
      <w:r>
        <w:rPr>
          <w:rFonts w:ascii="Times New Roman" w:hAnsi="Times New Roman"/>
          <w:b/>
          <w:sz w:val="24"/>
          <w:szCs w:val="24"/>
        </w:rPr>
      </w:r>
    </w:p>
    <w:p>
      <w:pPr>
        <w:jc w:val="both"/>
        <w:rPr>
          <w:rFonts w:ascii="Times New Roman" w:hAnsi="Times New Roman"/>
          <w:sz w:val="28"/>
          <w:szCs w:val="28"/>
          <w:highlight w:val="none"/>
        </w:rPr>
      </w:pPr>
      <w:r>
        <w:rPr>
          <w:rFonts w:ascii="Times New Roman" w:hAnsi="Times New Roman"/>
          <w:sz w:val="28"/>
          <w:szCs w:val="28"/>
        </w:rPr>
        <w:tab/>
        <w:t xml:space="preserve">На следующем рисунке представлены показатели по количеству письменных обращений граждан на действия или бездействие органов власти и организаций в 2025 г.</w:t>
      </w:r>
      <w:r>
        <w:rPr>
          <w:rFonts w:ascii="Times New Roman" w:hAnsi="Times New Roman"/>
          <w:sz w:val="28"/>
          <w:szCs w:val="28"/>
          <w:highlight w:val="none"/>
        </w:rPr>
      </w:r>
      <w:r>
        <w:rPr>
          <w:rFonts w:ascii="Times New Roman" w:hAnsi="Times New Roman"/>
          <w:sz w:val="28"/>
          <w:szCs w:val="28"/>
          <w:highlight w:val="none"/>
        </w:rPr>
      </w:r>
      <w:r>
        <w:rPr>
          <w:rFonts w:ascii="Times New Roman" w:hAnsi="Times New Roman"/>
          <w:sz w:val="28"/>
          <w:szCs w:val="28"/>
        </w:rPr>
      </w:r>
      <w:r>
        <w:rPr>
          <w:rFonts w:ascii="Times New Roman" w:hAnsi="Times New Roman"/>
          <w:sz w:val="28"/>
          <w:szCs w:val="28"/>
        </w:rPr>
      </w:r>
      <w:r>
        <w:rPr>
          <w:rFonts w:ascii="Times New Roman" w:hAnsi="Times New Roman"/>
          <w:sz w:val="28"/>
          <w:szCs w:val="28"/>
        </w:rPr>
      </w:r>
      <w:r>
        <w:rPr>
          <w:rFonts w:ascii="Times New Roman" w:hAnsi="Times New Roman"/>
          <w:sz w:val="28"/>
          <w:szCs w:val="28"/>
          <w:highlight w:val="none"/>
        </w:rPr>
      </w:r>
      <w:r>
        <w:rPr>
          <w:rFonts w:ascii="Times New Roman" w:hAnsi="Times New Roman"/>
          <w:sz w:val="28"/>
          <w:szCs w:val="28"/>
          <w:highlight w:val="none"/>
        </w:rPr>
      </w:r>
      <w:r>
        <w:rPr>
          <w:rFonts w:ascii="Times New Roman" w:hAnsi="Times New Roman"/>
          <w:sz w:val="28"/>
          <w:szCs w:val="28"/>
        </w:rPr>
      </w:r>
      <w:r>
        <w:rPr>
          <w:rFonts w:ascii="Times New Roman" w:hAnsi="Times New Roman"/>
          <w:sz w:val="28"/>
          <w:szCs w:val="28"/>
        </w:rPr>
      </w:r>
      <w:r>
        <w:rPr>
          <w:rFonts w:ascii="Times New Roman" w:hAnsi="Times New Roman"/>
          <w:sz w:val="28"/>
          <w:szCs w:val="28"/>
          <w:highlight w:val="none"/>
        </w:rPr>
      </w:r>
    </w:p>
    <w:p>
      <w:pPr>
        <w:jc w:val="right"/>
        <w:spacing w:after="0"/>
        <w:rPr>
          <w:rFonts w:ascii="Times New Roman" w:hAnsi="Times New Roman"/>
          <w:b/>
          <w:sz w:val="24"/>
          <w:szCs w:val="24"/>
        </w:rPr>
      </w:pPr>
      <w:r>
        <w:rPr>
          <w:rFonts w:ascii="Times New Roman" w:hAnsi="Times New Roman"/>
          <w:b/>
          <w:sz w:val="24"/>
          <w:szCs w:val="24"/>
        </w:rPr>
        <w:t xml:space="preserve">Рисунок 1.8. Распределение обращений граждан на действие/бездействие органов власти и организаций</w:t>
      </w:r>
      <w:r>
        <w:rPr>
          <w:rFonts w:ascii="Times New Roman" w:hAnsi="Times New Roman"/>
          <w:b/>
          <w:sz w:val="24"/>
          <w:szCs w:val="24"/>
        </w:rPr>
      </w:r>
      <w:r>
        <w:rPr>
          <w:rFonts w:ascii="Times New Roman" w:hAnsi="Times New Roman"/>
          <w:b/>
          <w:sz w:val="24"/>
          <w:szCs w:val="24"/>
        </w:rPr>
      </w:r>
    </w:p>
    <w:p>
      <w:pPr>
        <w:jc w:val="right"/>
        <w:spacing w:after="0"/>
        <w:rPr>
          <w:rFonts w:ascii="Times New Roman" w:hAnsi="Times New Roman"/>
          <w:b/>
          <w:sz w:val="24"/>
          <w:szCs w:val="24"/>
        </w:rPr>
      </w:pPr>
      <w:r>
        <w:rPr>
          <w:rFonts w:ascii="Times New Roman" w:hAnsi="Times New Roman"/>
          <w:b/>
          <w:sz w:val="24"/>
          <w:szCs w:val="24"/>
          <w:lang w:eastAsia="ru-RU"/>
        </w:rPr>
        <w:drawing>
          <wp:inline distT="0" distB="0" distL="0" distR="0">
            <wp:extent cx="5674972" cy="2461672"/>
            <wp:effectExtent l="4762" t="4762" r="4762" b="4762"/>
            <wp:docPr id="19"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r>
        <w:rPr>
          <w:rFonts w:ascii="Times New Roman" w:hAnsi="Times New Roman"/>
          <w:b/>
          <w:sz w:val="24"/>
          <w:szCs w:val="24"/>
        </w:rPr>
      </w:r>
      <w:r>
        <w:rPr>
          <w:rFonts w:ascii="Times New Roman" w:hAnsi="Times New Roman"/>
          <w:b/>
          <w:sz w:val="24"/>
          <w:szCs w:val="24"/>
        </w:rPr>
      </w:r>
    </w:p>
    <w:p>
      <w:pPr>
        <w:ind w:firstLine="709"/>
        <w:jc w:val="both"/>
        <w:spacing w:after="0"/>
        <w:rPr>
          <w:rFonts w:ascii="Times New Roman" w:hAnsi="Times New Roman"/>
          <w:sz w:val="28"/>
          <w:szCs w:val="28"/>
        </w:rPr>
      </w:pPr>
      <w:r>
        <w:rPr>
          <w:rFonts w:ascii="Times New Roman" w:hAnsi="Times New Roman"/>
          <w:sz w:val="28"/>
          <w:szCs w:val="28"/>
        </w:rPr>
        <w:t xml:space="preserve">Анализ территориального распределения обращений граждан (</w:t>
      </w:r>
      <w:r>
        <w:rPr>
          <w:rFonts w:ascii="Times New Roman" w:hAnsi="Times New Roman"/>
          <w:sz w:val="28"/>
          <w:szCs w:val="28"/>
        </w:rPr>
        <w:t xml:space="preserve">см</w:t>
      </w:r>
      <w:r>
        <w:rPr>
          <w:rFonts w:ascii="Times New Roman" w:hAnsi="Times New Roman"/>
          <w:sz w:val="28"/>
          <w:szCs w:val="28"/>
        </w:rPr>
        <w:t xml:space="preserve">. ри</w:t>
      </w:r>
      <w:r>
        <w:rPr>
          <w:rFonts w:ascii="Times New Roman" w:hAnsi="Times New Roman"/>
          <w:sz w:val="28"/>
          <w:szCs w:val="28"/>
        </w:rPr>
        <w:t xml:space="preserve">сунок 1.9) проводился на основе поступивших в 2025 г. обращений, жалоб, просьб и по результатам мониторинга во время выездов Уполномоченного и сотрудников аппарата, надзорных органов в районы Ивановской области, а также общественными помощниками на местах.</w:t>
      </w:r>
      <w:r>
        <w:rPr>
          <w:rFonts w:ascii="Times New Roman" w:hAnsi="Times New Roman"/>
          <w:sz w:val="28"/>
          <w:szCs w:val="28"/>
        </w:rPr>
      </w:r>
      <w:r>
        <w:rPr>
          <w:rFonts w:ascii="Times New Roman" w:hAnsi="Times New Roman"/>
          <w:sz w:val="28"/>
          <w:szCs w:val="28"/>
        </w:rPr>
      </w:r>
    </w:p>
    <w:p>
      <w:pPr>
        <w:jc w:val="right"/>
        <w:spacing w:after="0"/>
        <w:rPr>
          <w:rFonts w:ascii="Times New Roman" w:hAnsi="Times New Roman"/>
          <w:b/>
          <w:bCs/>
          <w:sz w:val="24"/>
          <w:szCs w:val="24"/>
          <w:lang w:eastAsia="ru-RU"/>
        </w:rPr>
      </w:pPr>
      <w:r>
        <w:rPr>
          <w:rFonts w:ascii="Times New Roman" w:hAnsi="Times New Roman"/>
          <w:b/>
          <w:sz w:val="24"/>
          <w:szCs w:val="24"/>
          <w:highlight w:val="none"/>
          <w:lang w:eastAsia="ru-RU"/>
        </w:rPr>
      </w:r>
      <w:r>
        <w:rPr>
          <w:rFonts w:ascii="Times New Roman" w:hAnsi="Times New Roman"/>
          <w:b/>
          <w:sz w:val="24"/>
          <w:szCs w:val="24"/>
          <w:highlight w:val="none"/>
          <w:lang w:eastAsia="ru-RU"/>
        </w:rPr>
      </w:r>
    </w:p>
    <w:p>
      <w:pPr>
        <w:jc w:val="right"/>
        <w:spacing w:after="0"/>
        <w:rPr>
          <w:rFonts w:ascii="Times New Roman" w:hAnsi="Times New Roman"/>
          <w:b/>
          <w:bCs/>
          <w:sz w:val="24"/>
          <w:szCs w:val="24"/>
          <w:highlight w:val="none"/>
          <w:lang w:eastAsia="ru-RU"/>
        </w:rPr>
      </w:pPr>
      <w:r>
        <w:rPr>
          <w:rFonts w:ascii="Times New Roman" w:hAnsi="Times New Roman"/>
          <w:b/>
          <w:sz w:val="24"/>
          <w:szCs w:val="24"/>
          <w:highlight w:val="none"/>
          <w:lang w:eastAsia="ru-RU"/>
        </w:rPr>
      </w:r>
      <w:r>
        <w:rPr>
          <w:rFonts w:ascii="Times New Roman" w:hAnsi="Times New Roman"/>
          <w:b/>
          <w:sz w:val="24"/>
          <w:szCs w:val="24"/>
          <w:highlight w:val="none"/>
          <w:lang w:eastAsia="ru-RU"/>
        </w:rPr>
      </w:r>
    </w:p>
    <w:p>
      <w:pPr>
        <w:jc w:val="right"/>
        <w:spacing w:after="0"/>
        <w:rPr>
          <w:rFonts w:ascii="Times New Roman" w:hAnsi="Times New Roman"/>
          <w:b/>
          <w:bCs/>
          <w:sz w:val="24"/>
          <w:szCs w:val="24"/>
          <w:highlight w:val="none"/>
          <w:lang w:eastAsia="ru-RU"/>
        </w:rPr>
      </w:pPr>
      <w:r>
        <w:rPr>
          <w:rFonts w:ascii="Times New Roman" w:hAnsi="Times New Roman"/>
          <w:b/>
          <w:sz w:val="24"/>
          <w:szCs w:val="24"/>
          <w:highlight w:val="none"/>
          <w:lang w:eastAsia="ru-RU"/>
        </w:rPr>
      </w:r>
      <w:r>
        <w:rPr>
          <w:rFonts w:ascii="Times New Roman" w:hAnsi="Times New Roman"/>
          <w:b/>
          <w:sz w:val="24"/>
          <w:szCs w:val="24"/>
          <w:highlight w:val="none"/>
          <w:lang w:eastAsia="ru-RU"/>
        </w:rPr>
      </w:r>
    </w:p>
    <w:p>
      <w:pPr>
        <w:jc w:val="right"/>
        <w:spacing w:after="0"/>
        <w:rPr>
          <w:rFonts w:ascii="Times New Roman" w:hAnsi="Times New Roman"/>
          <w:b/>
          <w:bCs/>
          <w:sz w:val="24"/>
          <w:szCs w:val="24"/>
          <w:highlight w:val="none"/>
          <w:lang w:eastAsia="ru-RU"/>
        </w:rPr>
      </w:pPr>
      <w:r>
        <w:rPr>
          <w:rFonts w:ascii="Times New Roman" w:hAnsi="Times New Roman"/>
          <w:b/>
          <w:sz w:val="24"/>
          <w:szCs w:val="24"/>
        </w:rPr>
        <w:t xml:space="preserve">Рисунок 1.9.</w:t>
      </w:r>
      <w:r>
        <w:rPr>
          <w:rFonts w:ascii="Times New Roman" w:hAnsi="Times New Roman"/>
          <w:b/>
          <w:sz w:val="24"/>
          <w:szCs w:val="24"/>
          <w:lang w:eastAsia="ru-RU"/>
        </w:rPr>
        <w:t xml:space="preserve"> Территориальное распределение обращений граждан </w:t>
      </w:r>
      <w:r>
        <w:rPr>
          <w:rFonts w:ascii="Times New Roman" w:hAnsi="Times New Roman"/>
          <w:b/>
          <w:sz w:val="24"/>
          <w:szCs w:val="24"/>
          <w:lang w:eastAsia="ru-RU"/>
        </w:rPr>
      </w:r>
      <w:r>
        <w:rPr>
          <w:rFonts w:ascii="Times New Roman" w:hAnsi="Times New Roman"/>
          <w:b/>
          <w:bCs/>
          <w:sz w:val="24"/>
          <w:szCs w:val="24"/>
          <w:highlight w:val="none"/>
          <w:lang w:eastAsia="ru-RU"/>
        </w:rPr>
      </w:r>
    </w:p>
    <w:p>
      <w:pPr>
        <w:jc w:val="right"/>
        <w:spacing w:after="0"/>
        <w:rPr>
          <w:rFonts w:ascii="Times New Roman" w:hAnsi="Times New Roman"/>
          <w:b/>
          <w:sz w:val="24"/>
          <w:szCs w:val="24"/>
        </w:rPr>
      </w:pPr>
      <w:r>
        <w:rPr>
          <w:rFonts w:ascii="Times New Roman" w:hAnsi="Times New Roman"/>
          <w:b/>
          <w:sz w:val="24"/>
          <w:szCs w:val="24"/>
          <w:lang w:eastAsia="ru-RU"/>
        </w:rPr>
        <w:t xml:space="preserve">в 2025 г.</w:t>
      </w:r>
      <w:r>
        <w:rPr>
          <w:rFonts w:ascii="Times New Roman" w:hAnsi="Times New Roman"/>
          <w:b/>
          <w:sz w:val="24"/>
          <w:szCs w:val="24"/>
        </w:rPr>
      </w:r>
      <w:r>
        <w:rPr>
          <w:rFonts w:ascii="Times New Roman" w:hAnsi="Times New Roman"/>
          <w:b/>
          <w:sz w:val="24"/>
          <w:szCs w:val="24"/>
        </w:rPr>
      </w:r>
    </w:p>
    <w:p>
      <w:r>
        <w:tab/>
      </w:r>
      <w:r>
        <w:rPr>
          <w:lang w:eastAsia="ru-RU"/>
        </w:rPr>
        <mc:AlternateContent>
          <mc:Choice Requires="wpg">
            <w:drawing>
              <wp:inline xmlns:wp="http://schemas.openxmlformats.org/drawingml/2006/wordprocessingDrawing" distT="0" distB="0" distL="0" distR="0">
                <wp:extent cx="5876925" cy="3743325"/>
                <wp:effectExtent l="0" t="0" r="0" b="0"/>
                <wp:docPr id="20" name="_x0000_i1026"/>
                <wp:cNvGraphicFramePr/>
                <a:graphic xmlns:a="http://schemas.openxmlformats.org/drawingml/2006/main">
                  <a:graphicData uri="http://schemas.openxmlformats.org/drawingml/2006/picture">
                    <pic:pic xmlns:pic="http://schemas.openxmlformats.org/drawingml/2006/picture">
                      <pic:nvPicPr>
                        <pic:cNvPr id="0" name=""/>
                        <pic:cNvPicPr/>
                        <pic:nvPr/>
                      </pic:nvPicPr>
                      <pic:blipFill>
                        <a:blip r:embed="rId34"/>
                        <a:stretch/>
                      </pic:blipFill>
                      <pic:spPr bwMode="auto">
                        <a:xfrm>
                          <a:off x="0" y="0"/>
                          <a:ext cx="5876925" cy="3743325"/>
                        </a:xfrm>
                        <a:prstGeom prst="rect">
                          <a:avLst/>
                        </a:prstGeom>
                        <a:noFill/>
                        <a:ln>
                          <a:no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1" o:spid="_x0000_s11" type="#_x0000_t75" style="width:462.75pt;height:294.75pt;mso-wrap-distance-left:0.00pt;mso-wrap-distance-top:0.00pt;mso-wrap-distance-right:0.00pt;mso-wrap-distance-bottom:0.00pt;" stroked="f">
                <v:path textboxrect="0,0,0,0"/>
                <v:imagedata r:id="rId34" o:title=""/>
              </v:shape>
            </w:pict>
          </mc:Fallback>
        </mc:AlternateContent>
      </w:r>
      <w:r/>
    </w:p>
    <w:p>
      <w:pPr>
        <w:ind w:firstLine="709"/>
        <w:jc w:val="both"/>
        <w:spacing w:after="0"/>
        <w:rPr>
          <w:rFonts w:ascii="Times New Roman" w:hAnsi="Times New Roman"/>
          <w:sz w:val="28"/>
          <w:szCs w:val="28"/>
        </w:rPr>
      </w:pPr>
      <w:r>
        <w:rPr>
          <w:rFonts w:ascii="Times New Roman" w:hAnsi="Times New Roman"/>
          <w:sz w:val="28"/>
          <w:szCs w:val="28"/>
        </w:rPr>
        <w:t xml:space="preserve">Одно</w:t>
      </w:r>
      <w:r>
        <w:rPr>
          <w:rFonts w:ascii="Times New Roman" w:hAnsi="Times New Roman"/>
          <w:sz w:val="28"/>
          <w:szCs w:val="28"/>
        </w:rPr>
        <w:t xml:space="preserve">й из важнейших ценностей считаем работу на результат, как бы это банально ни звучало. К большому сожалению, не все вопросы, обозначенные  в обращениях обратившихся, находятся в компетенции региональных органов власти. Тем не менее, общими усилиями удается </w:t>
      </w:r>
      <w:r>
        <w:rPr>
          <w:rFonts w:ascii="Times New Roman" w:hAnsi="Times New Roman"/>
          <w:sz w:val="28"/>
          <w:szCs w:val="28"/>
        </w:rPr>
        <w:t xml:space="preserve">достигнуть положительных результатов по анализу информации, полученной от заявителей. </w:t>
      </w:r>
      <w:r>
        <w:rPr>
          <w:rFonts w:ascii="Times New Roman" w:hAnsi="Times New Roman"/>
          <w:sz w:val="28"/>
          <w:szCs w:val="28"/>
        </w:rPr>
      </w:r>
      <w:r>
        <w:rPr>
          <w:rFonts w:ascii="Times New Roman" w:hAnsi="Times New Roman"/>
          <w:sz w:val="28"/>
          <w:szCs w:val="28"/>
        </w:rPr>
      </w:r>
    </w:p>
    <w:p>
      <w:pPr>
        <w:ind w:firstLine="567"/>
        <w:jc w:val="both"/>
        <w:tabs>
          <w:tab w:val="left" w:pos="6645" w:leader="none"/>
        </w:tabs>
        <w:rPr>
          <w:rFonts w:ascii="Times New Roman" w:hAnsi="Times New Roman"/>
          <w:sz w:val="28"/>
          <w:szCs w:val="28"/>
        </w:rPr>
      </w:pPr>
      <w:r>
        <w:rPr>
          <w:rFonts w:ascii="Times New Roman" w:hAnsi="Times New Roman"/>
          <w:sz w:val="28"/>
          <w:szCs w:val="28"/>
          <w:shd w:val="clear" w:color="auto" w:fill="ffffff"/>
        </w:rPr>
        <w:t xml:space="preserve">Поскольку деятельность Уполномоченного лишь дополняет существующие средства защиты прав и свобод человека и гражданина, не </w:t>
      </w:r>
      <w:r>
        <w:rPr>
          <w:rFonts w:ascii="Times New Roman" w:hAnsi="Times New Roman"/>
          <w:sz w:val="28"/>
          <w:szCs w:val="28"/>
          <w:shd w:val="clear" w:color="auto" w:fill="ffffff"/>
        </w:rPr>
        <w:t xml:space="preserve">отменяет и не влечёт пересмотра компетенции государственных органов, обеспечивающих защиту и восстановление нарушенных прав и свобод по части из обращений были подготовлены соответствующие письменные разъяснения, рекомендации по способам защиты прав.  По з</w:t>
      </w:r>
      <w:r>
        <w:rPr>
          <w:rFonts w:ascii="Times New Roman" w:hAnsi="Times New Roman"/>
          <w:sz w:val="28"/>
          <w:szCs w:val="28"/>
        </w:rPr>
        <w:t xml:space="preserve">начительной доле обращений и просьб (порядка 47 %) приняты решения в пользу обратившихся (</w:t>
      </w:r>
      <w:r>
        <w:rPr>
          <w:rFonts w:ascii="Times New Roman" w:hAnsi="Times New Roman"/>
          <w:sz w:val="28"/>
          <w:szCs w:val="28"/>
        </w:rPr>
        <w:t xml:space="preserve">см</w:t>
      </w:r>
      <w:r>
        <w:rPr>
          <w:rFonts w:ascii="Times New Roman" w:hAnsi="Times New Roman"/>
          <w:sz w:val="28"/>
          <w:szCs w:val="28"/>
        </w:rPr>
        <w:t xml:space="preserve">. рисунок 1.10).</w:t>
      </w:r>
      <w:r>
        <w:rPr>
          <w:rFonts w:ascii="Times New Roman" w:hAnsi="Times New Roman"/>
          <w:sz w:val="28"/>
          <w:szCs w:val="28"/>
        </w:rPr>
      </w:r>
      <w:r>
        <w:rPr>
          <w:rFonts w:ascii="Times New Roman" w:hAnsi="Times New Roman"/>
          <w:sz w:val="28"/>
          <w:szCs w:val="28"/>
        </w:rPr>
      </w:r>
    </w:p>
    <w:p>
      <w:pPr>
        <w:jc w:val="both"/>
        <w:tabs>
          <w:tab w:val="left" w:pos="6645" w:leader="none"/>
        </w:tabs>
        <w:rPr>
          <w:rFonts w:ascii="Times New Roman" w:hAnsi="Times New Roman"/>
          <w:sz w:val="28"/>
          <w:szCs w:val="28"/>
        </w:rPr>
      </w:pPr>
      <w:r>
        <w:rPr>
          <w:rFonts w:ascii="Times New Roman" w:hAnsi="Times New Roman"/>
          <w:sz w:val="28"/>
          <w:szCs w:val="28"/>
        </w:rPr>
      </w:r>
      <w:r>
        <w:rPr>
          <w:rFonts w:ascii="Times New Roman" w:hAnsi="Times New Roman"/>
          <w:sz w:val="28"/>
          <w:szCs w:val="28"/>
        </w:rPr>
      </w:r>
    </w:p>
    <w:p>
      <w:pPr>
        <w:jc w:val="both"/>
        <w:tabs>
          <w:tab w:val="left" w:pos="6645" w:leader="none"/>
        </w:tabs>
        <w:rPr>
          <w:rFonts w:ascii="Times New Roman" w:hAnsi="Times New Roman"/>
          <w:sz w:val="28"/>
          <w:szCs w:val="28"/>
        </w:rPr>
      </w:pPr>
      <w:r>
        <w:rPr>
          <w:rFonts w:ascii="Times New Roman" w:hAnsi="Times New Roman"/>
          <w:sz w:val="28"/>
          <w:szCs w:val="28"/>
        </w:rPr>
      </w:r>
      <w:r>
        <w:rPr>
          <w:rFonts w:ascii="Times New Roman" w:hAnsi="Times New Roman"/>
          <w:sz w:val="28"/>
          <w:szCs w:val="28"/>
        </w:rPr>
      </w:r>
    </w:p>
    <w:p>
      <w:pPr>
        <w:jc w:val="both"/>
        <w:tabs>
          <w:tab w:val="left" w:pos="6645" w:leader="none"/>
        </w:tabs>
        <w:rPr>
          <w:rFonts w:ascii="Times New Roman" w:hAnsi="Times New Roman"/>
          <w:sz w:val="28"/>
          <w:szCs w:val="28"/>
        </w:rPr>
      </w:pPr>
      <w:r>
        <w:rPr>
          <w:rFonts w:ascii="Times New Roman" w:hAnsi="Times New Roman"/>
          <w:sz w:val="28"/>
          <w:szCs w:val="28"/>
        </w:rPr>
      </w:r>
      <w:r>
        <w:rPr>
          <w:rFonts w:ascii="Times New Roman" w:hAnsi="Times New Roman"/>
          <w:sz w:val="28"/>
          <w:szCs w:val="28"/>
        </w:rPr>
      </w:r>
    </w:p>
    <w:p>
      <w:pPr>
        <w:jc w:val="both"/>
        <w:tabs>
          <w:tab w:val="left" w:pos="6645" w:leader="none"/>
        </w:tabs>
        <w:rPr>
          <w:rFonts w:ascii="Times New Roman" w:hAnsi="Times New Roman"/>
          <w:sz w:val="28"/>
          <w:szCs w:val="28"/>
        </w:rPr>
      </w:pPr>
      <w:r>
        <w:rPr>
          <w:rFonts w:ascii="Times New Roman" w:hAnsi="Times New Roman"/>
          <w:sz w:val="28"/>
          <w:szCs w:val="28"/>
        </w:rPr>
      </w:r>
      <w:r>
        <w:rPr>
          <w:rFonts w:ascii="Times New Roman" w:hAnsi="Times New Roman"/>
          <w:sz w:val="28"/>
          <w:szCs w:val="28"/>
        </w:rPr>
      </w:r>
      <w:r>
        <w:rPr>
          <w:rFonts w:ascii="Times New Roman" w:hAnsi="Times New Roman"/>
          <w:sz w:val="28"/>
          <w:szCs w:val="28"/>
        </w:rPr>
      </w:r>
    </w:p>
    <w:p>
      <w:pPr>
        <w:jc w:val="right"/>
        <w:tabs>
          <w:tab w:val="left" w:pos="6645" w:leader="none"/>
        </w:tabs>
        <w:rPr>
          <w:rFonts w:ascii="Times New Roman" w:hAnsi="Times New Roman"/>
          <w:b/>
          <w:sz w:val="24"/>
          <w:szCs w:val="24"/>
        </w:rPr>
      </w:pPr>
      <w:r>
        <w:rPr>
          <w:rFonts w:ascii="Times New Roman" w:hAnsi="Times New Roman"/>
          <w:b/>
          <w:sz w:val="24"/>
          <w:szCs w:val="24"/>
        </w:rPr>
        <w:t xml:space="preserve">Рисунок 1.10. Результативность работы по обращениям граждан в 2025 г.</w:t>
      </w:r>
      <w:r>
        <w:rPr>
          <w:rFonts w:ascii="Times New Roman" w:hAnsi="Times New Roman"/>
          <w:b/>
          <w:sz w:val="24"/>
          <w:szCs w:val="24"/>
        </w:rPr>
      </w:r>
      <w:r>
        <w:rPr>
          <w:rFonts w:ascii="Times New Roman" w:hAnsi="Times New Roman"/>
          <w:b/>
          <w:sz w:val="24"/>
          <w:szCs w:val="24"/>
        </w:rPr>
      </w:r>
    </w:p>
    <w:p>
      <w:r>
        <w:rPr>
          <w:lang w:eastAsia="ru-RU"/>
        </w:rPr>
        <w:drawing>
          <wp:inline distT="0" distB="0" distL="0" distR="0">
            <wp:extent cx="5753100" cy="3400425"/>
            <wp:effectExtent l="19050" t="0" r="0" b="0"/>
            <wp:docPr id="21" name="Диаграмма 4"/>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r/>
    </w:p>
    <w:p>
      <w:pPr>
        <w:jc w:val="both"/>
        <w:rPr>
          <w:rFonts w:ascii="Times New Roman" w:hAnsi="Times New Roman"/>
          <w:sz w:val="28"/>
          <w:szCs w:val="28"/>
        </w:rPr>
      </w:pPr>
      <w:r>
        <w:rPr>
          <w:rFonts w:ascii="Times New Roman" w:hAnsi="Times New Roman"/>
          <w:sz w:val="28"/>
          <w:szCs w:val="28"/>
        </w:rPr>
        <w:tab/>
        <w:t xml:space="preserve">За каждой приведенной выше цифрой  стоит человек, его проблемы, суждения. В </w:t>
      </w:r>
      <w:r>
        <w:rPr>
          <w:rStyle w:val="1238"/>
          <w:rFonts w:ascii="Times New Roman" w:hAnsi="Times New Roman"/>
          <w:b w:val="0"/>
          <w:sz w:val="28"/>
          <w:szCs w:val="28"/>
          <w:shd w:val="clear" w:color="auto" w:fill="ffffff"/>
        </w:rPr>
        <w:t xml:space="preserve">системе статистической оценки деятельности Уполномоченного</w:t>
      </w:r>
      <w:r>
        <w:rPr>
          <w:rFonts w:ascii="Times New Roman" w:hAnsi="Times New Roman"/>
          <w:sz w:val="28"/>
          <w:szCs w:val="28"/>
        </w:rPr>
        <w:t xml:space="preserve"> отсутствует такое неформальное понятие как «палочная система». В следующих разделах доклада более подробно представлена работа регионального правозащитника и коллектива единомышленников по обращениям граждан с примерами восстановления нарушенных прав.</w:t>
      </w:r>
      <w:r>
        <w:rPr>
          <w:rFonts w:ascii="Times New Roman" w:hAnsi="Times New Roman"/>
          <w:sz w:val="28"/>
          <w:szCs w:val="28"/>
        </w:rPr>
      </w:r>
      <w:r>
        <w:rPr>
          <w:rFonts w:ascii="Times New Roman" w:hAnsi="Times New Roman"/>
          <w:sz w:val="28"/>
          <w:szCs w:val="28"/>
        </w:rPr>
      </w:r>
      <w:r>
        <w:rPr>
          <w:rFonts w:ascii="Times New Roman" w:hAnsi="Times New Roman"/>
          <w:sz w:val="28"/>
          <w:szCs w:val="28"/>
        </w:rPr>
      </w:r>
      <w:r>
        <w:rPr>
          <w:rFonts w:ascii="Times New Roman" w:hAnsi="Times New Roman"/>
          <w:sz w:val="28"/>
          <w:szCs w:val="28"/>
        </w:rPr>
      </w:r>
      <w:r>
        <w:rPr>
          <w:rFonts w:ascii="Times New Roman" w:hAnsi="Times New Roman"/>
          <w:sz w:val="28"/>
          <w:szCs w:val="28"/>
        </w:rPr>
      </w:r>
      <w:r>
        <w:rPr>
          <w:rFonts w:ascii="Times New Roman" w:hAnsi="Times New Roman"/>
          <w:sz w:val="28"/>
          <w:szCs w:val="28"/>
        </w:rPr>
      </w:r>
    </w:p>
    <w:p>
      <w:pPr>
        <w:pStyle w:val="1225"/>
        <w:jc w:val="both"/>
      </w:pPr>
      <w:r/>
      <w:bookmarkStart w:id="25" w:name="_Toc3"/>
      <w:r>
        <w:t xml:space="preserve">РАЗДЕЛ 2. ЗАЩИТА ПРАВ УЧАСТНИКОВ СПЕЦИАЛЬНОЙ ВОЕННОЙ ОПЕРАЦИИ И ЧЛЕНОВ ИХ СЕМЕЙ</w:t>
      </w:r>
      <w:bookmarkEnd w:id="25"/>
      <w:r/>
      <w:r/>
    </w:p>
    <w:p>
      <w:r/>
      <w:r/>
    </w:p>
    <w:p>
      <w:pPr>
        <w:ind w:firstLine="709"/>
        <w:jc w:val="both"/>
        <w:spacing w:after="0"/>
        <w:shd w:val="clear" w:color="ffffff" w:fill="ffffff"/>
        <w:pBdr>
          <w:top w:val="none" w:color="000000" w:sz="4" w:space="0"/>
          <w:left w:val="none" w:color="000000" w:sz="4" w:space="0"/>
          <w:bottom w:val="none" w:color="000000" w:sz="4" w:space="0"/>
          <w:right w:val="none" w:color="000000" w:sz="4" w:space="0"/>
        </w:pBdr>
      </w:pPr>
      <w:r>
        <w:rPr>
          <w:rFonts w:ascii="Times New Roman" w:hAnsi="Times New Roman"/>
          <w:sz w:val="28"/>
          <w:szCs w:val="28"/>
        </w:rPr>
        <w:t xml:space="preserve">Представляя ежегодный доклад о деятельности Уполномоченного по правам человека в Ивановской области, невозможно обойти тему, которая глубоко затрагивает жизнь нашего региона и страны в целом – проведение специальной военной операции (далее - СВО).</w:t>
      </w:r>
      <w:r/>
    </w:p>
    <w:p>
      <w:pPr>
        <w:ind w:firstLine="709"/>
        <w:jc w:val="both"/>
        <w:spacing w:after="0"/>
        <w:shd w:val="clear" w:color="ffffff" w:fill="ffffff"/>
        <w:pBdr>
          <w:top w:val="none" w:color="000000" w:sz="4" w:space="0"/>
          <w:left w:val="none" w:color="000000" w:sz="4" w:space="0"/>
          <w:bottom w:val="none" w:color="000000" w:sz="4" w:space="0"/>
          <w:right w:val="none" w:color="000000" w:sz="4" w:space="0"/>
        </w:pBdr>
      </w:pPr>
      <w:r>
        <w:rPr>
          <w:rFonts w:ascii="Times New Roman" w:hAnsi="Times New Roman"/>
          <w:sz w:val="28"/>
          <w:szCs w:val="28"/>
        </w:rPr>
        <w:t xml:space="preserve">Этот период стал серьезным испытанием, потребовавшим мобилизации всех сил общества и государства. Он привнес в нашу повседневную реальность новые вызовы и обязанности, неп</w:t>
      </w:r>
      <w:r>
        <w:rPr>
          <w:rFonts w:ascii="Times New Roman" w:hAnsi="Times New Roman"/>
          <w:sz w:val="28"/>
          <w:szCs w:val="28"/>
        </w:rPr>
        <w:t xml:space="preserve">осредственно коснувшись тысяч семей наших земляков – военнослужащих, добровольцев, их родных и близких. В фокусе нашего внимания неизменно остаются фундаментальные ценности: защита прав, свобод и законных интересов каждого человека, где бы он ни находился.</w:t>
      </w:r>
      <w:r/>
    </w:p>
    <w:p>
      <w:pPr>
        <w:ind w:firstLine="709"/>
        <w:jc w:val="both"/>
        <w:spacing w:after="0"/>
        <w:shd w:val="clear" w:color="ffffff" w:fill="ffffff"/>
        <w:rPr>
          <w:rFonts w:ascii="Times New Roman" w:hAnsi="Times New Roman"/>
          <w:sz w:val="28"/>
          <w:szCs w:val="28"/>
        </w:rPr>
        <w:pBdr>
          <w:top w:val="none" w:color="000000" w:sz="4" w:space="0"/>
          <w:left w:val="none" w:color="000000" w:sz="4" w:space="0"/>
          <w:bottom w:val="none" w:color="000000" w:sz="4" w:space="0"/>
          <w:right w:val="none" w:color="000000" w:sz="4" w:space="0"/>
        </w:pBdr>
      </w:pPr>
      <w:r>
        <w:rPr>
          <w:rFonts w:ascii="Times New Roman" w:hAnsi="Times New Roman"/>
          <w:sz w:val="28"/>
          <w:szCs w:val="28"/>
        </w:rPr>
        <w:t xml:space="preserve">В данном разделе доклада будет проанализирована работа Уполномоченного в условиях изменившейся обстановки и подробно описаны ключевые направления деятельности, связанные с проведением СВО: организ</w:t>
      </w:r>
      <w:r>
        <w:rPr>
          <w:rFonts w:ascii="Times New Roman" w:hAnsi="Times New Roman"/>
          <w:sz w:val="28"/>
          <w:szCs w:val="28"/>
        </w:rPr>
        <w:t xml:space="preserve">ация правовой и социальной поддержки участников операции и членов их семей, работа с обращениями граждан, защита прав наших бойцов, взаимодействие с органами государственной власти и общественными организациями для оперативного решения возникающих проблем.</w:t>
      </w:r>
      <w:r>
        <w:rPr>
          <w:rFonts w:ascii="Times New Roman" w:hAnsi="Times New Roman"/>
          <w:sz w:val="28"/>
          <w:szCs w:val="28"/>
        </w:rPr>
      </w:r>
      <w:r>
        <w:rPr>
          <w:rFonts w:ascii="Times New Roman" w:hAnsi="Times New Roman"/>
          <w:sz w:val="28"/>
          <w:szCs w:val="28"/>
        </w:rPr>
      </w:r>
    </w:p>
    <w:p>
      <w:pPr>
        <w:ind w:firstLine="708"/>
        <w:jc w:val="both"/>
        <w:spacing w:after="0"/>
        <w:rPr>
          <w:rFonts w:ascii="Times New Roman" w:hAnsi="Times New Roman" w:eastAsia="Cambria Math"/>
          <w:color w:val="auto"/>
          <w:sz w:val="28"/>
          <w:szCs w:val="28"/>
        </w:rPr>
        <w:pBdr>
          <w:top w:val="none" w:color="000000" w:sz="4" w:space="0"/>
          <w:left w:val="none" w:color="000000" w:sz="4" w:space="0"/>
          <w:bottom w:val="none" w:color="000000" w:sz="4" w:space="0"/>
          <w:right w:val="none" w:color="000000" w:sz="4" w:space="0"/>
        </w:pBdr>
      </w:pPr>
      <w:r>
        <w:rPr>
          <w:rFonts w:ascii="Times New Roman" w:hAnsi="Times New Roman" w:eastAsia="Cambria Math"/>
          <w:sz w:val="28"/>
          <w:szCs w:val="28"/>
        </w:rPr>
        <w:t xml:space="preserve">Аппарат регионального Уполномоченного упорядочил блоки работы при согласовании действий и подключении федеральной службы </w:t>
      </w:r>
      <w:r>
        <w:rPr>
          <w:rFonts w:ascii="Times New Roman" w:hAnsi="Times New Roman" w:eastAsia="Cambria Math"/>
          <w:sz w:val="28"/>
          <w:szCs w:val="28"/>
        </w:rPr>
        <w:t xml:space="preserve">правозащиты, других компетентных служб федерального уровня, при необходимости общественной организации </w:t>
      </w:r>
      <w:r>
        <w:rPr>
          <w:rFonts w:ascii="Times New Roman" w:hAnsi="Times New Roman" w:eastAsia="Cambria Math"/>
          <w:color w:val="auto"/>
          <w:sz w:val="28"/>
          <w:szCs w:val="28"/>
        </w:rPr>
        <w:t xml:space="preserve">«Ассоциация ветеранов СВО Ивановской области» и </w:t>
      </w:r>
      <w:r>
        <w:rPr>
          <w:rFonts w:ascii="Times New Roman" w:hAnsi="Times New Roman" w:eastAsia="Cambria Math"/>
          <w:color w:val="auto"/>
          <w:sz w:val="28"/>
          <w:szCs w:val="28"/>
        </w:rPr>
        <w:t xml:space="preserve">регионального филиала </w:t>
      </w:r>
      <w:r>
        <w:rPr>
          <w:rFonts w:ascii="Times New Roman" w:hAnsi="Times New Roman" w:eastAsia="Cambria Math"/>
          <w:color w:val="auto"/>
          <w:sz w:val="28"/>
          <w:szCs w:val="28"/>
        </w:rPr>
        <w:t xml:space="preserve">Фонда «Защитники Отечества».</w:t>
      </w:r>
      <w:r>
        <w:rPr>
          <w:rFonts w:ascii="Times New Roman" w:hAnsi="Times New Roman" w:eastAsia="Cambria Math"/>
          <w:color w:val="auto"/>
          <w:sz w:val="28"/>
          <w:szCs w:val="28"/>
        </w:rPr>
      </w:r>
      <w:r>
        <w:rPr>
          <w:rFonts w:ascii="Times New Roman" w:hAnsi="Times New Roman" w:eastAsia="Cambria Math"/>
          <w:color w:val="auto"/>
          <w:sz w:val="28"/>
          <w:szCs w:val="28"/>
        </w:rPr>
      </w:r>
    </w:p>
    <w:p>
      <w:pPr>
        <w:pStyle w:val="1227"/>
        <w:numPr>
          <w:ilvl w:val="0"/>
          <w:numId w:val="103"/>
        </w:numPr>
        <w:ind w:left="0" w:right="0" w:firstLine="709"/>
        <w:jc w:val="both"/>
        <w:spacing w:line="276" w:lineRule="auto"/>
        <w:rPr>
          <w:rFonts w:ascii="Times New Roman" w:hAnsi="Times New Roman" w:eastAsia="Cambria Math"/>
          <w:sz w:val="28"/>
          <w:szCs w:val="28"/>
        </w:rPr>
        <w:pBdr>
          <w:top w:val="none" w:color="000000" w:sz="4" w:space="0"/>
          <w:left w:val="none" w:color="000000" w:sz="4" w:space="0"/>
          <w:bottom w:val="none" w:color="000000" w:sz="4" w:space="0"/>
          <w:right w:val="none" w:color="000000" w:sz="4" w:space="0"/>
        </w:pBdr>
      </w:pPr>
      <w:r>
        <w:rPr>
          <w:rFonts w:ascii="Times New Roman" w:hAnsi="Times New Roman" w:eastAsia="Cambria Math"/>
          <w:sz w:val="28"/>
          <w:szCs w:val="28"/>
        </w:rPr>
        <w:t xml:space="preserve">возвращение</w:t>
      </w:r>
      <w:r>
        <w:rPr>
          <w:rFonts w:ascii="Times New Roman" w:hAnsi="Times New Roman" w:eastAsia="Cambria Math"/>
          <w:sz w:val="28"/>
          <w:szCs w:val="28"/>
        </w:rPr>
        <w:t xml:space="preserve"> </w:t>
      </w:r>
      <w:r>
        <w:rPr>
          <w:rFonts w:ascii="Times New Roman" w:hAnsi="Times New Roman" w:eastAsia="Cambria Math"/>
          <w:sz w:val="28"/>
          <w:szCs w:val="28"/>
        </w:rPr>
        <w:t xml:space="preserve">военнопленных</w:t>
      </w:r>
      <w:r>
        <w:rPr>
          <w:rFonts w:ascii="Times New Roman" w:hAnsi="Times New Roman" w:eastAsia="Cambria Math"/>
          <w:sz w:val="28"/>
          <w:szCs w:val="28"/>
        </w:rPr>
        <w:t xml:space="preserve">; </w:t>
      </w:r>
      <w:r>
        <w:rPr>
          <w:rFonts w:ascii="Times New Roman" w:hAnsi="Times New Roman" w:eastAsia="Cambria Math"/>
          <w:sz w:val="28"/>
          <w:szCs w:val="28"/>
        </w:rPr>
      </w:r>
      <w:r>
        <w:rPr>
          <w:rFonts w:ascii="Times New Roman" w:hAnsi="Times New Roman" w:eastAsia="Cambria Math"/>
          <w:sz w:val="28"/>
          <w:szCs w:val="28"/>
        </w:rPr>
      </w:r>
    </w:p>
    <w:p>
      <w:pPr>
        <w:pStyle w:val="1227"/>
        <w:numPr>
          <w:ilvl w:val="0"/>
          <w:numId w:val="103"/>
        </w:numPr>
        <w:ind w:left="0" w:right="0" w:firstLine="709"/>
        <w:jc w:val="both"/>
        <w:spacing w:line="276" w:lineRule="auto"/>
        <w:rPr>
          <w:rFonts w:ascii="Times New Roman" w:hAnsi="Times New Roman" w:eastAsia="Cambria Math"/>
          <w:sz w:val="28"/>
          <w:szCs w:val="28"/>
          <w:lang w:val="ru-RU"/>
        </w:rPr>
        <w:pBdr>
          <w:top w:val="none" w:color="000000" w:sz="4" w:space="0"/>
          <w:left w:val="none" w:color="000000" w:sz="4" w:space="0"/>
          <w:bottom w:val="none" w:color="000000" w:sz="4" w:space="0"/>
          <w:right w:val="none" w:color="000000" w:sz="4" w:space="0"/>
        </w:pBdr>
      </w:pPr>
      <w:r>
        <w:rPr>
          <w:rFonts w:ascii="Times New Roman" w:hAnsi="Times New Roman" w:eastAsia="Cambria Math"/>
          <w:sz w:val="28"/>
          <w:szCs w:val="28"/>
          <w:lang w:val="ru-RU"/>
        </w:rPr>
        <w:t xml:space="preserve">поиск без вести пропавших, выполнение социальных обязательств перед участниками СВО и</w:t>
      </w:r>
      <w:r>
        <w:rPr>
          <w:rFonts w:ascii="Times New Roman" w:hAnsi="Times New Roman" w:eastAsia="Cambria Math"/>
          <w:sz w:val="28"/>
          <w:szCs w:val="28"/>
        </w:rPr>
        <w:t xml:space="preserve"> </w:t>
      </w:r>
      <w:r>
        <w:rPr>
          <w:rFonts w:ascii="Times New Roman" w:hAnsi="Times New Roman" w:eastAsia="Cambria Math"/>
          <w:sz w:val="28"/>
          <w:szCs w:val="28"/>
          <w:lang w:val="ru-RU"/>
        </w:rPr>
        <w:t xml:space="preserve">их семьями, </w:t>
      </w:r>
      <w:r>
        <w:rPr>
          <w:rFonts w:ascii="Times New Roman" w:hAnsi="Times New Roman" w:eastAsia="Cambria Math"/>
          <w:sz w:val="28"/>
          <w:szCs w:val="28"/>
          <w:lang w:val="ru-RU"/>
        </w:rPr>
      </w:r>
      <w:r>
        <w:rPr>
          <w:rFonts w:ascii="Times New Roman" w:hAnsi="Times New Roman" w:eastAsia="Cambria Math"/>
          <w:sz w:val="28"/>
          <w:szCs w:val="28"/>
          <w:lang w:val="ru-RU"/>
        </w:rPr>
      </w:r>
    </w:p>
    <w:p>
      <w:pPr>
        <w:pStyle w:val="1227"/>
        <w:numPr>
          <w:ilvl w:val="0"/>
          <w:numId w:val="103"/>
        </w:numPr>
        <w:ind w:left="0" w:right="0" w:firstLine="709"/>
        <w:jc w:val="both"/>
        <w:spacing w:line="276" w:lineRule="auto"/>
        <w:rPr>
          <w:rFonts w:ascii="Times New Roman" w:hAnsi="Times New Roman" w:eastAsia="Cambria Math"/>
          <w:sz w:val="28"/>
          <w:szCs w:val="28"/>
          <w:lang w:val="ru-RU"/>
        </w:rPr>
        <w:pBdr>
          <w:top w:val="none" w:color="000000" w:sz="4" w:space="0"/>
          <w:left w:val="none" w:color="000000" w:sz="4" w:space="0"/>
          <w:bottom w:val="none" w:color="000000" w:sz="4" w:space="0"/>
          <w:right w:val="none" w:color="000000" w:sz="4" w:space="0"/>
        </w:pBdr>
      </w:pPr>
      <w:r>
        <w:rPr>
          <w:rFonts w:ascii="Times New Roman" w:hAnsi="Times New Roman" w:eastAsia="Cambria Math"/>
          <w:sz w:val="28"/>
          <w:szCs w:val="28"/>
          <w:lang w:val="ru-RU"/>
        </w:rPr>
        <w:t xml:space="preserve">соблюдение условий воинской службы защитников Отечества; </w:t>
      </w:r>
      <w:r>
        <w:rPr>
          <w:rFonts w:ascii="Times New Roman" w:hAnsi="Times New Roman" w:eastAsia="Cambria Math"/>
          <w:sz w:val="28"/>
          <w:szCs w:val="28"/>
          <w:lang w:val="ru-RU"/>
        </w:rPr>
      </w:r>
      <w:r>
        <w:rPr>
          <w:rFonts w:ascii="Times New Roman" w:hAnsi="Times New Roman" w:eastAsia="Cambria Math"/>
          <w:sz w:val="28"/>
          <w:szCs w:val="28"/>
          <w:lang w:val="ru-RU"/>
        </w:rPr>
      </w:r>
    </w:p>
    <w:p>
      <w:pPr>
        <w:pStyle w:val="1227"/>
        <w:numPr>
          <w:ilvl w:val="0"/>
          <w:numId w:val="103"/>
        </w:numPr>
        <w:ind w:left="0" w:right="0" w:firstLine="709"/>
        <w:jc w:val="both"/>
        <w:spacing w:line="276" w:lineRule="auto"/>
        <w:rPr>
          <w:rFonts w:ascii="Times New Roman" w:hAnsi="Times New Roman" w:eastAsia="Cambria Math"/>
          <w:sz w:val="28"/>
          <w:szCs w:val="28"/>
          <w:lang w:val="ru-RU"/>
        </w:rPr>
        <w:pBdr>
          <w:top w:val="none" w:color="000000" w:sz="4" w:space="0"/>
          <w:left w:val="none" w:color="000000" w:sz="4" w:space="0"/>
          <w:bottom w:val="none" w:color="000000" w:sz="4" w:space="0"/>
          <w:right w:val="none" w:color="000000" w:sz="4" w:space="0"/>
        </w:pBdr>
      </w:pPr>
      <w:r>
        <w:rPr>
          <w:rFonts w:ascii="Times New Roman" w:hAnsi="Times New Roman" w:eastAsia="Cambria Math"/>
          <w:sz w:val="28"/>
          <w:szCs w:val="28"/>
          <w:lang w:val="ru-RU"/>
        </w:rPr>
        <w:t xml:space="preserve">воссоединение семей, разделенных из-за</w:t>
      </w:r>
      <w:r>
        <w:rPr>
          <w:rFonts w:ascii="Times New Roman" w:hAnsi="Times New Roman" w:eastAsia="Cambria Math"/>
          <w:sz w:val="28"/>
          <w:szCs w:val="28"/>
        </w:rPr>
        <w:t xml:space="preserve"> </w:t>
      </w:r>
      <w:r>
        <w:rPr>
          <w:rFonts w:ascii="Times New Roman" w:hAnsi="Times New Roman" w:eastAsia="Cambria Math"/>
          <w:sz w:val="28"/>
          <w:szCs w:val="28"/>
          <w:lang w:val="ru-RU"/>
        </w:rPr>
        <w:t xml:space="preserve">закрытия границы между РФ и</w:t>
      </w:r>
      <w:r>
        <w:rPr>
          <w:rFonts w:ascii="Times New Roman" w:hAnsi="Times New Roman" w:eastAsia="Cambria Math"/>
          <w:sz w:val="28"/>
          <w:szCs w:val="28"/>
        </w:rPr>
        <w:t xml:space="preserve"> </w:t>
      </w:r>
      <w:r>
        <w:rPr>
          <w:rFonts w:ascii="Times New Roman" w:hAnsi="Times New Roman" w:eastAsia="Cambria Math"/>
          <w:sz w:val="28"/>
          <w:szCs w:val="28"/>
          <w:lang w:val="ru-RU"/>
        </w:rPr>
        <w:t xml:space="preserve">Украиной,</w:t>
      </w:r>
      <w:r>
        <w:rPr>
          <w:rFonts w:ascii="Times New Roman" w:hAnsi="Times New Roman" w:eastAsia="Cambria Math"/>
          <w:sz w:val="28"/>
          <w:szCs w:val="28"/>
          <w:lang w:val="ru-RU"/>
        </w:rPr>
      </w:r>
      <w:r>
        <w:rPr>
          <w:rFonts w:ascii="Times New Roman" w:hAnsi="Times New Roman" w:eastAsia="Cambria Math"/>
          <w:sz w:val="28"/>
          <w:szCs w:val="28"/>
          <w:lang w:val="ru-RU"/>
        </w:rPr>
      </w:r>
    </w:p>
    <w:p>
      <w:pPr>
        <w:pStyle w:val="1227"/>
        <w:numPr>
          <w:ilvl w:val="0"/>
          <w:numId w:val="103"/>
        </w:numPr>
        <w:ind w:left="0" w:right="0" w:firstLine="709"/>
        <w:jc w:val="both"/>
        <w:spacing w:line="276" w:lineRule="auto"/>
        <w:rPr>
          <w:rFonts w:ascii="Times New Roman" w:hAnsi="Times New Roman" w:eastAsia="Liberation Sans"/>
          <w:sz w:val="28"/>
          <w:szCs w:val="28"/>
          <w:lang w:val="ru-RU"/>
        </w:rPr>
        <w:pBdr>
          <w:top w:val="none" w:color="000000" w:sz="4" w:space="0"/>
          <w:left w:val="none" w:color="000000" w:sz="4" w:space="0"/>
          <w:bottom w:val="none" w:color="000000" w:sz="4" w:space="0"/>
          <w:right w:val="none" w:color="000000" w:sz="4" w:space="0"/>
        </w:pBdr>
      </w:pPr>
      <w:r>
        <w:rPr>
          <w:rFonts w:ascii="Times New Roman" w:hAnsi="Times New Roman" w:eastAsia="Cambria Math"/>
          <w:sz w:val="28"/>
          <w:szCs w:val="28"/>
          <w:lang w:val="ru-RU"/>
        </w:rPr>
        <w:t xml:space="preserve">решение вопросов людей, эвакуированных из</w:t>
      </w:r>
      <w:r>
        <w:rPr>
          <w:rFonts w:ascii="Times New Roman" w:hAnsi="Times New Roman" w:eastAsia="Cambria Math"/>
          <w:sz w:val="28"/>
          <w:szCs w:val="28"/>
        </w:rPr>
        <w:t xml:space="preserve"> </w:t>
      </w:r>
      <w:r>
        <w:rPr>
          <w:rFonts w:ascii="Times New Roman" w:hAnsi="Times New Roman" w:eastAsia="Cambria Math"/>
          <w:sz w:val="28"/>
          <w:szCs w:val="28"/>
          <w:lang w:val="ru-RU"/>
        </w:rPr>
        <w:t xml:space="preserve">Украины  в наш регион (ПВР,  в том числе </w:t>
      </w:r>
      <w:r>
        <w:rPr>
          <w:rFonts w:ascii="Times New Roman" w:hAnsi="Times New Roman" w:eastAsia="Cambria Math"/>
          <w:sz w:val="28"/>
          <w:szCs w:val="28"/>
          <w:lang w:val="ru-RU"/>
        </w:rPr>
        <w:t xml:space="preserve">прибывших</w:t>
      </w:r>
      <w:r>
        <w:rPr>
          <w:rFonts w:ascii="Times New Roman" w:hAnsi="Times New Roman" w:eastAsia="Cambria Math"/>
          <w:sz w:val="28"/>
          <w:szCs w:val="28"/>
          <w:lang w:val="ru-RU"/>
        </w:rPr>
        <w:t xml:space="preserve"> частным образом);</w:t>
      </w:r>
      <w:r>
        <w:rPr>
          <w:rFonts w:ascii="Times New Roman" w:hAnsi="Times New Roman" w:eastAsia="Liberation Sans"/>
          <w:sz w:val="28"/>
          <w:szCs w:val="28"/>
          <w:lang w:val="ru-RU"/>
        </w:rPr>
      </w:r>
      <w:r>
        <w:rPr>
          <w:rFonts w:ascii="Times New Roman" w:hAnsi="Times New Roman" w:eastAsia="Liberation Sans"/>
          <w:sz w:val="28"/>
          <w:szCs w:val="28"/>
          <w:lang w:val="ru-RU"/>
        </w:rPr>
      </w:r>
    </w:p>
    <w:p>
      <w:pPr>
        <w:pStyle w:val="1227"/>
        <w:numPr>
          <w:ilvl w:val="0"/>
          <w:numId w:val="103"/>
        </w:numPr>
        <w:ind w:left="0" w:right="0" w:firstLine="709"/>
        <w:jc w:val="both"/>
        <w:spacing w:line="276" w:lineRule="auto"/>
        <w:rPr>
          <w:rFonts w:ascii="Times New Roman" w:hAnsi="Times New Roman" w:eastAsia="Cambria Math"/>
          <w:sz w:val="28"/>
          <w:szCs w:val="28"/>
          <w:lang w:val="ru-RU"/>
        </w:rPr>
        <w:pBdr>
          <w:top w:val="none" w:color="000000" w:sz="4" w:space="0"/>
          <w:left w:val="none" w:color="000000" w:sz="4" w:space="0"/>
          <w:bottom w:val="none" w:color="000000" w:sz="4" w:space="0"/>
          <w:right w:val="none" w:color="000000" w:sz="4" w:space="0"/>
        </w:pBdr>
      </w:pPr>
      <w:r>
        <w:rPr>
          <w:rFonts w:ascii="Times New Roman" w:hAnsi="Times New Roman" w:eastAsia="Liberation Sans"/>
          <w:sz w:val="28"/>
          <w:szCs w:val="28"/>
          <w:lang w:val="ru-RU"/>
        </w:rPr>
        <w:t xml:space="preserve"> правовое информирование о существующих льготах для военнослужащих и членов их семей.</w:t>
      </w:r>
      <w:r>
        <w:rPr>
          <w:rFonts w:ascii="Times New Roman" w:hAnsi="Times New Roman" w:eastAsia="Cambria Math"/>
          <w:sz w:val="28"/>
          <w:szCs w:val="28"/>
          <w:lang w:val="ru-RU"/>
        </w:rPr>
      </w:r>
      <w:r>
        <w:rPr>
          <w:rFonts w:ascii="Times New Roman" w:hAnsi="Times New Roman" w:eastAsia="Cambria Math"/>
          <w:sz w:val="28"/>
          <w:szCs w:val="28"/>
          <w:lang w:val="ru-RU"/>
        </w:rPr>
      </w:r>
    </w:p>
    <w:p>
      <w:pPr>
        <w:ind w:firstLine="708"/>
        <w:jc w:val="both"/>
        <w:spacing w:after="0"/>
        <w:rPr>
          <w:rFonts w:ascii="Times New Roman" w:hAnsi="Times New Roman" w:eastAsia="Cambria Math"/>
          <w:sz w:val="28"/>
          <w:szCs w:val="28"/>
        </w:rPr>
        <w:pBdr>
          <w:top w:val="none" w:color="000000" w:sz="4" w:space="0"/>
          <w:left w:val="none" w:color="000000" w:sz="4" w:space="0"/>
          <w:bottom w:val="none" w:color="000000" w:sz="4" w:space="0"/>
          <w:right w:val="none" w:color="000000" w:sz="4" w:space="0"/>
        </w:pBdr>
      </w:pPr>
      <w:r>
        <w:rPr>
          <w:rFonts w:ascii="Times New Roman" w:hAnsi="Times New Roman" w:eastAsia="Cambria Math"/>
          <w:sz w:val="28"/>
          <w:szCs w:val="28"/>
        </w:rPr>
        <w:t xml:space="preserve">В разрешении  поставленных вопросов по защите прав военнослужащих и членов их семей плотно взаимодействуем с федеральным правозащитником Татьяной Москальковой, которая координирует свои действия </w:t>
      </w:r>
      <w:r>
        <w:rPr>
          <w:rFonts w:ascii="Times New Roman" w:hAnsi="Times New Roman" w:eastAsia="Cambria Math"/>
          <w:color w:val="auto"/>
          <w:sz w:val="28"/>
          <w:szCs w:val="28"/>
        </w:rPr>
        <w:t xml:space="preserve">с</w:t>
      </w:r>
      <w:r>
        <w:rPr>
          <w:rFonts w:ascii="Times New Roman" w:hAnsi="Times New Roman" w:eastAsia="Cambria Math"/>
          <w:sz w:val="28"/>
          <w:szCs w:val="28"/>
        </w:rPr>
        <w:t xml:space="preserve"> Международным комитетом Красного Креста, Министерством обороны России и спецслужбами.</w:t>
      </w:r>
      <w:r>
        <w:rPr>
          <w:rFonts w:ascii="Times New Roman" w:hAnsi="Times New Roman" w:eastAsia="Cambria Math"/>
          <w:sz w:val="28"/>
          <w:szCs w:val="28"/>
        </w:rPr>
      </w:r>
      <w:r>
        <w:rPr>
          <w:rFonts w:ascii="Times New Roman" w:hAnsi="Times New Roman" w:eastAsia="Cambria Math"/>
          <w:sz w:val="28"/>
          <w:szCs w:val="28"/>
        </w:rPr>
      </w:r>
    </w:p>
    <w:p>
      <w:pPr>
        <w:ind w:firstLine="708"/>
        <w:jc w:val="both"/>
        <w:spacing w:after="0"/>
        <w:shd w:val="clear" w:color="ffffff" w:fill="ffffff"/>
        <w:rPr>
          <w:rFonts w:ascii="Times New Roman" w:hAnsi="Times New Roman"/>
          <w:sz w:val="28"/>
          <w:szCs w:val="28"/>
        </w:rPr>
        <w:pBdr>
          <w:top w:val="none" w:color="000000" w:sz="4" w:space="0"/>
          <w:left w:val="none" w:color="000000" w:sz="4" w:space="0"/>
          <w:bottom w:val="none" w:color="000000" w:sz="4" w:space="0"/>
          <w:right w:val="none" w:color="000000" w:sz="4" w:space="0"/>
        </w:pBdr>
      </w:pPr>
      <w:r>
        <w:rPr>
          <w:rFonts w:ascii="Times New Roman" w:hAnsi="Times New Roman" w:eastAsia="Cambria Math"/>
          <w:color w:val="1a1a1a"/>
          <w:sz w:val="28"/>
          <w:szCs w:val="28"/>
        </w:rPr>
        <w:t xml:space="preserve">В результате проведенной работы наши земляки получили возможность вернуться на Родину, встретиться со своими семьями.</w:t>
      </w:r>
      <w:r>
        <w:rPr>
          <w:rFonts w:ascii="Times New Roman" w:hAnsi="Times New Roman"/>
          <w:sz w:val="28"/>
          <w:szCs w:val="28"/>
        </w:rPr>
      </w:r>
      <w:r>
        <w:rPr>
          <w:rFonts w:ascii="Times New Roman" w:hAnsi="Times New Roman"/>
          <w:sz w:val="28"/>
          <w:szCs w:val="28"/>
        </w:rPr>
      </w:r>
    </w:p>
    <w:p>
      <w:pPr>
        <w:ind w:firstLine="708"/>
        <w:jc w:val="both"/>
        <w:spacing w:after="0"/>
        <w:shd w:val="clear" w:color="ffffff" w:fill="ffffff"/>
        <w:rPr>
          <w:rFonts w:ascii="Times New Roman" w:hAnsi="Times New Roman"/>
          <w:i/>
          <w:iCs/>
          <w:sz w:val="28"/>
          <w:szCs w:val="28"/>
        </w:rPr>
        <w:pBdr>
          <w:top w:val="none" w:color="000000" w:sz="4" w:space="0"/>
          <w:left w:val="none" w:color="000000" w:sz="4" w:space="0"/>
          <w:bottom w:val="none" w:color="000000" w:sz="4" w:space="0"/>
          <w:right w:val="none" w:color="000000" w:sz="4" w:space="0"/>
        </w:pBdr>
      </w:pPr>
      <w:r>
        <w:rPr>
          <w:rFonts w:ascii="Times New Roman" w:hAnsi="Times New Roman" w:eastAsia="Liberation Sans"/>
          <w:i/>
          <w:iCs/>
          <w:color w:val="1a1a1a"/>
          <w:sz w:val="28"/>
          <w:szCs w:val="28"/>
        </w:rPr>
        <w:t xml:space="preserve">Выражаем искреннюю благодарность лично Татьяне Николаевне  </w:t>
      </w:r>
      <w:r>
        <w:rPr>
          <w:rFonts w:ascii="Times New Roman" w:hAnsi="Times New Roman" w:eastAsia="Liberation Sans"/>
          <w:i/>
          <w:iCs/>
          <w:color w:val="1a1a1a"/>
          <w:sz w:val="28"/>
          <w:szCs w:val="28"/>
        </w:rPr>
        <w:t xml:space="preserve">Москальковой</w:t>
      </w:r>
      <w:r>
        <w:rPr>
          <w:rFonts w:ascii="Times New Roman" w:hAnsi="Times New Roman" w:eastAsia="Liberation Sans"/>
          <w:i/>
          <w:iCs/>
          <w:color w:val="1a1a1a"/>
          <w:sz w:val="28"/>
          <w:szCs w:val="28"/>
        </w:rPr>
        <w:t xml:space="preserve"> и всем, кто принимал участие в освобождении наших защитников и продолжает работу по возвращению военнослужащих домой. Работа в интересах наших военнослужащих и их семей остается приоритетным направление деятельности региональной службы </w:t>
      </w:r>
      <w:r>
        <w:rPr>
          <w:rFonts w:ascii="Times New Roman" w:hAnsi="Times New Roman" w:eastAsia="Liberation Sans"/>
          <w:i/>
          <w:iCs/>
          <w:color w:val="1a1a1a"/>
          <w:sz w:val="28"/>
          <w:szCs w:val="28"/>
        </w:rPr>
        <w:t xml:space="preserve">правозащиты</w:t>
      </w:r>
      <w:r>
        <w:rPr>
          <w:rFonts w:ascii="Times New Roman" w:hAnsi="Times New Roman" w:eastAsia="Liberation Sans"/>
          <w:i/>
          <w:iCs/>
          <w:color w:val="1a1a1a"/>
          <w:sz w:val="28"/>
          <w:szCs w:val="28"/>
        </w:rPr>
        <w:t xml:space="preserve">.</w:t>
      </w:r>
      <w:r>
        <w:rPr>
          <w:rFonts w:ascii="Times New Roman" w:hAnsi="Times New Roman"/>
          <w:i/>
          <w:iCs/>
          <w:sz w:val="28"/>
          <w:szCs w:val="28"/>
        </w:rPr>
      </w:r>
      <w:r>
        <w:rPr>
          <w:rFonts w:ascii="Times New Roman" w:hAnsi="Times New Roman"/>
          <w:i/>
          <w:iCs/>
          <w:sz w:val="28"/>
          <w:szCs w:val="28"/>
        </w:rPr>
      </w:r>
    </w:p>
    <w:p>
      <w:pPr>
        <w:ind w:firstLine="709"/>
        <w:jc w:val="both"/>
        <w:spacing w:after="0"/>
        <w:shd w:val="clear" w:color="ffffff" w:fill="ffffff"/>
        <w:rPr>
          <w:rFonts w:ascii="Times New Roman" w:hAnsi="Times New Roman"/>
          <w:sz w:val="28"/>
          <w:szCs w:val="28"/>
        </w:rPr>
        <w:pBdr>
          <w:top w:val="none" w:color="000000" w:sz="4" w:space="0"/>
          <w:left w:val="none" w:color="000000" w:sz="4" w:space="0"/>
          <w:bottom w:val="none" w:color="000000" w:sz="4" w:space="0"/>
          <w:right w:val="none" w:color="000000" w:sz="4" w:space="0"/>
        </w:pBdr>
      </w:pPr>
      <w:r>
        <w:rPr>
          <w:rFonts w:ascii="Times New Roman" w:hAnsi="Times New Roman"/>
          <w:sz w:val="28"/>
          <w:szCs w:val="28"/>
        </w:rPr>
        <w:t xml:space="preserve">Наша главная задача – обеспечивать на территории Ивановской области неукоснительное соблюдение законодательства Российской Федерации, гарантирующего социальные права и меры поддержки тем, кто выполняет свой воинский долг, и их семьям. </w:t>
      </w:r>
      <w:r>
        <w:rPr>
          <w:rFonts w:ascii="Times New Roman" w:hAnsi="Times New Roman"/>
          <w:sz w:val="28"/>
          <w:szCs w:val="28"/>
        </w:rPr>
      </w:r>
      <w:r>
        <w:rPr>
          <w:rFonts w:ascii="Times New Roman" w:hAnsi="Times New Roman"/>
          <w:sz w:val="28"/>
          <w:szCs w:val="28"/>
        </w:rPr>
      </w:r>
    </w:p>
    <w:p>
      <w:pPr>
        <w:ind w:firstLine="709"/>
        <w:jc w:val="both"/>
        <w:spacing w:after="0"/>
        <w:shd w:val="clear" w:color="ffffff" w:fill="ffffff"/>
        <w:pBdr>
          <w:top w:val="none" w:color="000000" w:sz="4" w:space="0"/>
          <w:left w:val="none" w:color="000000" w:sz="4" w:space="0"/>
          <w:bottom w:val="none" w:color="000000" w:sz="4" w:space="0"/>
          <w:right w:val="none" w:color="000000" w:sz="4" w:space="0"/>
        </w:pBdr>
      </w:pPr>
      <w:r>
        <w:rPr>
          <w:rFonts w:ascii="Times New Roman" w:hAnsi="Times New Roman"/>
          <w:sz w:val="28"/>
          <w:szCs w:val="28"/>
        </w:rPr>
        <w:t xml:space="preserve">В Ивановской области уже два года работает клуб «Дом открытых сердец», объедин</w:t>
      </w:r>
      <w:r>
        <w:rPr>
          <w:rFonts w:ascii="Times New Roman" w:hAnsi="Times New Roman"/>
          <w:sz w:val="28"/>
          <w:szCs w:val="28"/>
        </w:rPr>
        <w:t xml:space="preserve">яющий семьи </w:t>
      </w:r>
      <w:r>
        <w:rPr>
          <w:rFonts w:ascii="Times New Roman" w:hAnsi="Times New Roman"/>
          <w:sz w:val="28"/>
          <w:szCs w:val="28"/>
        </w:rPr>
        <w:t xml:space="preserve">военнослужащих, погибших в ходе специальной военной операции. Инициатива по его созданию принадлежит лидеру общественного мнения – члену ОНФ Светлане Шишкиной. Главная задача объединения - оказывать всестороннюю поддержку матерям, женам, детям и близким за</w:t>
      </w:r>
      <w:r>
        <w:rPr>
          <w:rFonts w:ascii="Times New Roman" w:hAnsi="Times New Roman"/>
          <w:sz w:val="28"/>
          <w:szCs w:val="28"/>
        </w:rPr>
        <w:t xml:space="preserve">щи</w:t>
      </w:r>
      <w:r>
        <w:rPr>
          <w:rFonts w:ascii="Times New Roman" w:hAnsi="Times New Roman"/>
          <w:sz w:val="28"/>
          <w:szCs w:val="28"/>
        </w:rPr>
        <w:t xml:space="preserve">тников Отечества, отдавших жизнь за Родину. Для них клуб стал местом, где можно найти понимание, почувствовать заботу и ощутить себя частью большой семьи, что особенно важно в период тяжелой утраты. Особое внимание здесь уделяется и психологической помощи.</w:t>
      </w:r>
      <w:r/>
    </w:p>
    <w:p>
      <w:pPr>
        <w:ind w:firstLine="709"/>
        <w:jc w:val="both"/>
        <w:spacing w:after="0"/>
        <w:shd w:val="clear" w:color="ffffff" w:fill="ffffff"/>
        <w:rPr>
          <w:rFonts w:ascii="Times New Roman" w:hAnsi="Times New Roman"/>
          <w:sz w:val="28"/>
          <w:szCs w:val="28"/>
        </w:rPr>
        <w:pBdr>
          <w:top w:val="none" w:color="000000" w:sz="4" w:space="0"/>
          <w:left w:val="none" w:color="000000" w:sz="4" w:space="0"/>
          <w:bottom w:val="none" w:color="000000" w:sz="4" w:space="0"/>
          <w:right w:val="none" w:color="000000" w:sz="4" w:space="0"/>
        </w:pBdr>
      </w:pPr>
      <w:r>
        <w:rPr>
          <w:rFonts w:ascii="Times New Roman" w:hAnsi="Times New Roman"/>
          <w:sz w:val="28"/>
          <w:szCs w:val="28"/>
        </w:rPr>
        <w:t xml:space="preserve">В апреле 2025 года с работой клуба ознакомились представители власти и общественности. В мероприятии приняли участи</w:t>
      </w:r>
      <w:r>
        <w:rPr>
          <w:rFonts w:ascii="Times New Roman" w:hAnsi="Times New Roman"/>
          <w:sz w:val="28"/>
          <w:szCs w:val="28"/>
        </w:rPr>
        <w:t xml:space="preserve">е Уполномоченный по правам человека Светлана Шмелева, председатель Ивановской городской Думы Александр Кузьмичев, депутат областной Думы, руководитель районного КСВО г.о. Тейково Ольга Гусева и руководитель регионального исполкома Народного Фронта Евгений </w:t>
      </w:r>
      <w:r>
        <w:rPr>
          <w:rFonts w:ascii="Times New Roman" w:hAnsi="Times New Roman"/>
          <w:sz w:val="28"/>
          <w:szCs w:val="28"/>
        </w:rPr>
        <w:t xml:space="preserve">Линин</w:t>
      </w:r>
      <w:r>
        <w:rPr>
          <w:rFonts w:ascii="Times New Roman" w:hAnsi="Times New Roman"/>
          <w:sz w:val="28"/>
          <w:szCs w:val="28"/>
        </w:rPr>
        <w:t xml:space="preserve">.</w:t>
      </w:r>
      <w:r>
        <w:rPr>
          <w:rFonts w:ascii="Times New Roman" w:hAnsi="Times New Roman"/>
          <w:sz w:val="28"/>
          <w:szCs w:val="28"/>
        </w:rPr>
      </w:r>
      <w:r>
        <w:rPr>
          <w:rFonts w:ascii="Times New Roman" w:hAnsi="Times New Roman"/>
          <w:sz w:val="28"/>
          <w:szCs w:val="28"/>
        </w:rPr>
      </w:r>
    </w:p>
    <w:p>
      <w:pPr>
        <w:ind w:firstLine="709"/>
        <w:jc w:val="both"/>
        <w:spacing w:after="0"/>
        <w:shd w:val="clear" w:color="ffffff" w:fill="ffffff"/>
        <w:rPr>
          <w:rFonts w:ascii="Times New Roman" w:hAnsi="Times New Roman"/>
          <w:sz w:val="28"/>
          <w:szCs w:val="28"/>
        </w:rPr>
        <w:pBdr>
          <w:top w:val="none" w:color="000000" w:sz="4" w:space="0"/>
          <w:left w:val="none" w:color="000000" w:sz="4" w:space="0"/>
          <w:bottom w:val="none" w:color="000000" w:sz="4" w:space="0"/>
          <w:right w:val="none" w:color="000000" w:sz="4" w:space="0"/>
        </w:pBdr>
      </w:pPr>
      <w:r>
        <w:rPr>
          <w:rFonts w:ascii="Times New Roman" w:hAnsi="Times New Roman" w:eastAsia="Times New Roman"/>
          <w:color w:val="000000"/>
          <w:sz w:val="28"/>
          <w:szCs w:val="28"/>
        </w:rPr>
        <w:t xml:space="preserve">На тематической площадке говорили о радостях и трудностях, заботе и поддержке, о единении в этот особый жизненный период...</w:t>
      </w:r>
      <w:r>
        <w:rPr>
          <w:rFonts w:ascii="Times New Roman" w:hAnsi="Times New Roman"/>
          <w:sz w:val="28"/>
          <w:szCs w:val="28"/>
        </w:rPr>
      </w:r>
      <w:r>
        <w:rPr>
          <w:rFonts w:ascii="Times New Roman" w:hAnsi="Times New Roman"/>
          <w:sz w:val="28"/>
          <w:szCs w:val="28"/>
        </w:rPr>
      </w:r>
    </w:p>
    <w:p>
      <w:pPr>
        <w:ind w:firstLine="709"/>
        <w:jc w:val="both"/>
        <w:spacing w:after="0"/>
        <w:shd w:val="clear" w:color="ffffff" w:fill="ffffff"/>
        <w:rPr>
          <w:rFonts w:ascii="Times New Roman" w:hAnsi="Times New Roman" w:eastAsia="Times New Roman"/>
          <w:sz w:val="28"/>
          <w:szCs w:val="28"/>
        </w:rPr>
        <w:pBdr>
          <w:top w:val="none" w:color="000000" w:sz="4" w:space="0"/>
          <w:left w:val="none" w:color="000000" w:sz="4" w:space="0"/>
          <w:bottom w:val="none" w:color="000000" w:sz="4" w:space="0"/>
          <w:right w:val="none" w:color="000000" w:sz="4" w:space="0"/>
        </w:pBdr>
      </w:pPr>
      <w:r>
        <w:rPr>
          <w:rFonts w:ascii="Times New Roman" w:hAnsi="Times New Roman" w:eastAsia="Times New Roman"/>
          <w:color w:val="000000"/>
          <w:sz w:val="28"/>
          <w:szCs w:val="28"/>
        </w:rPr>
        <w:t xml:space="preserve">В ходе общения с руководством регионального отделения КСВО в регулярном режиме обсудить рабочие вопросы, связанные с поиском без вести пропавших бойцов. Затронуты проблемы маршрутизации по адаптации к мирной жизни вернувшихся защитников Отечества.</w:t>
      </w:r>
      <w:r>
        <w:rPr>
          <w:rFonts w:ascii="Times New Roman" w:hAnsi="Times New Roman" w:eastAsia="Times New Roman"/>
          <w:sz w:val="28"/>
          <w:szCs w:val="28"/>
        </w:rPr>
      </w:r>
      <w:r>
        <w:rPr>
          <w:rFonts w:ascii="Times New Roman" w:hAnsi="Times New Roman" w:eastAsia="Times New Roman"/>
          <w:sz w:val="28"/>
          <w:szCs w:val="28"/>
        </w:rPr>
      </w:r>
    </w:p>
    <w:p>
      <w:pPr>
        <w:ind w:firstLine="709"/>
        <w:jc w:val="both"/>
        <w:spacing w:after="0"/>
        <w:shd w:val="clear" w:color="ffffff" w:fill="ffffff"/>
        <w:pBdr>
          <w:top w:val="none" w:color="000000" w:sz="4" w:space="0"/>
          <w:left w:val="none" w:color="000000" w:sz="4" w:space="0"/>
          <w:bottom w:val="none" w:color="000000" w:sz="4" w:space="0"/>
          <w:right w:val="none" w:color="000000" w:sz="4" w:space="0"/>
        </w:pBdr>
      </w:pPr>
      <w:r>
        <w:rPr>
          <w:rFonts w:ascii="Times New Roman" w:hAnsi="Times New Roman" w:eastAsia="Times New Roman"/>
          <w:sz w:val="28"/>
          <w:szCs w:val="28"/>
        </w:rPr>
        <w:t xml:space="preserve"> Помогают в работе и непосредственно живое общение с защитниками Отечества. Накануне юбилейного Дня Победы Уполномоченный вместе с учениками и педагогами </w:t>
      </w:r>
      <w:r>
        <w:rPr>
          <w:rFonts w:ascii="Times New Roman" w:hAnsi="Times New Roman" w:eastAsia="Times New Roman"/>
          <w:sz w:val="28"/>
          <w:szCs w:val="28"/>
        </w:rPr>
        <w:t xml:space="preserve">Иванковской</w:t>
      </w:r>
      <w:r>
        <w:rPr>
          <w:rFonts w:ascii="Times New Roman" w:hAnsi="Times New Roman" w:eastAsia="Times New Roman"/>
          <w:sz w:val="28"/>
          <w:szCs w:val="28"/>
        </w:rPr>
        <w:t xml:space="preserve"> средней школы (</w:t>
      </w:r>
      <w:r>
        <w:rPr>
          <w:rFonts w:ascii="Times New Roman" w:hAnsi="Times New Roman" w:eastAsia="Times New Roman"/>
          <w:sz w:val="28"/>
          <w:szCs w:val="28"/>
        </w:rPr>
        <w:t xml:space="preserve">Фурмановский</w:t>
      </w:r>
      <w:r>
        <w:rPr>
          <w:rFonts w:ascii="Times New Roman" w:hAnsi="Times New Roman" w:eastAsia="Times New Roman"/>
          <w:sz w:val="28"/>
          <w:szCs w:val="28"/>
        </w:rPr>
        <w:t xml:space="preserve"> район) посетила бойцов, проходящих лечение в Ивановском военном госпитале.</w:t>
      </w:r>
      <w:r/>
    </w:p>
    <w:p>
      <w:pPr>
        <w:ind w:firstLine="709"/>
        <w:jc w:val="both"/>
        <w:spacing w:after="0"/>
        <w:shd w:val="clear" w:color="ffffff" w:fill="ffffff"/>
        <w:pBdr>
          <w:top w:val="none" w:color="000000" w:sz="4" w:space="0"/>
          <w:left w:val="none" w:color="000000" w:sz="4" w:space="0"/>
          <w:bottom w:val="none" w:color="000000" w:sz="4" w:space="0"/>
          <w:right w:val="none" w:color="000000" w:sz="4" w:space="0"/>
        </w:pBdr>
      </w:pPr>
      <w:r>
        <w:rPr>
          <w:rFonts w:ascii="Times New Roman" w:hAnsi="Times New Roman" w:eastAsia="Times New Roman"/>
          <w:sz w:val="28"/>
          <w:szCs w:val="28"/>
        </w:rPr>
        <w:t xml:space="preserve">В рамках визита омбудсмен осмотрела палаты и провела личный прием раненых военнослужащих. Были взяты в работу вопросы, касающиеся своевременного получения денежных выплат.</w:t>
      </w:r>
      <w:r/>
    </w:p>
    <w:p>
      <w:pPr>
        <w:ind w:firstLine="709"/>
        <w:jc w:val="both"/>
        <w:spacing w:after="0"/>
        <w:shd w:val="clear" w:color="ffffff" w:fill="ffffff"/>
        <w:pBdr>
          <w:top w:val="none" w:color="000000" w:sz="4" w:space="0"/>
          <w:left w:val="none" w:color="000000" w:sz="4" w:space="0"/>
          <w:bottom w:val="none" w:color="000000" w:sz="4" w:space="0"/>
          <w:right w:val="none" w:color="000000" w:sz="4" w:space="0"/>
        </w:pBdr>
      </w:pPr>
      <w:r>
        <w:rPr>
          <w:rFonts w:ascii="Times New Roman" w:hAnsi="Times New Roman" w:eastAsia="Times New Roman"/>
          <w:sz w:val="28"/>
          <w:szCs w:val="28"/>
        </w:rPr>
        <w:t xml:space="preserve">Также от медицинского персонала Филиала №5 ФГКУ «422 военный госпиталь» Минобороны России поступило обращение</w:t>
      </w:r>
      <w:r>
        <w:rPr>
          <w:rFonts w:ascii="Times New Roman" w:hAnsi="Times New Roman" w:eastAsia="Times New Roman"/>
          <w:sz w:val="28"/>
          <w:szCs w:val="28"/>
        </w:rPr>
        <w:t xml:space="preserve"> по улучшению работы общественного транспорта (маршрут №35). Сотрудники госпиталя отметили, что </w:t>
      </w:r>
      <w:r>
        <w:rPr>
          <w:rFonts w:ascii="Times New Roman" w:hAnsi="Times New Roman" w:eastAsia="Times New Roman"/>
          <w:sz w:val="28"/>
          <w:szCs w:val="28"/>
        </w:rPr>
        <w:t xml:space="preserve">особенно в выходные дни им сложно добираться до места работы. По всем обозначенным проблемам были подготовлены и направлены запросы в соответствующие ведомства. При подключении профильного транспортного ведомства обозначенную проблему удалось смикшировать.</w:t>
      </w:r>
      <w:r/>
    </w:p>
    <w:p>
      <w:pPr>
        <w:ind w:firstLine="709"/>
        <w:jc w:val="both"/>
        <w:spacing w:after="0"/>
        <w:shd w:val="clear" w:color="ffffff" w:fill="ffffff"/>
        <w:rPr>
          <w:rFonts w:ascii="Times New Roman" w:hAnsi="Times New Roman" w:eastAsia="Times New Roman"/>
          <w:sz w:val="28"/>
          <w:szCs w:val="28"/>
        </w:rPr>
        <w:pBdr>
          <w:top w:val="none" w:color="000000" w:sz="4" w:space="0"/>
          <w:left w:val="none" w:color="000000" w:sz="4" w:space="0"/>
          <w:bottom w:val="none" w:color="000000" w:sz="4" w:space="0"/>
          <w:right w:val="none" w:color="000000" w:sz="4" w:space="0"/>
        </w:pBdr>
      </w:pPr>
      <w:r>
        <w:rPr>
          <w:rFonts w:ascii="Times New Roman" w:hAnsi="Times New Roman" w:eastAsia="Times New Roman"/>
          <w:sz w:val="28"/>
          <w:szCs w:val="28"/>
        </w:rPr>
        <w:t xml:space="preserve">Особенно теплыми и многочисленными были слова благодарности от самих военнослужащих. Они выразили признательность руководству и медицинскому персоналу госпиталя</w:t>
      </w:r>
      <w:r>
        <w:rPr>
          <w:rFonts w:ascii="Times New Roman" w:hAnsi="Times New Roman" w:eastAsia="Times New Roman"/>
          <w:sz w:val="28"/>
          <w:szCs w:val="28"/>
        </w:rPr>
        <w:t xml:space="preserve"> за высокий профессионализм, оперативность в принятии решений и, самое главное, - за спасенные жизни, за домашнюю, душевную атмосферу и заботу, которые помогают им на пути к выздоровлению. Однако материально – техническая база госпиталя требует обновления.</w:t>
      </w:r>
      <w:r>
        <w:rPr>
          <w:rFonts w:ascii="Times New Roman" w:hAnsi="Times New Roman" w:eastAsia="Times New Roman"/>
          <w:sz w:val="28"/>
          <w:szCs w:val="28"/>
        </w:rPr>
      </w:r>
      <w:r>
        <w:rPr>
          <w:rFonts w:ascii="Times New Roman" w:hAnsi="Times New Roman" w:eastAsia="Times New Roman"/>
          <w:sz w:val="28"/>
          <w:szCs w:val="28"/>
        </w:rPr>
      </w:r>
    </w:p>
    <w:p>
      <w:pPr>
        <w:ind w:firstLine="709"/>
        <w:jc w:val="both"/>
        <w:spacing w:after="0"/>
        <w:shd w:val="clear" w:color="ffffff" w:fill="ffffff"/>
        <w:pBdr>
          <w:top w:val="none" w:color="000000" w:sz="4" w:space="0"/>
          <w:left w:val="none" w:color="000000" w:sz="4" w:space="0"/>
          <w:bottom w:val="none" w:color="000000" w:sz="4" w:space="0"/>
          <w:right w:val="none" w:color="000000" w:sz="4" w:space="0"/>
        </w:pBdr>
      </w:pPr>
      <w:r>
        <w:rPr>
          <w:rFonts w:ascii="Times New Roman" w:hAnsi="Times New Roman" w:eastAsia="Times New Roman"/>
          <w:sz w:val="28"/>
          <w:szCs w:val="28"/>
        </w:rPr>
        <w:t xml:space="preserve"> Однозначно, помогают в оттачивании профессионального мастерства правозащитников  образовательные семинары российского масштаба. Так, в мае 2025 года в Екатеринбурге под председательством федерального омбудсмена Татьяны </w:t>
      </w:r>
      <w:r>
        <w:rPr>
          <w:rFonts w:ascii="Times New Roman" w:hAnsi="Times New Roman" w:eastAsia="Times New Roman"/>
          <w:sz w:val="28"/>
          <w:szCs w:val="28"/>
        </w:rPr>
        <w:t xml:space="preserve">Москальковой</w:t>
      </w:r>
      <w:r>
        <w:rPr>
          <w:rFonts w:ascii="Times New Roman" w:hAnsi="Times New Roman" w:eastAsia="Times New Roman"/>
          <w:sz w:val="28"/>
          <w:szCs w:val="28"/>
        </w:rPr>
        <w:t xml:space="preserve"> прошло заседание Всероссийского координационного совета уполномоченных по правам человека.</w:t>
      </w:r>
      <w:r>
        <w:rPr>
          <w:rFonts w:ascii="Times New Roman" w:hAnsi="Times New Roman" w:eastAsia="Times New Roman"/>
          <w:b/>
          <w:bCs/>
          <w:i/>
          <w:iCs/>
          <w:sz w:val="28"/>
          <w:szCs w:val="28"/>
        </w:rPr>
        <w:t xml:space="preserve"> </w:t>
      </w:r>
      <w:r>
        <w:rPr>
          <w:rFonts w:ascii="Times New Roman" w:hAnsi="Times New Roman" w:eastAsia="Times New Roman"/>
          <w:sz w:val="28"/>
          <w:szCs w:val="28"/>
        </w:rPr>
        <w:t xml:space="preserve">Ключевой темой обсуждения стало обеспечение и защита прав участников специальной военной операции и ветеранов боевых действий.</w:t>
      </w:r>
      <w:r/>
    </w:p>
    <w:p>
      <w:pPr>
        <w:ind w:firstLine="709"/>
        <w:jc w:val="both"/>
        <w:spacing w:after="0"/>
        <w:shd w:val="clear" w:color="ffffff" w:fill="ffffff"/>
        <w:pBdr>
          <w:top w:val="none" w:color="000000" w:sz="4" w:space="0"/>
          <w:left w:val="none" w:color="000000" w:sz="4" w:space="0"/>
          <w:bottom w:val="none" w:color="000000" w:sz="4" w:space="0"/>
          <w:right w:val="none" w:color="000000" w:sz="4" w:space="0"/>
        </w:pBdr>
      </w:pPr>
      <w:r>
        <w:rPr>
          <w:rFonts w:ascii="Times New Roman" w:hAnsi="Times New Roman" w:eastAsia="Times New Roman"/>
          <w:sz w:val="28"/>
          <w:szCs w:val="28"/>
        </w:rPr>
        <w:t xml:space="preserve">В своем выступлении Татьяна Николаевна подчеркнула, что поддержка военнослужащих и ветеранов является приоритетом государственной политики. По итогам заседания были сформулированы ключевые рекомендации органам государственной власти:</w:t>
      </w:r>
      <w:r/>
    </w:p>
    <w:p>
      <w:pPr>
        <w:pStyle w:val="1227"/>
        <w:numPr>
          <w:ilvl w:val="0"/>
          <w:numId w:val="95"/>
        </w:numPr>
        <w:ind w:left="0" w:firstLine="709"/>
        <w:jc w:val="both"/>
        <w:spacing w:line="276" w:lineRule="auto"/>
        <w:shd w:val="clear" w:color="ffffff" w:fill="ffffff"/>
        <w:rPr>
          <w:lang w:val="ru-RU"/>
        </w:rPr>
        <w:pBdr>
          <w:top w:val="none" w:color="000000" w:sz="4" w:space="0"/>
          <w:left w:val="none" w:color="000000" w:sz="4" w:space="0"/>
          <w:bottom w:val="none" w:color="000000" w:sz="4" w:space="0"/>
          <w:right w:val="none" w:color="000000" w:sz="4" w:space="0"/>
        </w:pBdr>
      </w:pPr>
      <w:r>
        <w:rPr>
          <w:rFonts w:ascii="Times New Roman" w:hAnsi="Times New Roman" w:eastAsia="Times New Roman"/>
          <w:sz w:val="28"/>
          <w:szCs w:val="28"/>
          <w:lang w:val="ru-RU"/>
        </w:rPr>
        <w:t xml:space="preserve">рассмотреть вопрос об увеличении ежемесячных денежных выплат ветеранам боевых действий на основе дифференцированного подхода;</w:t>
      </w:r>
      <w:r>
        <w:rPr>
          <w:lang w:val="ru-RU"/>
        </w:rPr>
      </w:r>
      <w:r>
        <w:rPr>
          <w:lang w:val="ru-RU"/>
        </w:rPr>
      </w:r>
    </w:p>
    <w:p>
      <w:pPr>
        <w:pStyle w:val="1227"/>
        <w:numPr>
          <w:ilvl w:val="0"/>
          <w:numId w:val="95"/>
        </w:numPr>
        <w:ind w:left="0" w:firstLine="709"/>
        <w:jc w:val="both"/>
        <w:spacing w:line="276" w:lineRule="auto"/>
        <w:shd w:val="clear" w:color="ffffff" w:fill="ffffff"/>
        <w:rPr>
          <w:lang w:val="ru-RU"/>
        </w:rPr>
        <w:pBdr>
          <w:top w:val="none" w:color="000000" w:sz="4" w:space="0"/>
          <w:left w:val="none" w:color="000000" w:sz="4" w:space="0"/>
          <w:bottom w:val="none" w:color="000000" w:sz="4" w:space="0"/>
          <w:right w:val="none" w:color="000000" w:sz="4" w:space="0"/>
        </w:pBdr>
      </w:pPr>
      <w:r>
        <w:rPr>
          <w:rFonts w:ascii="Times New Roman" w:hAnsi="Times New Roman" w:eastAsia="Times New Roman"/>
          <w:sz w:val="28"/>
          <w:szCs w:val="28"/>
          <w:lang w:val="ru-RU"/>
        </w:rPr>
        <w:t xml:space="preserve">разработать и внедрить единый стандарт комплексной медико-психологической реабилитации для участников СВО;</w:t>
      </w:r>
      <w:r>
        <w:rPr>
          <w:lang w:val="ru-RU"/>
        </w:rPr>
      </w:r>
      <w:r>
        <w:rPr>
          <w:lang w:val="ru-RU"/>
        </w:rPr>
      </w:r>
    </w:p>
    <w:p>
      <w:pPr>
        <w:pStyle w:val="1227"/>
        <w:numPr>
          <w:ilvl w:val="0"/>
          <w:numId w:val="95"/>
        </w:numPr>
        <w:ind w:left="0" w:firstLine="709"/>
        <w:jc w:val="both"/>
        <w:spacing w:line="276" w:lineRule="auto"/>
        <w:shd w:val="clear" w:color="ffffff" w:fill="ffffff"/>
        <w:rPr>
          <w:lang w:val="ru-RU"/>
        </w:rPr>
        <w:pBdr>
          <w:top w:val="none" w:color="000000" w:sz="4" w:space="0"/>
          <w:left w:val="none" w:color="000000" w:sz="4" w:space="0"/>
          <w:bottom w:val="none" w:color="000000" w:sz="4" w:space="0"/>
          <w:right w:val="none" w:color="000000" w:sz="4" w:space="0"/>
        </w:pBdr>
      </w:pPr>
      <w:r>
        <w:rPr>
          <w:rFonts w:ascii="Times New Roman" w:hAnsi="Times New Roman" w:eastAsia="Times New Roman"/>
          <w:sz w:val="28"/>
          <w:szCs w:val="28"/>
          <w:lang w:val="ru-RU"/>
        </w:rPr>
        <w:t xml:space="preserve">расширить сеть бесплатных подготовительных курсов для поступления в вузы для возвращающихся к гражданской жизни участников СВО.</w:t>
      </w:r>
      <w:r>
        <w:rPr>
          <w:lang w:val="ru-RU"/>
        </w:rPr>
      </w:r>
      <w:r>
        <w:rPr>
          <w:lang w:val="ru-RU"/>
        </w:rPr>
      </w:r>
    </w:p>
    <w:p>
      <w:pPr>
        <w:ind w:firstLine="709"/>
        <w:jc w:val="both"/>
        <w:spacing w:after="0" w:line="276" w:lineRule="auto"/>
        <w:shd w:val="clear" w:color="ffffff" w:fill="ffffff"/>
        <w:rPr>
          <w:rFonts w:ascii="Times New Roman" w:hAnsi="Times New Roman"/>
          <w:sz w:val="28"/>
          <w:szCs w:val="28"/>
        </w:rPr>
        <w:pBdr>
          <w:top w:val="none" w:color="000000" w:sz="4" w:space="0"/>
          <w:left w:val="none" w:color="000000" w:sz="4" w:space="0"/>
          <w:bottom w:val="none" w:color="000000" w:sz="4" w:space="0"/>
          <w:right w:val="none" w:color="000000" w:sz="4" w:space="0"/>
        </w:pBdr>
      </w:pPr>
      <w:r>
        <w:rPr>
          <w:rFonts w:ascii="Times New Roman" w:hAnsi="Times New Roman" w:eastAsia="Times New Roman"/>
          <w:sz w:val="28"/>
          <w:szCs w:val="28"/>
        </w:rPr>
        <w:t xml:space="preserve">Отдельно федеральный омбудсмен сообщила о том, что ведется работа над концепцией федерального закона, касающегося правового статуса и поддержки семей военнослужащих, пропавших без вести.</w:t>
      </w:r>
      <w:r>
        <w:rPr>
          <w:rFonts w:ascii="Times New Roman" w:hAnsi="Times New Roman"/>
          <w:sz w:val="28"/>
          <w:szCs w:val="28"/>
        </w:rPr>
      </w:r>
      <w:r>
        <w:rPr>
          <w:rFonts w:ascii="Times New Roman" w:hAnsi="Times New Roman"/>
          <w:sz w:val="28"/>
          <w:szCs w:val="28"/>
        </w:rPr>
      </w:r>
    </w:p>
    <w:p>
      <w:pPr>
        <w:ind w:firstLine="709"/>
        <w:jc w:val="both"/>
        <w:spacing w:after="0"/>
        <w:shd w:val="clear" w:color="ffffff" w:fill="ffffff"/>
        <w:rPr>
          <w:rFonts w:ascii="Times New Roman" w:hAnsi="Times New Roman"/>
          <w:sz w:val="28"/>
          <w:szCs w:val="28"/>
        </w:rPr>
        <w:pBdr>
          <w:top w:val="none" w:color="000000" w:sz="4" w:space="0"/>
          <w:left w:val="none" w:color="000000" w:sz="4" w:space="0"/>
          <w:bottom w:val="none" w:color="000000" w:sz="4" w:space="0"/>
          <w:right w:val="none" w:color="000000" w:sz="4" w:space="0"/>
        </w:pBdr>
      </w:pPr>
      <w:r>
        <w:rPr>
          <w:rFonts w:ascii="Times New Roman" w:hAnsi="Times New Roman"/>
          <w:sz w:val="28"/>
          <w:szCs w:val="28"/>
        </w:rPr>
        <w:t xml:space="preserve">В </w:t>
      </w:r>
      <w:r>
        <w:rPr>
          <w:rFonts w:ascii="Times New Roman" w:hAnsi="Times New Roman"/>
          <w:sz w:val="28"/>
          <w:szCs w:val="28"/>
        </w:rPr>
        <w:t xml:space="preserve">свою очередь, Уполном</w:t>
      </w:r>
      <w:r>
        <w:rPr>
          <w:rFonts w:ascii="Times New Roman" w:hAnsi="Times New Roman"/>
          <w:sz w:val="28"/>
          <w:szCs w:val="28"/>
        </w:rPr>
        <w:t xml:space="preserve">оченным по правам человека в Ивановской области  на данном коорСовете представлен доклад на тему: «Право на охрану здоровья и медицинскую реабилитацию участников и ветеранов боевых действий». Светлана Шмелева внесла ряд предложений по оказанию медицинской </w:t>
      </w:r>
      <w:r>
        <w:rPr>
          <w:rFonts w:ascii="Times New Roman" w:hAnsi="Times New Roman"/>
          <w:sz w:val="28"/>
          <w:szCs w:val="28"/>
        </w:rPr>
        <w:t xml:space="preserve">помощи участникам СВО, страдающим </w:t>
      </w:r>
      <w:r>
        <w:rPr>
          <w:rFonts w:ascii="Times New Roman" w:hAnsi="Times New Roman"/>
          <w:sz w:val="28"/>
          <w:szCs w:val="28"/>
        </w:rPr>
        <w:t xml:space="preserve">онкозаболеваниями</w:t>
      </w:r>
      <w:r>
        <w:rPr>
          <w:rFonts w:ascii="Times New Roman" w:hAnsi="Times New Roman"/>
          <w:sz w:val="28"/>
          <w:szCs w:val="28"/>
        </w:rPr>
        <w:t xml:space="preserve">. Чтобы повысить оказание медицинской помощи по онкологии необходимо распоряжение на уровне Минобороны о заключении подведомственными медицинскими учреждениями, как правило, это госпиталь ветеранов войн, договора с медицинской организацией (</w:t>
      </w:r>
      <w:r>
        <w:rPr>
          <w:rFonts w:ascii="Times New Roman" w:hAnsi="Times New Roman"/>
          <w:sz w:val="28"/>
          <w:szCs w:val="28"/>
        </w:rPr>
        <w:t xml:space="preserve">онкодиспансер</w:t>
      </w:r>
      <w:r>
        <w:rPr>
          <w:rFonts w:ascii="Times New Roman" w:hAnsi="Times New Roman"/>
          <w:sz w:val="28"/>
          <w:szCs w:val="28"/>
        </w:rPr>
        <w:t xml:space="preserve">) на всестороннюю и всеобъемлющую специализированную медицинскую помощь по профилю «онкология».</w:t>
      </w:r>
      <w:r>
        <w:rPr>
          <w:rFonts w:ascii="Times New Roman" w:hAnsi="Times New Roman"/>
          <w:sz w:val="28"/>
          <w:szCs w:val="28"/>
        </w:rPr>
      </w:r>
      <w:r>
        <w:rPr>
          <w:rFonts w:ascii="Times New Roman" w:hAnsi="Times New Roman"/>
          <w:sz w:val="28"/>
          <w:szCs w:val="28"/>
        </w:rPr>
      </w:r>
    </w:p>
    <w:p>
      <w:pPr>
        <w:ind w:firstLine="709"/>
        <w:jc w:val="both"/>
        <w:spacing w:after="0"/>
        <w:shd w:val="clear" w:color="ffffff" w:fill="ffffff"/>
        <w:pBdr>
          <w:top w:val="none" w:color="000000" w:sz="4" w:space="0"/>
          <w:left w:val="none" w:color="000000" w:sz="4" w:space="0"/>
          <w:bottom w:val="none" w:color="000000" w:sz="4" w:space="0"/>
          <w:right w:val="none" w:color="000000" w:sz="4" w:space="0"/>
        </w:pBdr>
      </w:pPr>
      <w:r>
        <w:rPr>
          <w:rFonts w:ascii="Times New Roman" w:hAnsi="Times New Roman"/>
          <w:sz w:val="28"/>
          <w:szCs w:val="28"/>
        </w:rPr>
        <w:t xml:space="preserve">Оказание эффективной медицинской помощи, реабилитация и санаторно-курортное лечение остаются ключевыми задачами в работе по поддержке участников СВО, ветеранов и членов их семей.</w:t>
      </w:r>
      <w:r/>
    </w:p>
    <w:p>
      <w:pPr>
        <w:ind w:firstLine="709"/>
        <w:jc w:val="both"/>
        <w:spacing w:after="0"/>
        <w:shd w:val="clear" w:color="ffffff" w:fill="ffffff"/>
        <w:pBdr>
          <w:top w:val="none" w:color="000000" w:sz="4" w:space="0"/>
          <w:left w:val="none" w:color="000000" w:sz="4" w:space="0"/>
          <w:bottom w:val="none" w:color="000000" w:sz="4" w:space="0"/>
          <w:right w:val="none" w:color="000000" w:sz="4" w:space="0"/>
        </w:pBdr>
      </w:pPr>
      <w:r>
        <w:rPr>
          <w:rFonts w:ascii="Times New Roman" w:hAnsi="Times New Roman"/>
          <w:sz w:val="28"/>
          <w:szCs w:val="28"/>
        </w:rPr>
        <w:t xml:space="preserve">Эти</w:t>
      </w:r>
      <w:r>
        <w:rPr>
          <w:rFonts w:ascii="Times New Roman" w:hAnsi="Times New Roman"/>
          <w:sz w:val="28"/>
          <w:szCs w:val="28"/>
        </w:rPr>
        <w:t xml:space="preserve">м вопросам было посвящено заседание Экспертного совета при Уполномоченном по правам человека в Ивановской области, состоявшееся в июне 2025 года. Тема дискуссии: «Защита права на охрану здоровья и медицинскую реабилитацию участников СВО и членов их семей».</w:t>
      </w:r>
      <w:r/>
    </w:p>
    <w:p>
      <w:pPr>
        <w:ind w:firstLine="709"/>
        <w:jc w:val="both"/>
        <w:spacing w:after="0"/>
        <w:shd w:val="clear" w:color="ffffff" w:fill="ffffff"/>
        <w:pBdr>
          <w:top w:val="none" w:color="000000" w:sz="4" w:space="0"/>
          <w:left w:val="none" w:color="000000" w:sz="4" w:space="0"/>
          <w:bottom w:val="none" w:color="000000" w:sz="4" w:space="0"/>
          <w:right w:val="none" w:color="000000" w:sz="4" w:space="0"/>
        </w:pBdr>
      </w:pPr>
      <w:r>
        <w:rPr>
          <w:rFonts w:ascii="Times New Roman" w:hAnsi="Times New Roman"/>
          <w:sz w:val="28"/>
          <w:szCs w:val="28"/>
        </w:rPr>
        <w:t xml:space="preserve">В мероприятии приняли участие федеральный инспектор по Ивановской области Михаил Кириллов, заместитель П</w:t>
      </w:r>
      <w:r>
        <w:rPr>
          <w:rFonts w:ascii="Times New Roman" w:hAnsi="Times New Roman"/>
          <w:sz w:val="28"/>
          <w:szCs w:val="28"/>
        </w:rPr>
        <w:t xml:space="preserve">редседателя Правительства региона – директор Департамента здравоохранения, представители органов власти, главные врачи военных госпиталей и реабилитационных центров, Ассоциация ветеранов СВО, военнослужащие, правозащитники, эксперты и общественные деятели.</w:t>
      </w:r>
      <w:r/>
    </w:p>
    <w:p>
      <w:pPr>
        <w:ind w:firstLine="709"/>
        <w:jc w:val="both"/>
        <w:spacing w:after="0"/>
        <w:shd w:val="clear" w:color="ffffff" w:fill="ffffff"/>
        <w:pBdr>
          <w:top w:val="none" w:color="000000" w:sz="4" w:space="0"/>
          <w:left w:val="none" w:color="000000" w:sz="4" w:space="0"/>
          <w:bottom w:val="none" w:color="000000" w:sz="4" w:space="0"/>
          <w:right w:val="none" w:color="000000" w:sz="4" w:space="0"/>
        </w:pBdr>
      </w:pPr>
      <w:r>
        <w:rPr>
          <w:rFonts w:ascii="Times New Roman" w:hAnsi="Times New Roman"/>
          <w:sz w:val="28"/>
          <w:szCs w:val="28"/>
        </w:rPr>
        <w:t xml:space="preserve">В ходе откр</w:t>
      </w:r>
      <w:r>
        <w:rPr>
          <w:rFonts w:ascii="Times New Roman" w:hAnsi="Times New Roman"/>
          <w:sz w:val="28"/>
          <w:szCs w:val="28"/>
        </w:rPr>
        <w:t xml:space="preserve">ытой дискуссии затронуты проблемы реализации прав участников и ветеранов СВО. Региональным омбудсменом отмечена системная работа, которую проводят органы государственной власти и местного самоуправления, общественные организации и социальные партнеры.</w:t>
      </w:r>
      <w:r/>
    </w:p>
    <w:p>
      <w:pPr>
        <w:ind w:firstLine="709"/>
        <w:jc w:val="both"/>
        <w:spacing w:after="0"/>
        <w:shd w:val="clear" w:color="ffffff" w:fill="ffffff"/>
        <w:pBdr>
          <w:top w:val="none" w:color="000000" w:sz="4" w:space="0"/>
          <w:left w:val="none" w:color="000000" w:sz="4" w:space="0"/>
          <w:bottom w:val="none" w:color="000000" w:sz="4" w:space="0"/>
          <w:right w:val="none" w:color="000000" w:sz="4" w:space="0"/>
        </w:pBdr>
      </w:pPr>
      <w:r>
        <w:rPr>
          <w:rFonts w:ascii="Times New Roman" w:hAnsi="Times New Roman"/>
          <w:sz w:val="28"/>
          <w:szCs w:val="28"/>
        </w:rPr>
        <w:t xml:space="preserve">Полезные практики представлены по линии регионального Департамента здравоохранения, областного госпиталя для ветеранов всех войн, Медицинского центра «Решма», Медицинского научно - образовательного реабилитационного центра в </w:t>
      </w:r>
      <w:r>
        <w:rPr>
          <w:rFonts w:ascii="Times New Roman" w:hAnsi="Times New Roman"/>
          <w:sz w:val="28"/>
          <w:szCs w:val="28"/>
        </w:rPr>
        <w:t xml:space="preserve">г</w:t>
      </w:r>
      <w:r>
        <w:rPr>
          <w:rFonts w:ascii="Times New Roman" w:hAnsi="Times New Roman"/>
          <w:sz w:val="28"/>
          <w:szCs w:val="28"/>
        </w:rPr>
        <w:t xml:space="preserve">. Иваново. Новые направления работы медицинской клиники Ивановского государственного медицинского университета по поддержанию здоровья, психологическое сопровождение на базе областной клинической психиатрической больницы «</w:t>
      </w:r>
      <w:r>
        <w:rPr>
          <w:rFonts w:ascii="Times New Roman" w:hAnsi="Times New Roman"/>
          <w:sz w:val="28"/>
          <w:szCs w:val="28"/>
        </w:rPr>
        <w:t xml:space="preserve">Богородское</w:t>
      </w:r>
      <w:r>
        <w:rPr>
          <w:rFonts w:ascii="Times New Roman" w:hAnsi="Times New Roman"/>
          <w:sz w:val="28"/>
          <w:szCs w:val="28"/>
        </w:rPr>
        <w:t xml:space="preserve">», внедрение профилактических программ в санатории «Зеленый городок» - эти темы также нашли отражение в выступлениях участников мероприятия.</w:t>
      </w:r>
      <w:r/>
    </w:p>
    <w:p>
      <w:pPr>
        <w:ind w:firstLine="709"/>
        <w:jc w:val="both"/>
        <w:spacing w:after="0"/>
        <w:shd w:val="clear" w:color="ffffff" w:fill="ffffff"/>
        <w:rPr>
          <w:rFonts w:ascii="Times New Roman" w:hAnsi="Times New Roman"/>
          <w:sz w:val="28"/>
          <w:szCs w:val="28"/>
        </w:rPr>
        <w:pBdr>
          <w:top w:val="none" w:color="000000" w:sz="4" w:space="0"/>
          <w:left w:val="none" w:color="000000" w:sz="4" w:space="0"/>
          <w:bottom w:val="none" w:color="000000" w:sz="4" w:space="0"/>
          <w:right w:val="none" w:color="000000" w:sz="4" w:space="0"/>
        </w:pBdr>
      </w:pPr>
      <w:r>
        <w:rPr>
          <w:rFonts w:ascii="Times New Roman" w:hAnsi="Times New Roman"/>
          <w:sz w:val="28"/>
          <w:szCs w:val="28"/>
        </w:rPr>
        <w:t xml:space="preserve">Результатом заседания стало формирование конкретных рекомендаций в адрес исполнительных органов власти, определены дополнительные инициативы, направленные на усиление гарантий прав участников СВО и членов их семей:</w:t>
      </w:r>
      <w:r>
        <w:rPr>
          <w:rFonts w:ascii="Times New Roman" w:hAnsi="Times New Roman"/>
          <w:sz w:val="28"/>
          <w:szCs w:val="28"/>
        </w:rPr>
      </w:r>
      <w:r>
        <w:rPr>
          <w:rFonts w:ascii="Times New Roman" w:hAnsi="Times New Roman"/>
          <w:sz w:val="28"/>
          <w:szCs w:val="28"/>
        </w:rPr>
      </w:r>
    </w:p>
    <w:p>
      <w:pPr>
        <w:ind w:firstLine="709"/>
        <w:jc w:val="both"/>
        <w:spacing w:after="0"/>
        <w:shd w:val="clear" w:color="ffffff" w:fill="ffffff"/>
        <w:pBdr>
          <w:top w:val="none" w:color="000000" w:sz="4" w:space="0"/>
          <w:left w:val="none" w:color="000000" w:sz="4" w:space="0"/>
          <w:bottom w:val="none" w:color="000000" w:sz="4" w:space="0"/>
          <w:right w:val="none" w:color="000000" w:sz="4" w:space="0"/>
        </w:pBdr>
      </w:pPr>
      <w:r>
        <w:rPr>
          <w:rFonts w:ascii="Times New Roman" w:hAnsi="Times New Roman"/>
          <w:sz w:val="28"/>
          <w:szCs w:val="28"/>
        </w:rPr>
        <w:t xml:space="preserve">1. Департаменту здравоохранения Ивановской области было рекомендовано:</w:t>
      </w:r>
      <w:r>
        <w:rPr>
          <w:rFonts w:ascii="Times New Roman" w:hAnsi="Times New Roman"/>
          <w:i/>
          <w:iCs/>
          <w:sz w:val="28"/>
          <w:szCs w:val="28"/>
        </w:rPr>
        <w:t xml:space="preserve"> </w:t>
      </w:r>
      <w:r>
        <w:rPr>
          <w:rFonts w:ascii="Times New Roman" w:hAnsi="Times New Roman"/>
          <w:sz w:val="28"/>
          <w:szCs w:val="28"/>
        </w:rPr>
        <w:t xml:space="preserve"> </w:t>
      </w:r>
      <w:r/>
    </w:p>
    <w:p>
      <w:pPr>
        <w:pStyle w:val="1227"/>
        <w:numPr>
          <w:ilvl w:val="0"/>
          <w:numId w:val="96"/>
        </w:numPr>
        <w:ind w:left="0" w:firstLine="709"/>
        <w:jc w:val="both"/>
        <w:spacing w:line="276" w:lineRule="auto"/>
        <w:shd w:val="clear" w:color="ffffff" w:fill="ffffff"/>
        <w:rPr>
          <w:lang w:val="ru-RU"/>
        </w:rPr>
        <w:pBdr>
          <w:top w:val="none" w:color="000000" w:sz="4" w:space="0"/>
          <w:left w:val="none" w:color="000000" w:sz="4" w:space="0"/>
          <w:bottom w:val="none" w:color="000000" w:sz="4" w:space="0"/>
          <w:right w:val="none" w:color="000000" w:sz="4" w:space="0"/>
        </w:pBdr>
      </w:pPr>
      <w:r>
        <w:rPr>
          <w:rFonts w:ascii="Times New Roman" w:hAnsi="Times New Roman"/>
          <w:sz w:val="28"/>
          <w:szCs w:val="28"/>
          <w:lang w:val="ru-RU"/>
        </w:rPr>
        <w:t xml:space="preserve">продолжить внедрение специальных программ медицинской и социальной реабилитации для возвратившихся участников специальной военной операции (в индивидуальном и/или групповом порядке);</w:t>
      </w:r>
      <w:r>
        <w:rPr>
          <w:lang w:val="ru-RU"/>
        </w:rPr>
      </w:r>
      <w:r>
        <w:rPr>
          <w:lang w:val="ru-RU"/>
        </w:rPr>
      </w:r>
    </w:p>
    <w:p>
      <w:pPr>
        <w:pStyle w:val="1227"/>
        <w:numPr>
          <w:ilvl w:val="0"/>
          <w:numId w:val="96"/>
        </w:numPr>
        <w:ind w:left="0" w:firstLine="709"/>
        <w:jc w:val="both"/>
        <w:spacing w:line="276" w:lineRule="auto"/>
        <w:shd w:val="clear" w:color="ffffff" w:fill="ffffff"/>
        <w:rPr>
          <w:lang w:val="ru-RU"/>
        </w:rPr>
        <w:pBdr>
          <w:top w:val="none" w:color="000000" w:sz="4" w:space="0"/>
          <w:left w:val="none" w:color="000000" w:sz="4" w:space="0"/>
          <w:bottom w:val="none" w:color="000000" w:sz="4" w:space="0"/>
          <w:right w:val="none" w:color="000000" w:sz="4" w:space="0"/>
        </w:pBdr>
      </w:pPr>
      <w:r>
        <w:rPr>
          <w:rFonts w:ascii="Times New Roman" w:hAnsi="Times New Roman"/>
          <w:sz w:val="28"/>
          <w:szCs w:val="28"/>
          <w:lang w:val="ru-RU"/>
        </w:rPr>
        <w:t xml:space="preserve">расширить сеть Центров психологической помощи (выездных приемов на базе муниципальных образований), специализирующихся на работе с лицами, уволенными в запас, а также гражданами, принимавшими участие в боевых действиях в ходе проведения СВО;</w:t>
      </w:r>
      <w:r>
        <w:rPr>
          <w:lang w:val="ru-RU"/>
        </w:rPr>
      </w:r>
      <w:r>
        <w:rPr>
          <w:lang w:val="ru-RU"/>
        </w:rPr>
      </w:r>
    </w:p>
    <w:p>
      <w:pPr>
        <w:pStyle w:val="1227"/>
        <w:numPr>
          <w:ilvl w:val="0"/>
          <w:numId w:val="96"/>
        </w:numPr>
        <w:ind w:left="0" w:firstLine="709"/>
        <w:jc w:val="both"/>
        <w:spacing w:line="276" w:lineRule="auto"/>
        <w:shd w:val="clear" w:color="ffffff" w:fill="ffffff"/>
        <w:rPr>
          <w:lang w:val="ru-RU"/>
        </w:rPr>
        <w:pBdr>
          <w:top w:val="none" w:color="000000" w:sz="4" w:space="0"/>
          <w:left w:val="none" w:color="000000" w:sz="4" w:space="0"/>
          <w:bottom w:val="none" w:color="000000" w:sz="4" w:space="0"/>
          <w:right w:val="none" w:color="000000" w:sz="4" w:space="0"/>
        </w:pBdr>
      </w:pPr>
      <w:r>
        <w:rPr>
          <w:rFonts w:ascii="Times New Roman" w:hAnsi="Times New Roman"/>
          <w:sz w:val="28"/>
          <w:szCs w:val="28"/>
          <w:lang w:val="ru-RU"/>
        </w:rPr>
        <w:t xml:space="preserve">осуществлять преемственность между этапами лечения (госпиталь - амбулаторное наблюдение - санаторно-курортное лечение);  </w:t>
      </w:r>
      <w:r>
        <w:rPr>
          <w:lang w:val="ru-RU"/>
        </w:rPr>
      </w:r>
      <w:r>
        <w:rPr>
          <w:lang w:val="ru-RU"/>
        </w:rPr>
      </w:r>
    </w:p>
    <w:p>
      <w:pPr>
        <w:pStyle w:val="1227"/>
        <w:numPr>
          <w:ilvl w:val="0"/>
          <w:numId w:val="96"/>
        </w:numPr>
        <w:ind w:left="0" w:firstLine="709"/>
        <w:jc w:val="both"/>
        <w:spacing w:line="276" w:lineRule="auto"/>
        <w:shd w:val="clear" w:color="ffffff" w:fill="ffffff"/>
        <w:rPr>
          <w:lang w:val="ru-RU"/>
        </w:rPr>
        <w:pBdr>
          <w:top w:val="none" w:color="000000" w:sz="4" w:space="0"/>
          <w:left w:val="none" w:color="000000" w:sz="4" w:space="0"/>
          <w:bottom w:val="none" w:color="000000" w:sz="4" w:space="0"/>
          <w:right w:val="none" w:color="000000" w:sz="4" w:space="0"/>
        </w:pBdr>
      </w:pPr>
      <w:r>
        <w:rPr>
          <w:rFonts w:ascii="Times New Roman" w:hAnsi="Times New Roman"/>
          <w:sz w:val="28"/>
          <w:szCs w:val="28"/>
          <w:lang w:val="ru-RU"/>
        </w:rPr>
        <w:t xml:space="preserve">упростить доступ к медицинской помощи и обеспечить приоритетное обслуживание ветеранов специальной военной операции в медучреждениях Ивановской области без очередей;</w:t>
      </w:r>
      <w:r>
        <w:rPr>
          <w:lang w:val="ru-RU"/>
        </w:rPr>
      </w:r>
      <w:r>
        <w:rPr>
          <w:lang w:val="ru-RU"/>
        </w:rPr>
      </w:r>
    </w:p>
    <w:p>
      <w:pPr>
        <w:pStyle w:val="1227"/>
        <w:numPr>
          <w:ilvl w:val="0"/>
          <w:numId w:val="96"/>
        </w:numPr>
        <w:ind w:left="0" w:firstLine="709"/>
        <w:jc w:val="both"/>
        <w:spacing w:line="276" w:lineRule="auto"/>
        <w:shd w:val="clear" w:color="ffffff" w:fill="ffffff"/>
        <w:rPr>
          <w:lang w:val="ru-RU"/>
        </w:rPr>
        <w:pBdr>
          <w:top w:val="none" w:color="000000" w:sz="4" w:space="0"/>
          <w:left w:val="none" w:color="000000" w:sz="4" w:space="0"/>
          <w:bottom w:val="none" w:color="000000" w:sz="4" w:space="0"/>
          <w:right w:val="none" w:color="000000" w:sz="4" w:space="0"/>
        </w:pBdr>
      </w:pPr>
      <w:r>
        <w:rPr>
          <w:rFonts w:ascii="Times New Roman" w:hAnsi="Times New Roman"/>
          <w:sz w:val="28"/>
          <w:szCs w:val="28"/>
          <w:lang w:val="ru-RU"/>
        </w:rPr>
        <w:t xml:space="preserve">обеспечить реализацию права ветеранам и участникам СВО использования на дому медицинских изделий и лекарственных препаратов, необходимых для поддержания функций органов и систем организма человека;  </w:t>
      </w:r>
      <w:r>
        <w:rPr>
          <w:lang w:val="ru-RU"/>
        </w:rPr>
      </w:r>
      <w:r>
        <w:rPr>
          <w:lang w:val="ru-RU"/>
        </w:rPr>
      </w:r>
    </w:p>
    <w:p>
      <w:pPr>
        <w:pStyle w:val="1227"/>
        <w:numPr>
          <w:ilvl w:val="0"/>
          <w:numId w:val="96"/>
        </w:numPr>
        <w:ind w:left="0" w:firstLine="709"/>
        <w:jc w:val="both"/>
        <w:spacing w:line="276" w:lineRule="auto"/>
        <w:shd w:val="clear" w:color="ffffff" w:fill="ffffff"/>
        <w:rPr>
          <w:lang w:val="ru-RU"/>
        </w:rPr>
        <w:pBdr>
          <w:top w:val="none" w:color="000000" w:sz="4" w:space="0"/>
          <w:left w:val="none" w:color="000000" w:sz="4" w:space="0"/>
          <w:bottom w:val="none" w:color="000000" w:sz="4" w:space="0"/>
          <w:right w:val="none" w:color="000000" w:sz="4" w:space="0"/>
        </w:pBdr>
      </w:pPr>
      <w:r>
        <w:rPr>
          <w:rFonts w:ascii="Times New Roman" w:hAnsi="Times New Roman"/>
          <w:sz w:val="28"/>
          <w:szCs w:val="28"/>
          <w:lang w:val="ru-RU"/>
        </w:rPr>
        <w:t xml:space="preserve">создать горячую линию для оперативного решения проблем участников СВО в сфере здравоохранения;  </w:t>
      </w:r>
      <w:r>
        <w:rPr>
          <w:lang w:val="ru-RU"/>
        </w:rPr>
      </w:r>
      <w:r>
        <w:rPr>
          <w:lang w:val="ru-RU"/>
        </w:rPr>
      </w:r>
    </w:p>
    <w:p>
      <w:pPr>
        <w:pStyle w:val="1227"/>
        <w:numPr>
          <w:ilvl w:val="0"/>
          <w:numId w:val="96"/>
        </w:numPr>
        <w:ind w:left="0" w:firstLine="709"/>
        <w:jc w:val="both"/>
        <w:spacing w:line="276" w:lineRule="auto"/>
        <w:shd w:val="clear" w:color="ffffff" w:fill="ffffff"/>
        <w:rPr>
          <w:lang w:val="ru-RU"/>
        </w:rPr>
        <w:pBdr>
          <w:top w:val="none" w:color="000000" w:sz="4" w:space="0"/>
          <w:left w:val="none" w:color="000000" w:sz="4" w:space="0"/>
          <w:bottom w:val="none" w:color="000000" w:sz="4" w:space="0"/>
          <w:right w:val="none" w:color="000000" w:sz="4" w:space="0"/>
        </w:pBdr>
      </w:pPr>
      <w:r>
        <w:rPr>
          <w:rFonts w:ascii="Times New Roman" w:hAnsi="Times New Roman"/>
          <w:sz w:val="28"/>
          <w:szCs w:val="28"/>
          <w:lang w:val="ru-RU"/>
        </w:rPr>
        <w:t xml:space="preserve">включить в перечень учреждений, оказывающих помощь в реабилитации участников специальной военной операции ОБУЗ «Ивановский областной клинический центр медицинской реабилитации»;</w:t>
      </w:r>
      <w:r>
        <w:rPr>
          <w:lang w:val="ru-RU"/>
        </w:rPr>
      </w:r>
      <w:r>
        <w:rPr>
          <w:lang w:val="ru-RU"/>
        </w:rPr>
      </w:r>
    </w:p>
    <w:p>
      <w:pPr>
        <w:pStyle w:val="1227"/>
        <w:numPr>
          <w:ilvl w:val="0"/>
          <w:numId w:val="96"/>
        </w:numPr>
        <w:ind w:left="0" w:firstLine="709"/>
        <w:jc w:val="both"/>
        <w:spacing w:line="276" w:lineRule="auto"/>
        <w:shd w:val="clear" w:color="ffffff" w:fill="ffffff"/>
        <w:rPr>
          <w:lang w:val="ru-RU"/>
        </w:rPr>
        <w:pBdr>
          <w:top w:val="none" w:color="000000" w:sz="4" w:space="0"/>
          <w:left w:val="none" w:color="000000" w:sz="4" w:space="0"/>
          <w:bottom w:val="none" w:color="000000" w:sz="4" w:space="0"/>
          <w:right w:val="none" w:color="000000" w:sz="4" w:space="0"/>
        </w:pBdr>
      </w:pPr>
      <w:r>
        <w:rPr>
          <w:rFonts w:ascii="Times New Roman" w:hAnsi="Times New Roman"/>
          <w:sz w:val="28"/>
          <w:szCs w:val="28"/>
          <w:lang w:val="ru-RU"/>
        </w:rPr>
        <w:t xml:space="preserve">рассмотреть возможность финансирование из областного бюджета санаторно-курортного лечения участников СВО и членов их семей в санаториях Ивановской области;</w:t>
      </w:r>
      <w:r>
        <w:rPr>
          <w:lang w:val="ru-RU"/>
        </w:rPr>
      </w:r>
      <w:r>
        <w:rPr>
          <w:lang w:val="ru-RU"/>
        </w:rPr>
      </w:r>
    </w:p>
    <w:p>
      <w:pPr>
        <w:pStyle w:val="1227"/>
        <w:numPr>
          <w:ilvl w:val="0"/>
          <w:numId w:val="96"/>
        </w:numPr>
        <w:ind w:left="0" w:firstLine="709"/>
        <w:jc w:val="both"/>
        <w:spacing w:line="276" w:lineRule="auto"/>
        <w:shd w:val="clear" w:color="ffffff" w:fill="ffffff"/>
        <w:rPr>
          <w:lang w:val="ru-RU"/>
        </w:rPr>
        <w:pBdr>
          <w:top w:val="none" w:color="000000" w:sz="4" w:space="0"/>
          <w:left w:val="none" w:color="000000" w:sz="4" w:space="0"/>
          <w:bottom w:val="none" w:color="000000" w:sz="4" w:space="0"/>
          <w:right w:val="none" w:color="000000" w:sz="4" w:space="0"/>
        </w:pBdr>
      </w:pPr>
      <w:r>
        <w:rPr>
          <w:rFonts w:ascii="Times New Roman" w:hAnsi="Times New Roman"/>
          <w:sz w:val="28"/>
          <w:szCs w:val="28"/>
          <w:lang w:val="ru-RU"/>
        </w:rPr>
        <w:t xml:space="preserve">регулярно проводить оценку качества оказания медицинской помощи и реабилитационных услуг.  </w:t>
      </w:r>
      <w:r>
        <w:rPr>
          <w:lang w:val="ru-RU"/>
        </w:rPr>
      </w:r>
      <w:r>
        <w:rPr>
          <w:lang w:val="ru-RU"/>
        </w:rPr>
      </w:r>
    </w:p>
    <w:p>
      <w:pPr>
        <w:pStyle w:val="1227"/>
        <w:numPr>
          <w:ilvl w:val="0"/>
          <w:numId w:val="96"/>
        </w:numPr>
        <w:ind w:left="0" w:firstLine="709"/>
        <w:jc w:val="both"/>
        <w:spacing w:line="276" w:lineRule="auto"/>
        <w:shd w:val="clear" w:color="ffffff" w:fill="ffffff"/>
        <w:pBdr>
          <w:top w:val="none" w:color="000000" w:sz="4" w:space="0"/>
          <w:left w:val="none" w:color="000000" w:sz="4" w:space="0"/>
          <w:bottom w:val="none" w:color="000000" w:sz="4" w:space="0"/>
          <w:right w:val="none" w:color="000000" w:sz="4" w:space="0"/>
        </w:pBdr>
      </w:pPr>
      <w:r>
        <w:rPr>
          <w:rFonts w:ascii="Times New Roman" w:hAnsi="Times New Roman"/>
          <w:sz w:val="28"/>
          <w:szCs w:val="28"/>
          <w:lang w:val="ru-RU"/>
        </w:rPr>
        <w:t xml:space="preserve">проработать вопрос с Министерством </w:t>
      </w:r>
      <w:r>
        <w:rPr>
          <w:rFonts w:ascii="Times New Roman" w:hAnsi="Times New Roman"/>
          <w:sz w:val="28"/>
          <w:szCs w:val="28"/>
          <w:lang w:val="ru-RU"/>
        </w:rPr>
        <w:t xml:space="preserve">здравоохранения Российской Федерации и Министерством обороны Российской Федерации о  подготовке предложений об  издании нормативно-правового акта  о заключении подведомственными медицинскими учреждениями договора с медицинской организацией на всестороннюю </w:t>
      </w:r>
      <w:r>
        <w:rPr>
          <w:rFonts w:ascii="Times New Roman" w:hAnsi="Times New Roman"/>
          <w:sz w:val="28"/>
          <w:szCs w:val="28"/>
        </w:rPr>
        <w:t xml:space="preserve">и </w:t>
      </w:r>
      <w:r>
        <w:rPr>
          <w:rFonts w:ascii="Times New Roman" w:hAnsi="Times New Roman"/>
          <w:sz w:val="28"/>
          <w:szCs w:val="28"/>
        </w:rPr>
        <w:t xml:space="preserve">всеобъемлющую</w:t>
      </w:r>
      <w:r>
        <w:rPr>
          <w:rFonts w:ascii="Times New Roman" w:hAnsi="Times New Roman"/>
          <w:sz w:val="28"/>
          <w:szCs w:val="28"/>
        </w:rPr>
        <w:t xml:space="preserve"> </w:t>
      </w:r>
      <w:r>
        <w:rPr>
          <w:rFonts w:ascii="Times New Roman" w:hAnsi="Times New Roman"/>
          <w:sz w:val="28"/>
          <w:szCs w:val="28"/>
        </w:rPr>
        <w:t xml:space="preserve">специализированную</w:t>
      </w:r>
      <w:r>
        <w:rPr>
          <w:rFonts w:ascii="Times New Roman" w:hAnsi="Times New Roman"/>
          <w:sz w:val="28"/>
          <w:szCs w:val="28"/>
        </w:rPr>
        <w:t xml:space="preserve"> </w:t>
      </w:r>
      <w:r>
        <w:rPr>
          <w:rFonts w:ascii="Times New Roman" w:hAnsi="Times New Roman"/>
          <w:sz w:val="28"/>
          <w:szCs w:val="28"/>
        </w:rPr>
        <w:t xml:space="preserve">медицинскую</w:t>
      </w:r>
      <w:r>
        <w:rPr>
          <w:rFonts w:ascii="Times New Roman" w:hAnsi="Times New Roman"/>
          <w:sz w:val="28"/>
          <w:szCs w:val="28"/>
        </w:rPr>
        <w:t xml:space="preserve"> </w:t>
      </w:r>
      <w:r>
        <w:rPr>
          <w:rFonts w:ascii="Times New Roman" w:hAnsi="Times New Roman"/>
          <w:sz w:val="28"/>
          <w:szCs w:val="28"/>
        </w:rPr>
        <w:t xml:space="preserve">помощь</w:t>
      </w:r>
      <w:r>
        <w:rPr>
          <w:rFonts w:ascii="Times New Roman" w:hAnsi="Times New Roman"/>
          <w:sz w:val="28"/>
          <w:szCs w:val="28"/>
        </w:rPr>
        <w:t xml:space="preserve"> </w:t>
      </w:r>
      <w:r>
        <w:rPr>
          <w:rFonts w:ascii="Times New Roman" w:hAnsi="Times New Roman"/>
          <w:sz w:val="28"/>
          <w:szCs w:val="28"/>
        </w:rPr>
        <w:t xml:space="preserve">по</w:t>
      </w:r>
      <w:r>
        <w:rPr>
          <w:rFonts w:ascii="Times New Roman" w:hAnsi="Times New Roman"/>
          <w:sz w:val="28"/>
          <w:szCs w:val="28"/>
        </w:rPr>
        <w:t xml:space="preserve"> </w:t>
      </w:r>
      <w:r>
        <w:rPr>
          <w:rFonts w:ascii="Times New Roman" w:hAnsi="Times New Roman"/>
          <w:sz w:val="28"/>
          <w:szCs w:val="28"/>
        </w:rPr>
        <w:t xml:space="preserve">профилю</w:t>
      </w:r>
      <w:r>
        <w:rPr>
          <w:rFonts w:ascii="Times New Roman" w:hAnsi="Times New Roman"/>
          <w:sz w:val="28"/>
          <w:szCs w:val="28"/>
        </w:rPr>
        <w:t xml:space="preserve"> «</w:t>
      </w:r>
      <w:r>
        <w:rPr>
          <w:rFonts w:ascii="Times New Roman" w:hAnsi="Times New Roman"/>
          <w:sz w:val="28"/>
          <w:szCs w:val="28"/>
        </w:rPr>
        <w:t xml:space="preserve">онкология</w:t>
      </w:r>
      <w:r>
        <w:rPr>
          <w:rFonts w:ascii="Times New Roman" w:hAnsi="Times New Roman"/>
          <w:sz w:val="28"/>
          <w:szCs w:val="28"/>
        </w:rPr>
        <w:t xml:space="preserve">».</w:t>
      </w:r>
      <w:r/>
    </w:p>
    <w:p>
      <w:pPr>
        <w:ind w:firstLine="709"/>
        <w:jc w:val="both"/>
        <w:spacing w:after="0"/>
        <w:shd w:val="clear" w:color="ffffff" w:fill="ffffff"/>
        <w:rPr>
          <w:bCs/>
          <w:i/>
        </w:rPr>
        <w:pBdr>
          <w:top w:val="none" w:color="000000" w:sz="4" w:space="0"/>
          <w:left w:val="none" w:color="000000" w:sz="4" w:space="0"/>
          <w:bottom w:val="none" w:color="000000" w:sz="4" w:space="0"/>
          <w:right w:val="none" w:color="000000" w:sz="4" w:space="0"/>
        </w:pBdr>
      </w:pPr>
      <w:r>
        <w:rPr>
          <w:rFonts w:ascii="Times New Roman" w:hAnsi="Times New Roman"/>
          <w:sz w:val="28"/>
          <w:szCs w:val="28"/>
        </w:rPr>
        <w:t xml:space="preserve">2.  Департаменту здравоохранения Ивановской области совместно с ФГБОУ </w:t>
      </w:r>
      <w:r>
        <w:rPr>
          <w:rFonts w:ascii="Times New Roman" w:hAnsi="Times New Roman"/>
          <w:sz w:val="28"/>
          <w:szCs w:val="28"/>
        </w:rPr>
        <w:t xml:space="preserve">ВО</w:t>
      </w:r>
      <w:r>
        <w:rPr>
          <w:rFonts w:ascii="Times New Roman" w:hAnsi="Times New Roman"/>
          <w:sz w:val="28"/>
          <w:szCs w:val="28"/>
        </w:rPr>
        <w:t xml:space="preserve"> «Ивановский государственный медицинский университет» рекомендовано:</w:t>
      </w:r>
      <w:r>
        <w:rPr>
          <w:bCs/>
          <w:i/>
        </w:rPr>
      </w:r>
      <w:r>
        <w:rPr>
          <w:bCs/>
          <w:i/>
        </w:rPr>
      </w:r>
    </w:p>
    <w:p>
      <w:pPr>
        <w:pStyle w:val="1227"/>
        <w:numPr>
          <w:ilvl w:val="0"/>
          <w:numId w:val="97"/>
        </w:numPr>
        <w:ind w:left="0" w:firstLine="709"/>
        <w:jc w:val="both"/>
        <w:spacing w:line="276" w:lineRule="auto"/>
        <w:shd w:val="clear" w:color="ffffff" w:fill="ffffff"/>
        <w:rPr>
          <w:lang w:val="ru-RU"/>
        </w:rPr>
        <w:pBdr>
          <w:top w:val="none" w:color="000000" w:sz="4" w:space="0"/>
          <w:left w:val="none" w:color="000000" w:sz="4" w:space="0"/>
          <w:bottom w:val="none" w:color="000000" w:sz="4" w:space="0"/>
          <w:right w:val="none" w:color="000000" w:sz="4" w:space="0"/>
        </w:pBdr>
      </w:pPr>
      <w:r>
        <w:rPr>
          <w:rFonts w:ascii="Times New Roman" w:hAnsi="Times New Roman"/>
          <w:sz w:val="28"/>
          <w:szCs w:val="28"/>
          <w:lang w:val="ru-RU"/>
        </w:rPr>
        <w:t xml:space="preserve">информировать участников и ветеранов СВО о целевых программах реабилитации защитников Отечества;</w:t>
      </w:r>
      <w:r>
        <w:rPr>
          <w:lang w:val="ru-RU"/>
        </w:rPr>
      </w:r>
      <w:r>
        <w:rPr>
          <w:lang w:val="ru-RU"/>
        </w:rPr>
      </w:r>
    </w:p>
    <w:p>
      <w:pPr>
        <w:pStyle w:val="1227"/>
        <w:numPr>
          <w:ilvl w:val="0"/>
          <w:numId w:val="97"/>
        </w:numPr>
        <w:ind w:left="0" w:firstLine="709"/>
        <w:jc w:val="both"/>
        <w:spacing w:line="276" w:lineRule="auto"/>
        <w:shd w:val="clear" w:color="ffffff" w:fill="ffffff"/>
        <w:rPr>
          <w:lang w:val="ru-RU"/>
        </w:rPr>
        <w:pBdr>
          <w:top w:val="none" w:color="000000" w:sz="4" w:space="0"/>
          <w:left w:val="none" w:color="000000" w:sz="4" w:space="0"/>
          <w:bottom w:val="none" w:color="000000" w:sz="4" w:space="0"/>
          <w:right w:val="none" w:color="000000" w:sz="4" w:space="0"/>
        </w:pBdr>
      </w:pPr>
      <w:r>
        <w:rPr>
          <w:rFonts w:ascii="Times New Roman" w:hAnsi="Times New Roman"/>
          <w:sz w:val="28"/>
          <w:szCs w:val="28"/>
          <w:lang w:val="ru-RU"/>
        </w:rPr>
        <w:t xml:space="preserve">рассмотреть возможность организации бесплатных приемов врачами - докторами медицинских наук по разным видам нарушения здоровья участников СВО и членов их семей на базе данного медицинского учреждения. </w:t>
      </w:r>
      <w:r>
        <w:rPr>
          <w:lang w:val="ru-RU"/>
        </w:rPr>
      </w:r>
      <w:r>
        <w:rPr>
          <w:lang w:val="ru-RU"/>
        </w:rPr>
      </w:r>
    </w:p>
    <w:p>
      <w:pPr>
        <w:ind w:firstLine="709"/>
        <w:jc w:val="both"/>
        <w:spacing w:after="0"/>
        <w:shd w:val="clear" w:color="ffffff" w:fill="ffffff"/>
        <w:pBdr>
          <w:top w:val="none" w:color="000000" w:sz="4" w:space="0"/>
          <w:left w:val="none" w:color="000000" w:sz="4" w:space="0"/>
          <w:bottom w:val="none" w:color="000000" w:sz="4" w:space="0"/>
          <w:right w:val="none" w:color="000000" w:sz="4" w:space="0"/>
        </w:pBdr>
      </w:pPr>
      <w:r>
        <w:rPr>
          <w:rFonts w:ascii="Times New Roman" w:hAnsi="Times New Roman"/>
          <w:sz w:val="28"/>
          <w:szCs w:val="28"/>
        </w:rPr>
        <w:t xml:space="preserve">3. Филиалу №5 ФГКУ «422 военный госпиталь» Министерства обороны Российской Федерации:  </w:t>
      </w:r>
      <w:r/>
    </w:p>
    <w:p>
      <w:pPr>
        <w:pStyle w:val="1227"/>
        <w:numPr>
          <w:ilvl w:val="0"/>
          <w:numId w:val="98"/>
        </w:numPr>
        <w:ind w:left="0" w:firstLine="709"/>
        <w:jc w:val="both"/>
        <w:spacing w:line="276" w:lineRule="auto"/>
        <w:shd w:val="clear" w:color="ffffff" w:fill="ffffff"/>
        <w:rPr>
          <w:lang w:val="ru-RU"/>
        </w:rPr>
        <w:pBdr>
          <w:top w:val="none" w:color="000000" w:sz="4" w:space="0"/>
          <w:left w:val="none" w:color="000000" w:sz="4" w:space="0"/>
          <w:bottom w:val="none" w:color="000000" w:sz="4" w:space="0"/>
          <w:right w:val="none" w:color="000000" w:sz="4" w:space="0"/>
        </w:pBdr>
      </w:pPr>
      <w:r>
        <w:rPr>
          <w:rFonts w:ascii="Times New Roman" w:hAnsi="Times New Roman"/>
          <w:sz w:val="28"/>
          <w:szCs w:val="28"/>
          <w:lang w:val="ru-RU"/>
        </w:rPr>
        <w:t xml:space="preserve">обеспечивать наличие современных методов диагностики и лечения, включая высокотехнологичную помощь;  </w:t>
      </w:r>
      <w:r>
        <w:rPr>
          <w:lang w:val="ru-RU"/>
        </w:rPr>
      </w:r>
      <w:r>
        <w:rPr>
          <w:lang w:val="ru-RU"/>
        </w:rPr>
      </w:r>
    </w:p>
    <w:p>
      <w:pPr>
        <w:pStyle w:val="1227"/>
        <w:numPr>
          <w:ilvl w:val="0"/>
          <w:numId w:val="98"/>
        </w:numPr>
        <w:ind w:left="0" w:firstLine="709"/>
        <w:jc w:val="both"/>
        <w:spacing w:line="276" w:lineRule="auto"/>
        <w:shd w:val="clear" w:color="ffffff" w:fill="ffffff"/>
        <w:rPr>
          <w:lang w:val="ru-RU"/>
        </w:rPr>
        <w:pBdr>
          <w:top w:val="none" w:color="000000" w:sz="4" w:space="0"/>
          <w:left w:val="none" w:color="000000" w:sz="4" w:space="0"/>
          <w:bottom w:val="none" w:color="000000" w:sz="4" w:space="0"/>
          <w:right w:val="none" w:color="000000" w:sz="4" w:space="0"/>
        </w:pBdr>
      </w:pPr>
      <w:r>
        <w:rPr>
          <w:rFonts w:ascii="Times New Roman" w:hAnsi="Times New Roman"/>
          <w:sz w:val="28"/>
          <w:szCs w:val="28"/>
          <w:lang w:val="ru-RU"/>
        </w:rPr>
        <w:t xml:space="preserve">разрабатывать персональные реабилитационные маршруты с учетом характера травм и заболеваний;  </w:t>
      </w:r>
      <w:r>
        <w:rPr>
          <w:lang w:val="ru-RU"/>
        </w:rPr>
      </w:r>
      <w:r>
        <w:rPr>
          <w:lang w:val="ru-RU"/>
        </w:rPr>
      </w:r>
    </w:p>
    <w:p>
      <w:pPr>
        <w:pStyle w:val="1227"/>
        <w:numPr>
          <w:ilvl w:val="0"/>
          <w:numId w:val="98"/>
        </w:numPr>
        <w:ind w:left="0" w:firstLine="709"/>
        <w:jc w:val="both"/>
        <w:spacing w:line="276" w:lineRule="auto"/>
        <w:shd w:val="clear" w:color="ffffff" w:fill="ffffff"/>
        <w:rPr>
          <w:lang w:val="ru-RU"/>
        </w:rPr>
        <w:pBdr>
          <w:top w:val="none" w:color="000000" w:sz="4" w:space="0"/>
          <w:left w:val="none" w:color="000000" w:sz="4" w:space="0"/>
          <w:bottom w:val="none" w:color="000000" w:sz="4" w:space="0"/>
          <w:right w:val="none" w:color="000000" w:sz="4" w:space="0"/>
        </w:pBdr>
      </w:pPr>
      <w:r>
        <w:rPr>
          <w:rFonts w:ascii="Times New Roman" w:hAnsi="Times New Roman"/>
          <w:sz w:val="28"/>
          <w:szCs w:val="28"/>
          <w:lang w:val="ru-RU"/>
        </w:rPr>
        <w:t xml:space="preserve">осуществлять своевременное взаимодействие с </w:t>
      </w:r>
      <w:r>
        <w:rPr>
          <w:rFonts w:ascii="Times New Roman" w:hAnsi="Times New Roman"/>
          <w:color w:val="auto"/>
          <w:sz w:val="28"/>
          <w:szCs w:val="28"/>
          <w:lang w:val="ru-RU"/>
        </w:rPr>
        <w:t xml:space="preserve">гражданскими учреждениями здравоохранения</w:t>
      </w:r>
      <w:r>
        <w:rPr>
          <w:rFonts w:ascii="Times New Roman" w:hAnsi="Times New Roman"/>
          <w:sz w:val="28"/>
          <w:szCs w:val="28"/>
          <w:lang w:val="ru-RU"/>
        </w:rPr>
        <w:t xml:space="preserve"> и санаториями для оказания необходимой медицинской помощи и продолжения реабилитации.  </w:t>
      </w:r>
      <w:r>
        <w:rPr>
          <w:lang w:val="ru-RU"/>
        </w:rPr>
      </w:r>
      <w:r>
        <w:rPr>
          <w:lang w:val="ru-RU"/>
        </w:rPr>
      </w:r>
    </w:p>
    <w:p>
      <w:pPr>
        <w:ind w:firstLine="709"/>
        <w:jc w:val="both"/>
        <w:spacing w:after="0"/>
        <w:shd w:val="clear" w:color="ffffff" w:fill="ffffff"/>
        <w:pBdr>
          <w:top w:val="none" w:color="000000" w:sz="4" w:space="0"/>
          <w:left w:val="none" w:color="000000" w:sz="4" w:space="0"/>
          <w:bottom w:val="none" w:color="000000" w:sz="4" w:space="0"/>
          <w:right w:val="none" w:color="000000" w:sz="4" w:space="0"/>
        </w:pBdr>
      </w:pPr>
      <w:r>
        <w:rPr>
          <w:rFonts w:ascii="Times New Roman" w:hAnsi="Times New Roman"/>
          <w:sz w:val="28"/>
          <w:szCs w:val="28"/>
        </w:rPr>
        <w:t xml:space="preserve">4. Уполномоченному по правам человека в Ивановской области:  </w:t>
      </w:r>
      <w:r/>
    </w:p>
    <w:p>
      <w:pPr>
        <w:pStyle w:val="1227"/>
        <w:numPr>
          <w:ilvl w:val="0"/>
          <w:numId w:val="99"/>
        </w:numPr>
        <w:ind w:left="0" w:firstLine="709"/>
        <w:jc w:val="both"/>
        <w:spacing w:line="276" w:lineRule="auto"/>
        <w:shd w:val="clear" w:color="ffffff" w:fill="ffffff"/>
        <w:rPr>
          <w:lang w:val="ru-RU"/>
        </w:rPr>
        <w:pBdr>
          <w:top w:val="none" w:color="000000" w:sz="4" w:space="0"/>
          <w:left w:val="none" w:color="000000" w:sz="4" w:space="0"/>
          <w:bottom w:val="none" w:color="000000" w:sz="4" w:space="0"/>
          <w:right w:val="none" w:color="000000" w:sz="4" w:space="0"/>
        </w:pBdr>
      </w:pPr>
      <w:r>
        <w:rPr>
          <w:rFonts w:ascii="Times New Roman" w:hAnsi="Times New Roman"/>
          <w:sz w:val="28"/>
          <w:szCs w:val="28"/>
          <w:lang w:val="ru-RU"/>
        </w:rPr>
        <w:t xml:space="preserve">осуществлять постоянный мониторинг соблюдения прав участников и ветеранов СВО;</w:t>
      </w:r>
      <w:r>
        <w:rPr>
          <w:lang w:val="ru-RU"/>
        </w:rPr>
      </w:r>
      <w:r>
        <w:rPr>
          <w:lang w:val="ru-RU"/>
        </w:rPr>
      </w:r>
    </w:p>
    <w:p>
      <w:pPr>
        <w:pStyle w:val="1227"/>
        <w:numPr>
          <w:ilvl w:val="0"/>
          <w:numId w:val="99"/>
        </w:numPr>
        <w:ind w:left="0" w:firstLine="709"/>
        <w:jc w:val="both"/>
        <w:spacing w:line="276" w:lineRule="auto"/>
        <w:shd w:val="clear" w:color="ffffff" w:fill="ffffff"/>
        <w:rPr>
          <w:lang w:val="ru-RU"/>
        </w:rPr>
        <w:pBdr>
          <w:top w:val="none" w:color="000000" w:sz="4" w:space="0"/>
          <w:left w:val="none" w:color="000000" w:sz="4" w:space="0"/>
          <w:bottom w:val="none" w:color="000000" w:sz="4" w:space="0"/>
          <w:right w:val="none" w:color="000000" w:sz="4" w:space="0"/>
        </w:pBdr>
      </w:pPr>
      <w:r>
        <w:rPr>
          <w:rFonts w:ascii="Times New Roman" w:hAnsi="Times New Roman"/>
          <w:sz w:val="28"/>
          <w:szCs w:val="28"/>
          <w:lang w:val="ru-RU"/>
        </w:rPr>
        <w:t xml:space="preserve">проводить совместно с Департаментом здравоохранения в Ивановской области и надзорными службами проверки медицинских учреждений на предмет доступности и качества оказания квалифицированной медицинской помощи;  </w:t>
      </w:r>
      <w:r>
        <w:rPr>
          <w:lang w:val="ru-RU"/>
        </w:rPr>
      </w:r>
      <w:r>
        <w:rPr>
          <w:lang w:val="ru-RU"/>
        </w:rPr>
      </w:r>
    </w:p>
    <w:p>
      <w:pPr>
        <w:pStyle w:val="1227"/>
        <w:numPr>
          <w:ilvl w:val="0"/>
          <w:numId w:val="99"/>
        </w:numPr>
        <w:ind w:left="0" w:firstLine="709"/>
        <w:jc w:val="both"/>
        <w:spacing w:line="276" w:lineRule="auto"/>
        <w:shd w:val="clear" w:color="ffffff" w:fill="ffffff"/>
        <w:rPr>
          <w:lang w:val="ru-RU"/>
        </w:rPr>
        <w:pBdr>
          <w:top w:val="none" w:color="000000" w:sz="4" w:space="0"/>
          <w:left w:val="none" w:color="000000" w:sz="4" w:space="0"/>
          <w:bottom w:val="none" w:color="000000" w:sz="4" w:space="0"/>
          <w:right w:val="none" w:color="000000" w:sz="4" w:space="0"/>
        </w:pBdr>
      </w:pPr>
      <w:r>
        <w:rPr>
          <w:rFonts w:ascii="Times New Roman" w:hAnsi="Times New Roman"/>
          <w:sz w:val="28"/>
          <w:szCs w:val="28"/>
          <w:lang w:val="ru-RU"/>
        </w:rPr>
        <w:t xml:space="preserve">оказывать юридическую помощь участникам СВО в случаях нарушения их прав на медицинскую помощь;  </w:t>
      </w:r>
      <w:r>
        <w:rPr>
          <w:lang w:val="ru-RU"/>
        </w:rPr>
      </w:r>
      <w:r>
        <w:rPr>
          <w:lang w:val="ru-RU"/>
        </w:rPr>
      </w:r>
    </w:p>
    <w:p>
      <w:pPr>
        <w:pStyle w:val="1227"/>
        <w:numPr>
          <w:ilvl w:val="0"/>
          <w:numId w:val="99"/>
        </w:numPr>
        <w:ind w:left="0" w:firstLine="709"/>
        <w:jc w:val="both"/>
        <w:spacing w:line="276" w:lineRule="auto"/>
        <w:shd w:val="clear" w:color="ffffff" w:fill="ffffff"/>
        <w:rPr>
          <w:lang w:val="ru-RU"/>
        </w:rPr>
        <w:pBdr>
          <w:top w:val="none" w:color="000000" w:sz="4" w:space="0"/>
          <w:left w:val="none" w:color="000000" w:sz="4" w:space="0"/>
          <w:bottom w:val="none" w:color="000000" w:sz="4" w:space="0"/>
          <w:right w:val="none" w:color="000000" w:sz="4" w:space="0"/>
        </w:pBdr>
      </w:pPr>
      <w:r>
        <w:rPr>
          <w:rFonts w:ascii="Times New Roman" w:hAnsi="Times New Roman"/>
          <w:sz w:val="28"/>
          <w:szCs w:val="28"/>
          <w:lang w:val="ru-RU"/>
        </w:rPr>
        <w:t xml:space="preserve">содействовать в обжаловании отказов в предоставлении льготных лекарств и реабилитационных услуг;</w:t>
      </w:r>
      <w:r>
        <w:rPr>
          <w:lang w:val="ru-RU"/>
        </w:rPr>
      </w:r>
      <w:r>
        <w:rPr>
          <w:lang w:val="ru-RU"/>
        </w:rPr>
      </w:r>
    </w:p>
    <w:p>
      <w:pPr>
        <w:pStyle w:val="1227"/>
        <w:numPr>
          <w:ilvl w:val="0"/>
          <w:numId w:val="99"/>
        </w:numPr>
        <w:ind w:left="0" w:firstLine="709"/>
        <w:jc w:val="both"/>
        <w:spacing w:line="276" w:lineRule="auto"/>
        <w:shd w:val="clear" w:color="ffffff" w:fill="ffffff"/>
        <w:rPr>
          <w:lang w:val="ru-RU"/>
        </w:rPr>
        <w:pBdr>
          <w:top w:val="none" w:color="000000" w:sz="4" w:space="0"/>
          <w:left w:val="none" w:color="000000" w:sz="4" w:space="0"/>
          <w:bottom w:val="none" w:color="000000" w:sz="4" w:space="0"/>
          <w:right w:val="none" w:color="000000" w:sz="4" w:space="0"/>
        </w:pBdr>
      </w:pPr>
      <w:r>
        <w:rPr>
          <w:rFonts w:ascii="Times New Roman" w:hAnsi="Times New Roman"/>
          <w:sz w:val="28"/>
          <w:szCs w:val="28"/>
          <w:lang w:val="ru-RU"/>
        </w:rPr>
        <w:t xml:space="preserve">совместно с военным прокурором  продолжить тематические приемы граждан по обозначенным проблемам заявителей;</w:t>
      </w:r>
      <w:r>
        <w:rPr>
          <w:lang w:val="ru-RU"/>
        </w:rPr>
      </w:r>
      <w:r>
        <w:rPr>
          <w:lang w:val="ru-RU"/>
        </w:rPr>
      </w:r>
    </w:p>
    <w:p>
      <w:pPr>
        <w:pStyle w:val="1227"/>
        <w:numPr>
          <w:ilvl w:val="0"/>
          <w:numId w:val="99"/>
        </w:numPr>
        <w:ind w:left="0" w:firstLine="709"/>
        <w:jc w:val="both"/>
        <w:spacing w:line="276" w:lineRule="auto"/>
        <w:shd w:val="clear" w:color="ffffff" w:fill="ffffff"/>
        <w:rPr>
          <w:lang w:val="ru-RU"/>
        </w:rPr>
        <w:pBdr>
          <w:top w:val="none" w:color="000000" w:sz="4" w:space="0"/>
          <w:left w:val="none" w:color="000000" w:sz="4" w:space="0"/>
          <w:bottom w:val="none" w:color="000000" w:sz="4" w:space="0"/>
          <w:right w:val="none" w:color="000000" w:sz="4" w:space="0"/>
        </w:pBdr>
      </w:pPr>
      <w:r>
        <w:rPr>
          <w:rFonts w:ascii="Times New Roman" w:hAnsi="Times New Roman"/>
          <w:sz w:val="28"/>
          <w:szCs w:val="28"/>
          <w:lang w:val="ru-RU"/>
        </w:rPr>
        <w:t xml:space="preserve">инициировать выдвижение коллектива Медицинского центра «Решма» на награждение Медалью Уполномоченного по правам человека в Российской Федерации «Спешите делать добро»;</w:t>
      </w:r>
      <w:r>
        <w:rPr>
          <w:lang w:val="ru-RU"/>
        </w:rPr>
      </w:r>
      <w:r>
        <w:rPr>
          <w:lang w:val="ru-RU"/>
        </w:rPr>
      </w:r>
    </w:p>
    <w:p>
      <w:pPr>
        <w:pStyle w:val="1227"/>
        <w:numPr>
          <w:ilvl w:val="0"/>
          <w:numId w:val="99"/>
        </w:numPr>
        <w:ind w:left="0" w:firstLine="709"/>
        <w:jc w:val="both"/>
        <w:spacing w:line="276" w:lineRule="auto"/>
        <w:shd w:val="clear" w:color="ffffff" w:fill="ffffff"/>
        <w:rPr>
          <w:lang w:val="ru-RU"/>
        </w:rPr>
        <w:pBdr>
          <w:top w:val="none" w:color="000000" w:sz="4" w:space="0"/>
          <w:left w:val="none" w:color="000000" w:sz="4" w:space="0"/>
          <w:bottom w:val="none" w:color="000000" w:sz="4" w:space="0"/>
          <w:right w:val="none" w:color="000000" w:sz="4" w:space="0"/>
        </w:pBdr>
      </w:pPr>
      <w:r>
        <w:rPr>
          <w:rFonts w:ascii="Times New Roman" w:hAnsi="Times New Roman"/>
          <w:sz w:val="28"/>
          <w:szCs w:val="28"/>
          <w:lang w:val="ru-RU"/>
        </w:rPr>
        <w:t xml:space="preserve">выпустить  информационную брошюру «Основные меры поддержки участников СВО и членов их семей».</w:t>
      </w:r>
      <w:r>
        <w:rPr>
          <w:lang w:val="ru-RU"/>
        </w:rPr>
      </w:r>
      <w:r>
        <w:rPr>
          <w:lang w:val="ru-RU"/>
        </w:rPr>
      </w:r>
    </w:p>
    <w:p>
      <w:pPr>
        <w:ind w:firstLine="709"/>
        <w:jc w:val="both"/>
        <w:spacing w:after="0"/>
        <w:shd w:val="clear" w:color="ffffff" w:fill="ffffff"/>
        <w:rPr>
          <w:bCs/>
          <w:i/>
        </w:rPr>
        <w:pBdr>
          <w:top w:val="none" w:color="000000" w:sz="4" w:space="0"/>
          <w:left w:val="none" w:color="000000" w:sz="4" w:space="0"/>
          <w:bottom w:val="none" w:color="000000" w:sz="4" w:space="0"/>
          <w:right w:val="none" w:color="000000" w:sz="4" w:space="0"/>
        </w:pBdr>
      </w:pPr>
      <w:r>
        <w:rPr>
          <w:rFonts w:ascii="Times New Roman" w:hAnsi="Times New Roman"/>
          <w:sz w:val="28"/>
          <w:szCs w:val="28"/>
        </w:rPr>
        <w:t xml:space="preserve">5. Главам муниципальных образований Ивановской области:   </w:t>
      </w:r>
      <w:r>
        <w:rPr>
          <w:bCs/>
          <w:i/>
        </w:rPr>
      </w:r>
      <w:r>
        <w:rPr>
          <w:bCs/>
          <w:i/>
        </w:rPr>
      </w:r>
    </w:p>
    <w:p>
      <w:pPr>
        <w:pStyle w:val="1227"/>
        <w:numPr>
          <w:ilvl w:val="0"/>
          <w:numId w:val="100"/>
        </w:numPr>
        <w:ind w:left="0" w:firstLine="709"/>
        <w:jc w:val="both"/>
        <w:spacing w:line="276" w:lineRule="auto"/>
        <w:shd w:val="clear" w:color="ffffff" w:fill="ffffff"/>
        <w:rPr>
          <w:lang w:val="ru-RU"/>
        </w:rPr>
        <w:pBdr>
          <w:top w:val="none" w:color="000000" w:sz="4" w:space="0"/>
          <w:left w:val="none" w:color="000000" w:sz="4" w:space="0"/>
          <w:bottom w:val="none" w:color="000000" w:sz="4" w:space="0"/>
          <w:right w:val="none" w:color="000000" w:sz="4" w:space="0"/>
        </w:pBdr>
      </w:pPr>
      <w:r>
        <w:rPr>
          <w:rFonts w:ascii="Times New Roman" w:hAnsi="Times New Roman"/>
          <w:sz w:val="28"/>
          <w:szCs w:val="28"/>
          <w:lang w:val="ru-RU"/>
        </w:rPr>
        <w:t xml:space="preserve">пр</w:t>
      </w:r>
      <w:r>
        <w:rPr>
          <w:rFonts w:ascii="Times New Roman" w:hAnsi="Times New Roman"/>
          <w:sz w:val="28"/>
          <w:szCs w:val="28"/>
          <w:lang w:val="ru-RU"/>
        </w:rPr>
        <w:t xml:space="preserve">едусмотреть организацию Дней правовой помощи  на базе муниципальных образований для защитников Отечества и членов их семей совместно с  Уполномоченным по правам человека в Ивановской области и представителями системы здравоохранения (по отдельном графику).</w:t>
      </w:r>
      <w:r>
        <w:rPr>
          <w:lang w:val="ru-RU"/>
        </w:rPr>
      </w:r>
      <w:r>
        <w:rPr>
          <w:lang w:val="ru-RU"/>
        </w:rPr>
      </w:r>
      <w:r>
        <w:rPr>
          <w:rFonts w:ascii="Times New Roman" w:hAnsi="Times New Roman"/>
          <w:sz w:val="28"/>
          <w:szCs w:val="28"/>
          <w:highlight w:val="none"/>
          <w:lang w:val="ru-RU"/>
        </w:rPr>
      </w:r>
      <w:r>
        <w:rPr>
          <w:lang w:val="ru-RU"/>
        </w:rPr>
      </w:r>
      <w:r>
        <w:rPr>
          <w:lang w:val="ru-RU"/>
        </w:rPr>
      </w:r>
      <w:r>
        <w:rPr>
          <w:lang w:val="ru-RU"/>
        </w:rPr>
      </w:r>
    </w:p>
    <w:p>
      <w:pPr>
        <w:ind w:firstLine="709"/>
        <w:jc w:val="both"/>
        <w:spacing w:after="0"/>
        <w:shd w:val="clear" w:color="ffffff" w:fill="ffffff"/>
        <w:rPr>
          <w:bCs/>
          <w:i/>
        </w:rPr>
        <w:pBdr>
          <w:top w:val="none" w:color="000000" w:sz="4" w:space="0"/>
          <w:left w:val="none" w:color="000000" w:sz="4" w:space="0"/>
          <w:bottom w:val="none" w:color="000000" w:sz="4" w:space="0"/>
          <w:right w:val="none" w:color="000000" w:sz="4" w:space="0"/>
        </w:pBdr>
      </w:pPr>
      <w:r>
        <w:rPr>
          <w:rFonts w:ascii="Times New Roman" w:hAnsi="Times New Roman"/>
          <w:sz w:val="28"/>
          <w:szCs w:val="28"/>
        </w:rPr>
        <w:t xml:space="preserve">6. ООО «Санатории Зеленый городок»:</w:t>
      </w:r>
      <w:r>
        <w:rPr>
          <w:bCs/>
          <w:i/>
        </w:rPr>
      </w:r>
      <w:r>
        <w:rPr>
          <w:bCs/>
          <w:i/>
        </w:rPr>
      </w:r>
    </w:p>
    <w:p>
      <w:pPr>
        <w:pStyle w:val="1227"/>
        <w:numPr>
          <w:ilvl w:val="0"/>
          <w:numId w:val="101"/>
        </w:numPr>
        <w:ind w:left="0" w:firstLine="709"/>
        <w:jc w:val="both"/>
        <w:spacing w:line="276" w:lineRule="auto"/>
        <w:shd w:val="clear" w:color="ffffff" w:fill="ffffff"/>
        <w:rPr>
          <w:rFonts w:ascii="Times New Roman" w:hAnsi="Times New Roman"/>
          <w:sz w:val="28"/>
          <w:szCs w:val="28"/>
          <w:lang w:val="ru-RU"/>
        </w:rPr>
        <w:pBdr>
          <w:top w:val="none" w:color="000000" w:sz="4" w:space="0"/>
          <w:left w:val="none" w:color="000000" w:sz="4" w:space="0"/>
          <w:bottom w:val="none" w:color="000000" w:sz="4" w:space="0"/>
          <w:right w:val="none" w:color="000000" w:sz="4" w:space="0"/>
        </w:pBdr>
      </w:pPr>
      <w:r>
        <w:rPr>
          <w:rFonts w:ascii="Times New Roman" w:hAnsi="Times New Roman"/>
          <w:sz w:val="28"/>
          <w:szCs w:val="28"/>
          <w:lang w:val="ru-RU"/>
        </w:rPr>
        <w:t xml:space="preserve">продолжить развитие целевых программ санаторно-курортного лечения участников СВО и членов их семей.</w:t>
      </w:r>
      <w:r>
        <w:rPr>
          <w:rFonts w:ascii="Times New Roman" w:hAnsi="Times New Roman"/>
          <w:sz w:val="28"/>
          <w:szCs w:val="28"/>
          <w:lang w:val="ru-RU"/>
        </w:rPr>
      </w:r>
      <w:r>
        <w:rPr>
          <w:rFonts w:ascii="Times New Roman" w:hAnsi="Times New Roman"/>
          <w:sz w:val="28"/>
          <w:szCs w:val="28"/>
          <w:lang w:val="ru-RU"/>
        </w:rPr>
      </w:r>
    </w:p>
    <w:p>
      <w:pPr>
        <w:ind w:firstLine="709"/>
        <w:jc w:val="both"/>
        <w:spacing w:after="0"/>
        <w:shd w:val="clear" w:color="ffffff" w:fill="ffffff"/>
        <w:rPr>
          <w:rFonts w:ascii="Times New Roman" w:hAnsi="Times New Roman"/>
          <w:sz w:val="28"/>
          <w:szCs w:val="28"/>
        </w:rPr>
        <w:pBdr>
          <w:top w:val="none" w:color="000000" w:sz="4" w:space="0"/>
          <w:left w:val="none" w:color="000000" w:sz="4" w:space="0"/>
          <w:bottom w:val="none" w:color="000000" w:sz="4" w:space="0"/>
          <w:right w:val="none" w:color="000000" w:sz="4" w:space="0"/>
        </w:pBdr>
      </w:pPr>
      <w:r>
        <w:rPr>
          <w:rFonts w:ascii="Times New Roman" w:hAnsi="Times New Roman"/>
          <w:sz w:val="28"/>
          <w:szCs w:val="28"/>
        </w:rPr>
        <w:t xml:space="preserve">Уполномоченный</w:t>
      </w:r>
      <w:r>
        <w:rPr>
          <w:rFonts w:ascii="Times New Roman" w:hAnsi="Times New Roman"/>
          <w:sz w:val="28"/>
          <w:szCs w:val="28"/>
        </w:rPr>
        <w:t xml:space="preserve"> с самого начала СВО совместно  с профильными ведомствами, социально ответственными НКО рассматривает обращения, связанные с оказанием поддержки бойцов и членов их семей в пределах компетенции.</w:t>
      </w:r>
      <w:r>
        <w:rPr>
          <w:rFonts w:ascii="Times New Roman" w:hAnsi="Times New Roman"/>
          <w:sz w:val="28"/>
          <w:szCs w:val="28"/>
        </w:rPr>
      </w:r>
      <w:r>
        <w:rPr>
          <w:rFonts w:ascii="Times New Roman" w:hAnsi="Times New Roman"/>
          <w:sz w:val="28"/>
          <w:szCs w:val="28"/>
        </w:rPr>
      </w:r>
    </w:p>
    <w:p>
      <w:pPr>
        <w:ind w:firstLine="709"/>
        <w:jc w:val="both"/>
        <w:spacing w:after="0"/>
        <w:shd w:val="clear" w:color="ffffff" w:fill="ffffff"/>
        <w:pBdr>
          <w:top w:val="none" w:color="000000" w:sz="4" w:space="0"/>
          <w:left w:val="none" w:color="000000" w:sz="4" w:space="0"/>
          <w:bottom w:val="none" w:color="000000" w:sz="4" w:space="0"/>
          <w:right w:val="none" w:color="000000" w:sz="4" w:space="0"/>
        </w:pBdr>
      </w:pPr>
      <w:r>
        <w:rPr>
          <w:rFonts w:ascii="Times New Roman" w:hAnsi="Times New Roman"/>
          <w:sz w:val="28"/>
          <w:szCs w:val="28"/>
        </w:rPr>
        <w:t xml:space="preserve">Вопросы разноплановые. Есть те, в которых правозащитному институту приходится выступать как связующее звено, так как проблема может разрешиться только при содействии федеральных служб.</w:t>
      </w:r>
      <w:r/>
    </w:p>
    <w:p>
      <w:pPr>
        <w:ind w:firstLine="709"/>
        <w:jc w:val="both"/>
        <w:spacing w:after="0"/>
        <w:shd w:val="clear" w:color="ffffff" w:fill="ffffff"/>
        <w:pBdr>
          <w:top w:val="none" w:color="000000" w:sz="4" w:space="0"/>
          <w:left w:val="none" w:color="000000" w:sz="4" w:space="0"/>
          <w:bottom w:val="none" w:color="000000" w:sz="4" w:space="0"/>
          <w:right w:val="none" w:color="000000" w:sz="4" w:space="0"/>
        </w:pBdr>
      </w:pPr>
      <w:r>
        <w:rPr>
          <w:rFonts w:ascii="Times New Roman" w:hAnsi="Times New Roman"/>
          <w:sz w:val="28"/>
          <w:szCs w:val="28"/>
        </w:rPr>
        <w:t xml:space="preserve">Есть истории, которые удается рассмотреть положительно здесь, у нас, на малой родине.</w:t>
      </w:r>
      <w:r/>
    </w:p>
    <w:p>
      <w:pPr>
        <w:ind w:firstLine="709"/>
        <w:jc w:val="both"/>
        <w:spacing w:after="0"/>
        <w:shd w:val="clear" w:color="ffffff" w:fill="ffffff"/>
        <w:pBdr>
          <w:top w:val="none" w:color="000000" w:sz="4" w:space="0"/>
          <w:left w:val="none" w:color="000000" w:sz="4" w:space="0"/>
          <w:bottom w:val="none" w:color="000000" w:sz="4" w:space="0"/>
          <w:right w:val="none" w:color="000000" w:sz="4" w:space="0"/>
        </w:pBdr>
      </w:pPr>
      <w:r>
        <w:rPr>
          <w:rFonts w:ascii="Times New Roman" w:hAnsi="Times New Roman"/>
          <w:sz w:val="28"/>
          <w:szCs w:val="28"/>
        </w:rPr>
        <w:t xml:space="preserve">Это касается оказания качественной медицинской помощи участникам и ветеранам СВО, которые находятся на восстановительном лечении, сохранения здоровья близких родственников, возможности получения образования детям наших Защитников Отечества. </w:t>
      </w:r>
      <w:r/>
    </w:p>
    <w:p>
      <w:pPr>
        <w:ind w:firstLine="709"/>
        <w:jc w:val="both"/>
        <w:spacing w:after="0"/>
        <w:shd w:val="clear" w:color="ffffff" w:fill="ffffff"/>
        <w:pBdr>
          <w:top w:val="none" w:color="000000" w:sz="4" w:space="0"/>
          <w:left w:val="none" w:color="000000" w:sz="4" w:space="0"/>
          <w:bottom w:val="none" w:color="000000" w:sz="4" w:space="0"/>
          <w:right w:val="none" w:color="000000" w:sz="4" w:space="0"/>
        </w:pBdr>
      </w:pPr>
      <w:r>
        <w:rPr>
          <w:rFonts w:ascii="Times New Roman" w:hAnsi="Times New Roman"/>
          <w:sz w:val="28"/>
          <w:szCs w:val="28"/>
        </w:rPr>
        <w:t xml:space="preserve">  Помогла региональному правозащитнику в положительном разрешении проблемных вопросов по поддержке военнослужащих и ра</w:t>
      </w:r>
      <w:r>
        <w:rPr>
          <w:rFonts w:ascii="Times New Roman" w:hAnsi="Times New Roman"/>
          <w:sz w:val="28"/>
          <w:szCs w:val="28"/>
        </w:rPr>
        <w:t xml:space="preserve">бочая поездка в приграничную зону СВО в 2024 году. Налаженные контакты с местным аппаратом Уполномоченного по правам человека, руководством администрации Луганска, волонтерским движением позволяют сегодня в оперативном порядке оказывать действенную помощь.</w:t>
      </w:r>
      <w:r/>
    </w:p>
    <w:p>
      <w:pPr>
        <w:ind w:firstLine="709"/>
        <w:jc w:val="both"/>
        <w:spacing w:after="0"/>
        <w:shd w:val="clear" w:color="ffffff" w:fill="ffffff"/>
        <w:pBdr>
          <w:top w:val="none" w:color="000000" w:sz="4" w:space="0"/>
          <w:left w:val="none" w:color="000000" w:sz="4" w:space="0"/>
          <w:bottom w:val="none" w:color="000000" w:sz="4" w:space="0"/>
          <w:right w:val="none" w:color="000000" w:sz="4" w:space="0"/>
        </w:pBdr>
      </w:pPr>
      <w:r>
        <w:rPr>
          <w:rFonts w:ascii="Times New Roman" w:hAnsi="Times New Roman"/>
          <w:sz w:val="28"/>
          <w:szCs w:val="28"/>
        </w:rPr>
        <w:t xml:space="preserve">Региональный омбудсмен старается при необходимости поддерживать связь и с нашими ивановскими десантниками, </w:t>
      </w:r>
      <w:r>
        <w:rPr>
          <w:rFonts w:ascii="Times New Roman" w:hAnsi="Times New Roman"/>
          <w:sz w:val="28"/>
          <w:szCs w:val="28"/>
        </w:rPr>
        <w:t xml:space="preserve">Тейковской</w:t>
      </w:r>
      <w:r>
        <w:rPr>
          <w:rFonts w:ascii="Times New Roman" w:hAnsi="Times New Roman"/>
          <w:sz w:val="28"/>
          <w:szCs w:val="28"/>
        </w:rPr>
        <w:t xml:space="preserve"> ракетной дивизией. </w:t>
      </w:r>
      <w:r/>
    </w:p>
    <w:p>
      <w:pPr>
        <w:ind w:firstLine="709"/>
        <w:jc w:val="both"/>
        <w:spacing w:after="0"/>
        <w:shd w:val="clear" w:color="ffffff" w:fill="ffffff"/>
        <w:pBdr>
          <w:top w:val="none" w:color="000000" w:sz="4" w:space="0"/>
          <w:left w:val="none" w:color="000000" w:sz="4" w:space="0"/>
          <w:bottom w:val="none" w:color="000000" w:sz="4" w:space="0"/>
          <w:right w:val="none" w:color="000000" w:sz="4" w:space="0"/>
        </w:pBdr>
      </w:pPr>
      <w:r>
        <w:rPr>
          <w:rFonts w:ascii="Times New Roman" w:hAnsi="Times New Roman"/>
          <w:sz w:val="28"/>
          <w:szCs w:val="28"/>
        </w:rPr>
        <w:t xml:space="preserve"> За значительный вклад в правозащитную деятельность в августе                      2025 года  Светлана Шмелева поощрена нагрудным памятным знаком «От благодарного Луганского народа».</w:t>
      </w:r>
      <w:r/>
    </w:p>
    <w:p>
      <w:pPr>
        <w:ind w:firstLine="709"/>
        <w:jc w:val="both"/>
        <w:spacing w:after="0"/>
        <w:shd w:val="clear" w:color="ffffff" w:fill="ffffff"/>
        <w:rPr>
          <w:rFonts w:ascii="Times New Roman" w:hAnsi="Times New Roman"/>
          <w:sz w:val="28"/>
          <w:szCs w:val="28"/>
        </w:rPr>
        <w:pBdr>
          <w:top w:val="none" w:color="000000" w:sz="4" w:space="0"/>
          <w:left w:val="none" w:color="000000" w:sz="4" w:space="0"/>
          <w:bottom w:val="none" w:color="000000" w:sz="4" w:space="0"/>
          <w:right w:val="none" w:color="000000" w:sz="4" w:space="0"/>
        </w:pBdr>
      </w:pPr>
      <w:r>
        <w:rPr>
          <w:rFonts w:ascii="Times New Roman" w:hAnsi="Times New Roman"/>
          <w:i/>
          <w:iCs/>
          <w:sz w:val="28"/>
          <w:szCs w:val="28"/>
        </w:rPr>
        <w:t xml:space="preserve">«Однозначно, эта награда для всего нашего правозащитного сообщества. Продолжаем служить людям, беречь налаженное взаимодействие. Низкий поклон нашим Защитникам Отечества! Эти мужественные люди сегодня сражаются за свободу своей страны, сокрушаю</w:t>
      </w:r>
      <w:r>
        <w:rPr>
          <w:rFonts w:ascii="Times New Roman" w:hAnsi="Times New Roman"/>
          <w:i/>
          <w:iCs/>
          <w:sz w:val="28"/>
          <w:szCs w:val="28"/>
        </w:rPr>
        <w:t xml:space="preserve">т фаш</w:t>
      </w:r>
      <w:r>
        <w:rPr>
          <w:rFonts w:ascii="Times New Roman" w:hAnsi="Times New Roman"/>
          <w:i/>
          <w:iCs/>
          <w:sz w:val="28"/>
          <w:szCs w:val="28"/>
        </w:rPr>
        <w:t xml:space="preserve">изм, борются с нацизмом. Они дарят нам жизнь! Их отличают стойкость и мужество. Они заслуживают нашего внимания, любви, заботы и преклонения. Обязательно поддержки! Слова благодарности и волонтерам, кующим сегодня Победу в тылу», - отметила Уполномоченный.</w:t>
      </w:r>
      <w:r>
        <w:rPr>
          <w:rFonts w:ascii="Times New Roman" w:hAnsi="Times New Roman"/>
          <w:sz w:val="28"/>
          <w:szCs w:val="28"/>
        </w:rPr>
      </w:r>
      <w:r>
        <w:rPr>
          <w:rFonts w:ascii="Times New Roman" w:hAnsi="Times New Roman"/>
          <w:sz w:val="28"/>
          <w:szCs w:val="28"/>
        </w:rPr>
      </w:r>
    </w:p>
    <w:p>
      <w:pPr>
        <w:ind w:firstLine="709"/>
        <w:jc w:val="both"/>
        <w:spacing w:after="0"/>
        <w:shd w:val="clear" w:color="ffffff" w:fill="ffffff"/>
        <w:rPr>
          <w:rFonts w:ascii="Times New Roman" w:hAnsi="Times New Roman"/>
          <w:sz w:val="28"/>
          <w:szCs w:val="28"/>
        </w:rPr>
        <w:pBdr>
          <w:top w:val="none" w:color="000000" w:sz="4" w:space="0"/>
          <w:left w:val="none" w:color="000000" w:sz="4" w:space="0"/>
          <w:bottom w:val="none" w:color="000000" w:sz="4" w:space="0"/>
          <w:right w:val="none" w:color="000000" w:sz="4" w:space="0"/>
        </w:pBdr>
      </w:pPr>
      <w:r>
        <w:rPr>
          <w:rFonts w:ascii="Times New Roman" w:hAnsi="Times New Roman"/>
          <w:sz w:val="28"/>
          <w:szCs w:val="28"/>
        </w:rPr>
        <w:t xml:space="preserve"> Региональный институт </w:t>
      </w:r>
      <w:r>
        <w:rPr>
          <w:rFonts w:ascii="Times New Roman" w:hAnsi="Times New Roman"/>
          <w:sz w:val="28"/>
          <w:szCs w:val="28"/>
        </w:rPr>
        <w:t xml:space="preserve">правозащиты</w:t>
      </w:r>
      <w:r>
        <w:rPr>
          <w:rFonts w:ascii="Times New Roman" w:hAnsi="Times New Roman"/>
          <w:sz w:val="28"/>
          <w:szCs w:val="28"/>
        </w:rPr>
        <w:t xml:space="preserve"> постоянно совершенствует методы и формы </w:t>
      </w:r>
      <w:r>
        <w:rPr>
          <w:rFonts w:ascii="Times New Roman" w:hAnsi="Times New Roman"/>
          <w:sz w:val="28"/>
          <w:szCs w:val="28"/>
        </w:rPr>
        <w:t xml:space="preserve">правопросветильских</w:t>
      </w:r>
      <w:r>
        <w:rPr>
          <w:rFonts w:ascii="Times New Roman" w:hAnsi="Times New Roman"/>
          <w:sz w:val="28"/>
          <w:szCs w:val="28"/>
        </w:rPr>
        <w:t xml:space="preserve"> практик. Так, в  августе 2025 года в </w:t>
      </w:r>
      <w:r>
        <w:rPr>
          <w:rFonts w:ascii="Times New Roman" w:hAnsi="Times New Roman"/>
          <w:sz w:val="28"/>
          <w:szCs w:val="28"/>
        </w:rPr>
        <w:t xml:space="preserve">Ивановской обл</w:t>
      </w:r>
      <w:r>
        <w:rPr>
          <w:rFonts w:ascii="Times New Roman" w:hAnsi="Times New Roman"/>
          <w:sz w:val="28"/>
          <w:szCs w:val="28"/>
        </w:rPr>
        <w:t xml:space="preserve">асти в Медицинском центре «Решма» ФМБА России состоялось региональное мероприятие «Под флагом Победы», приуроченное ко Дню Государственного флага Российской Федерации, организованное при поддержке депутата Государственной Думы Российской Федерации Михаила </w:t>
      </w:r>
      <w:r>
        <w:rPr>
          <w:rFonts w:ascii="Times New Roman" w:hAnsi="Times New Roman"/>
          <w:sz w:val="28"/>
          <w:szCs w:val="28"/>
        </w:rPr>
        <w:t xml:space="preserve">Кизеева</w:t>
      </w:r>
      <w:r>
        <w:rPr>
          <w:rFonts w:ascii="Times New Roman" w:hAnsi="Times New Roman"/>
          <w:sz w:val="28"/>
          <w:szCs w:val="28"/>
        </w:rPr>
        <w:t xml:space="preserve"> и региональной службы правозащиты.</w:t>
      </w:r>
      <w:r>
        <w:rPr>
          <w:rFonts w:ascii="Times New Roman" w:hAnsi="Times New Roman"/>
          <w:sz w:val="28"/>
          <w:szCs w:val="28"/>
        </w:rPr>
      </w:r>
      <w:r>
        <w:rPr>
          <w:rFonts w:ascii="Times New Roman" w:hAnsi="Times New Roman"/>
          <w:sz w:val="28"/>
          <w:szCs w:val="28"/>
        </w:rPr>
      </w:r>
    </w:p>
    <w:p>
      <w:pPr>
        <w:ind w:firstLine="709"/>
        <w:jc w:val="both"/>
        <w:spacing w:after="0"/>
        <w:shd w:val="clear" w:color="ffffff" w:fill="ffffff"/>
        <w:pBdr>
          <w:top w:val="none" w:color="000000" w:sz="4" w:space="0"/>
          <w:left w:val="none" w:color="000000" w:sz="4" w:space="0"/>
          <w:bottom w:val="none" w:color="000000" w:sz="4" w:space="0"/>
          <w:right w:val="none" w:color="000000" w:sz="4" w:space="0"/>
        </w:pBdr>
      </w:pPr>
      <w:r>
        <w:rPr>
          <w:rFonts w:ascii="Times New Roman" w:hAnsi="Times New Roman"/>
          <w:sz w:val="28"/>
          <w:szCs w:val="28"/>
        </w:rPr>
        <w:t xml:space="preserve">Необходимо отметить, что именно на базе МЦ «Реш</w:t>
      </w:r>
      <w:r>
        <w:rPr>
          <w:rFonts w:ascii="Times New Roman" w:hAnsi="Times New Roman"/>
          <w:sz w:val="28"/>
          <w:szCs w:val="28"/>
        </w:rPr>
        <w:t xml:space="preserve">ма» по инициативе главы региона Станислава Воскресенского один из первых в Ивановской области был открыт реабилитационный центр для участников СВО, где реализуются целевые программы, направленные на сохранение здоровья, реабилитацию населения нашей страны.</w:t>
      </w:r>
      <w:r/>
    </w:p>
    <w:p>
      <w:pPr>
        <w:ind w:firstLine="709"/>
        <w:jc w:val="both"/>
        <w:spacing w:after="0"/>
        <w:shd w:val="clear" w:color="ffffff" w:fill="ffffff"/>
        <w:pBdr>
          <w:top w:val="none" w:color="000000" w:sz="4" w:space="0"/>
          <w:left w:val="none" w:color="000000" w:sz="4" w:space="0"/>
          <w:bottom w:val="none" w:color="000000" w:sz="4" w:space="0"/>
          <w:right w:val="none" w:color="000000" w:sz="4" w:space="0"/>
        </w:pBdr>
      </w:pPr>
      <w:r>
        <w:rPr>
          <w:rFonts w:ascii="Times New Roman" w:hAnsi="Times New Roman"/>
          <w:sz w:val="28"/>
          <w:szCs w:val="28"/>
        </w:rPr>
        <w:t xml:space="preserve">На «кругл</w:t>
      </w:r>
      <w:r>
        <w:rPr>
          <w:rFonts w:ascii="Times New Roman" w:hAnsi="Times New Roman"/>
          <w:sz w:val="28"/>
          <w:szCs w:val="28"/>
        </w:rPr>
        <w:t xml:space="preserve">ом столе»  на тему «Комплексная реабилитация участников СВО: основы и способы защиты прав» представители военной прокуратуры Ивановского гарнизона, областных Департамента социальной защиты населения, Департамента спорта, Комитета по труду, содействию занят</w:t>
      </w:r>
      <w:r>
        <w:rPr>
          <w:rFonts w:ascii="Times New Roman" w:hAnsi="Times New Roman"/>
          <w:sz w:val="28"/>
          <w:szCs w:val="28"/>
        </w:rPr>
        <w:t xml:space="preserve">ости населения и трудовой миграции, филиала фонда «Защитники Отчества», Народного Фронта, правозащитного сообщества, лидеры общественного мнения в открытом диалоге обсудили актуальные проблемные вопросы и пути их решения в сфере реабилитации участников СВО</w:t>
      </w:r>
      <w:r>
        <w:rPr>
          <w:rFonts w:ascii="Times New Roman" w:hAnsi="Times New Roman"/>
          <w:sz w:val="28"/>
          <w:szCs w:val="28"/>
        </w:rPr>
        <w:t xml:space="preserve">. Были затронуты темы обеспечения социально-психологической, социально-педагогической, социально-трудовой реабилитации участников СВО.</w:t>
      </w:r>
      <w:r/>
    </w:p>
    <w:p>
      <w:pPr>
        <w:ind w:firstLine="709"/>
        <w:jc w:val="both"/>
        <w:spacing w:after="0"/>
        <w:shd w:val="clear" w:color="ffffff" w:fill="ffffff"/>
        <w:pBdr>
          <w:top w:val="none" w:color="000000" w:sz="4" w:space="0"/>
          <w:left w:val="none" w:color="000000" w:sz="4" w:space="0"/>
          <w:bottom w:val="none" w:color="000000" w:sz="4" w:space="0"/>
          <w:right w:val="none" w:color="000000" w:sz="4" w:space="0"/>
        </w:pBdr>
      </w:pPr>
      <w:r>
        <w:rPr>
          <w:rFonts w:ascii="Times New Roman" w:hAnsi="Times New Roman"/>
          <w:sz w:val="28"/>
          <w:szCs w:val="28"/>
        </w:rPr>
      </w:r>
      <w:r>
        <w:rPr>
          <w:rFonts w:ascii="Times New Roman" w:hAnsi="Times New Roman"/>
          <w:sz w:val="28"/>
          <w:szCs w:val="28"/>
        </w:rPr>
        <w:t xml:space="preserve">В числе выработанных р</w:t>
      </w:r>
      <w:r>
        <w:rPr>
          <w:rFonts w:ascii="Times New Roman" w:hAnsi="Times New Roman"/>
          <w:sz w:val="28"/>
          <w:szCs w:val="28"/>
        </w:rPr>
        <w:t xml:space="preserve">екомендаций – расширение сети Центро</w:t>
      </w:r>
      <w:r>
        <w:rPr>
          <w:rFonts w:ascii="Times New Roman" w:hAnsi="Times New Roman"/>
          <w:sz w:val="28"/>
          <w:szCs w:val="28"/>
        </w:rPr>
        <w:t xml:space="preserve">в психологической помощи (выездных приемов на базе муниципальных образований, в том числе и в сельской местности), специализирующихся на работе с лицами, уволенными в запас, а также гражданами, принимавшими участие в боевых действиях в ходе проведения СВО.</w:t>
      </w:r>
      <w:r/>
    </w:p>
    <w:p>
      <w:pPr>
        <w:ind w:firstLine="709"/>
        <w:jc w:val="both"/>
        <w:spacing w:after="0"/>
        <w:shd w:val="clear" w:color="ffffff" w:fill="ffffff"/>
        <w:pBdr>
          <w:top w:val="none" w:color="000000" w:sz="4" w:space="0"/>
          <w:left w:val="none" w:color="000000" w:sz="4" w:space="0"/>
          <w:bottom w:val="none" w:color="000000" w:sz="4" w:space="0"/>
          <w:right w:val="none" w:color="000000" w:sz="4" w:space="0"/>
        </w:pBdr>
      </w:pPr>
      <w:r>
        <w:rPr>
          <w:rFonts w:ascii="Times New Roman" w:hAnsi="Times New Roman"/>
          <w:sz w:val="28"/>
          <w:szCs w:val="28"/>
        </w:rPr>
        <w:t xml:space="preserve">Одной из правовой составляющей мероприятия стали консультации для участников СВО и членов их семей. Региональный омбудсмен, </w:t>
      </w:r>
      <w:r>
        <w:rPr>
          <w:rFonts w:ascii="Times New Roman" w:hAnsi="Times New Roman"/>
          <w:sz w:val="28"/>
          <w:szCs w:val="28"/>
        </w:rPr>
        <w:t xml:space="preserve">врио</w:t>
      </w:r>
      <w:r>
        <w:rPr>
          <w:rFonts w:ascii="Times New Roman" w:hAnsi="Times New Roman"/>
          <w:sz w:val="28"/>
          <w:szCs w:val="28"/>
        </w:rPr>
        <w:t xml:space="preserve"> военного прокурора Ивановского гарнизона </w:t>
      </w:r>
      <w:r>
        <w:rPr>
          <w:rFonts w:ascii="Times New Roman" w:hAnsi="Times New Roman"/>
          <w:sz w:val="28"/>
          <w:szCs w:val="28"/>
        </w:rPr>
        <w:t xml:space="preserve">Ревмир</w:t>
      </w:r>
      <w:r>
        <w:rPr>
          <w:rFonts w:ascii="Times New Roman" w:hAnsi="Times New Roman"/>
          <w:sz w:val="28"/>
          <w:szCs w:val="28"/>
        </w:rPr>
        <w:t xml:space="preserve"> </w:t>
      </w:r>
      <w:r>
        <w:rPr>
          <w:rFonts w:ascii="Times New Roman" w:hAnsi="Times New Roman"/>
          <w:sz w:val="28"/>
          <w:szCs w:val="28"/>
        </w:rPr>
        <w:t xml:space="preserve">Каибов</w:t>
      </w:r>
      <w:r>
        <w:rPr>
          <w:rFonts w:ascii="Times New Roman" w:hAnsi="Times New Roman"/>
          <w:sz w:val="28"/>
          <w:szCs w:val="28"/>
        </w:rPr>
        <w:t xml:space="preserve"> и представители общественных организаций внимательно выслушали военнослужащих и членов их семей, детально разобрали волнующие вопросы и предложили варианты их решения. Часть обращений взято в дальнейшую проработку.</w:t>
      </w:r>
      <w:r/>
    </w:p>
    <w:p>
      <w:pPr>
        <w:ind w:firstLine="709"/>
        <w:jc w:val="both"/>
        <w:spacing w:after="0"/>
        <w:shd w:val="clear" w:color="ffffff" w:fill="ffffff"/>
        <w:pBdr>
          <w:top w:val="none" w:color="000000" w:sz="4" w:space="0"/>
          <w:left w:val="none" w:color="000000" w:sz="4" w:space="0"/>
          <w:bottom w:val="none" w:color="000000" w:sz="4" w:space="0"/>
          <w:right w:val="none" w:color="000000" w:sz="4" w:space="0"/>
        </w:pBdr>
      </w:pPr>
      <w:r>
        <w:rPr>
          <w:rFonts w:ascii="Times New Roman" w:hAnsi="Times New Roman"/>
          <w:sz w:val="28"/>
          <w:szCs w:val="28"/>
        </w:rPr>
        <w:t xml:space="preserve">В ходе спортивно-патриотического фестиваля «Под флагом Победы» участники специальной военной операции, ветераны СВО вновь на деле </w:t>
      </w:r>
      <w:r>
        <w:rPr>
          <w:rFonts w:ascii="Times New Roman" w:hAnsi="Times New Roman"/>
          <w:sz w:val="28"/>
          <w:szCs w:val="28"/>
        </w:rPr>
        <w:t xml:space="preserve">доказали, что они сильные, мужественные бойцы. </w:t>
      </w:r>
      <w:r/>
    </w:p>
    <w:p>
      <w:pPr>
        <w:ind w:firstLine="709"/>
        <w:jc w:val="both"/>
        <w:spacing w:after="0"/>
        <w:shd w:val="clear" w:color="ffffff" w:fill="ffffff"/>
        <w:pBdr>
          <w:top w:val="none" w:color="000000" w:sz="4" w:space="0"/>
          <w:left w:val="none" w:color="000000" w:sz="4" w:space="0"/>
          <w:bottom w:val="none" w:color="000000" w:sz="4" w:space="0"/>
          <w:right w:val="none" w:color="000000" w:sz="4" w:space="0"/>
        </w:pBdr>
      </w:pPr>
      <w:r>
        <w:rPr>
          <w:rFonts w:ascii="Times New Roman" w:hAnsi="Times New Roman"/>
          <w:sz w:val="28"/>
          <w:szCs w:val="28"/>
        </w:rPr>
        <w:t xml:space="preserve">В завершении спортивно-патриотического фестиваля состоялась творческая программа и награждение победителей.</w:t>
      </w:r>
      <w:r/>
    </w:p>
    <w:p>
      <w:pPr>
        <w:ind w:firstLine="709"/>
        <w:jc w:val="both"/>
        <w:spacing w:after="0"/>
        <w:shd w:val="clear" w:color="ffffff" w:fill="ffffff"/>
        <w:rPr>
          <w:rFonts w:ascii="Times New Roman" w:hAnsi="Times New Roman" w:eastAsia="Times New Roman"/>
          <w:color w:val="000000"/>
          <w:sz w:val="28"/>
          <w:szCs w:val="28"/>
        </w:rPr>
        <w:pBdr>
          <w:top w:val="none" w:color="000000" w:sz="4" w:space="0"/>
          <w:left w:val="none" w:color="000000" w:sz="4" w:space="0"/>
          <w:bottom w:val="none" w:color="000000" w:sz="4" w:space="0"/>
          <w:right w:val="none" w:color="000000" w:sz="4" w:space="0"/>
        </w:pBdr>
      </w:pPr>
      <w:r>
        <w:rPr>
          <w:rFonts w:ascii="Times New Roman" w:hAnsi="Times New Roman" w:eastAsia="Times New Roman"/>
          <w:color w:val="000000"/>
          <w:sz w:val="28"/>
          <w:szCs w:val="28"/>
        </w:rPr>
        <w:t xml:space="preserve">В октябре прошлого года региональный Уполномоченный вместе с руководством областного центра поздравила военнослужащих, </w:t>
      </w:r>
      <w:r>
        <w:rPr>
          <w:rFonts w:ascii="Times New Roman" w:hAnsi="Times New Roman" w:eastAsia="Times New Roman"/>
          <w:color w:val="000000"/>
          <w:sz w:val="28"/>
          <w:szCs w:val="28"/>
        </w:rPr>
        <w:t xml:space="preserve">ветеранов</w:t>
      </w:r>
      <w:r>
        <w:rPr>
          <w:rFonts w:ascii="Times New Roman" w:hAnsi="Times New Roman" w:eastAsia="Times New Roman"/>
          <w:color w:val="000000"/>
          <w:sz w:val="28"/>
          <w:szCs w:val="28"/>
        </w:rPr>
        <w:t xml:space="preserve"> и командование 217 гвардейского парашютно-десантного Ивановского ордена Кутузова III степени полка с Днем части. В индивидуальном режиме был организован личный приём заявителей.</w:t>
      </w:r>
      <w:r>
        <w:rPr>
          <w:rFonts w:ascii="Times New Roman" w:hAnsi="Times New Roman" w:eastAsia="Times New Roman"/>
          <w:color w:val="000000"/>
          <w:sz w:val="28"/>
          <w:szCs w:val="28"/>
        </w:rPr>
      </w:r>
      <w:r>
        <w:rPr>
          <w:rFonts w:ascii="Times New Roman" w:hAnsi="Times New Roman" w:eastAsia="Times New Roman"/>
          <w:color w:val="000000"/>
          <w:sz w:val="28"/>
          <w:szCs w:val="28"/>
        </w:rPr>
      </w:r>
    </w:p>
    <w:p>
      <w:pPr>
        <w:ind w:firstLine="709"/>
        <w:jc w:val="both"/>
        <w:spacing w:after="0"/>
        <w:shd w:val="clear" w:color="ffffff" w:fill="ffffff"/>
        <w:rPr>
          <w:rFonts w:ascii="Times New Roman" w:hAnsi="Times New Roman"/>
          <w:sz w:val="28"/>
          <w:szCs w:val="28"/>
        </w:rPr>
        <w:pBdr>
          <w:top w:val="none" w:color="000000" w:sz="4" w:space="0"/>
          <w:left w:val="none" w:color="000000" w:sz="4" w:space="0"/>
          <w:bottom w:val="none" w:color="000000" w:sz="4" w:space="0"/>
          <w:right w:val="none" w:color="000000" w:sz="4" w:space="0"/>
        </w:pBdr>
      </w:pPr>
      <w:r>
        <w:rPr>
          <w:rFonts w:ascii="Times New Roman" w:hAnsi="Times New Roman" w:eastAsia="Times New Roman"/>
          <w:color w:val="000000"/>
          <w:sz w:val="28"/>
          <w:szCs w:val="28"/>
        </w:rPr>
        <w:t xml:space="preserve">217 полк - это славная страница в истории Воздушно-десантных войск России. За 77 лет своего существования гвардейцы не раз доказывали верность присяге, мужество и профессионализм в самых сложных ситуациях. </w:t>
      </w:r>
      <w:r>
        <w:rPr>
          <w:rFonts w:ascii="Times New Roman" w:hAnsi="Times New Roman"/>
          <w:sz w:val="28"/>
          <w:szCs w:val="28"/>
        </w:rPr>
      </w:r>
      <w:r>
        <w:rPr>
          <w:rFonts w:ascii="Times New Roman" w:hAnsi="Times New Roman"/>
          <w:sz w:val="28"/>
          <w:szCs w:val="28"/>
        </w:rPr>
      </w:r>
    </w:p>
    <w:p>
      <w:pPr>
        <w:ind w:firstLine="709"/>
        <w:jc w:val="both"/>
        <w:spacing w:after="0"/>
        <w:shd w:val="clear" w:color="ffffff" w:fill="ffffff"/>
        <w:rPr>
          <w:rFonts w:ascii="Times New Roman" w:hAnsi="Times New Roman" w:eastAsia="Times New Roman"/>
          <w:sz w:val="28"/>
          <w:szCs w:val="28"/>
        </w:rPr>
        <w:pBdr>
          <w:top w:val="none" w:color="000000" w:sz="4" w:space="0"/>
          <w:left w:val="none" w:color="000000" w:sz="4" w:space="0"/>
          <w:bottom w:val="none" w:color="000000" w:sz="4" w:space="0"/>
          <w:right w:val="none" w:color="000000" w:sz="4" w:space="0"/>
        </w:pBdr>
      </w:pPr>
      <w:r>
        <w:rPr>
          <w:rFonts w:ascii="Times New Roman" w:hAnsi="Times New Roman" w:eastAsia="Times New Roman"/>
          <w:i/>
          <w:iCs/>
          <w:color w:val="000000"/>
          <w:sz w:val="28"/>
          <w:szCs w:val="28"/>
        </w:rPr>
        <w:t xml:space="preserve">«Сегодня, когда полк продолжа</w:t>
      </w:r>
      <w:r>
        <w:rPr>
          <w:rFonts w:ascii="Times New Roman" w:hAnsi="Times New Roman" w:eastAsia="Times New Roman"/>
          <w:i/>
          <w:iCs/>
          <w:color w:val="000000"/>
          <w:sz w:val="28"/>
          <w:szCs w:val="28"/>
        </w:rPr>
        <w:t xml:space="preserve">ет славные традиции предшественников, хочу отметить особую важность соблюдения прав человека в условиях выполнения боевых задач. Каждый военнослужащий должен быть уверен в том, что его права защищены, а заслуги будут достойно оценены. Желаю гвардейцам креп</w:t>
      </w:r>
      <w:r>
        <w:rPr>
          <w:rFonts w:ascii="Times New Roman" w:hAnsi="Times New Roman" w:eastAsia="Times New Roman"/>
          <w:i/>
          <w:iCs/>
          <w:color w:val="000000"/>
          <w:sz w:val="28"/>
          <w:szCs w:val="28"/>
        </w:rPr>
        <w:t xml:space="preserve">кого здоровья, успехов в боевой подготовке, надежного тыла и мирного неба! Пусть честь и достоинство десантника всегда будут вашими верными спутниками, а верность присяге и воинскому долгу остается главным ориентиром в жизни!», - отметила Светлана Шмелева.</w:t>
      </w:r>
      <w:r>
        <w:rPr>
          <w:rFonts w:ascii="Times New Roman" w:hAnsi="Times New Roman" w:eastAsia="Times New Roman"/>
          <w:sz w:val="28"/>
          <w:szCs w:val="28"/>
        </w:rPr>
      </w:r>
      <w:r>
        <w:rPr>
          <w:rFonts w:ascii="Times New Roman" w:hAnsi="Times New Roman" w:eastAsia="Times New Roman"/>
          <w:sz w:val="28"/>
          <w:szCs w:val="28"/>
        </w:rPr>
      </w:r>
    </w:p>
    <w:p>
      <w:pPr>
        <w:ind w:firstLine="709"/>
        <w:jc w:val="both"/>
        <w:spacing w:after="0"/>
        <w:shd w:val="clear" w:color="ffffff" w:fill="ffffff"/>
        <w:pBdr>
          <w:top w:val="none" w:color="000000" w:sz="4" w:space="0"/>
          <w:left w:val="none" w:color="000000" w:sz="4" w:space="0"/>
          <w:bottom w:val="none" w:color="000000" w:sz="4" w:space="0"/>
          <w:right w:val="none" w:color="000000" w:sz="4" w:space="0"/>
        </w:pBdr>
      </w:pPr>
      <w:r>
        <w:rPr>
          <w:rFonts w:ascii="Times New Roman" w:hAnsi="Times New Roman" w:eastAsia="Times New Roman"/>
          <w:sz w:val="28"/>
          <w:szCs w:val="28"/>
        </w:rPr>
        <w:t xml:space="preserve">В октябре 2025 года Уполномоченный совершила рабочую поездку в городской округ Тейково. В рамках визита состоялись встречи с руководством ракетной дивизии и представителями юридического сообщества.</w:t>
      </w:r>
      <w:r/>
    </w:p>
    <w:p>
      <w:pPr>
        <w:ind w:firstLine="709"/>
        <w:jc w:val="both"/>
        <w:spacing w:after="0"/>
        <w:shd w:val="clear" w:color="ffffff" w:fill="ffffff"/>
        <w:pBdr>
          <w:top w:val="none" w:color="000000" w:sz="4" w:space="0"/>
          <w:left w:val="none" w:color="000000" w:sz="4" w:space="0"/>
          <w:bottom w:val="none" w:color="000000" w:sz="4" w:space="0"/>
          <w:right w:val="none" w:color="000000" w:sz="4" w:space="0"/>
        </w:pBdr>
      </w:pPr>
      <w:r>
        <w:rPr>
          <w:rFonts w:ascii="Times New Roman" w:hAnsi="Times New Roman" w:eastAsia="Times New Roman"/>
          <w:sz w:val="28"/>
          <w:szCs w:val="28"/>
        </w:rPr>
        <w:t xml:space="preserve">Значительную помощь в организации приема граждан оказал ветеран Ракетных войск, полковник в отставке Владимир </w:t>
      </w:r>
      <w:r>
        <w:rPr>
          <w:rFonts w:ascii="Times New Roman" w:hAnsi="Times New Roman" w:eastAsia="Times New Roman"/>
          <w:sz w:val="28"/>
          <w:szCs w:val="28"/>
        </w:rPr>
        <w:t xml:space="preserve">Картавцев</w:t>
      </w:r>
      <w:r>
        <w:rPr>
          <w:rFonts w:ascii="Times New Roman" w:hAnsi="Times New Roman" w:eastAsia="Times New Roman"/>
          <w:sz w:val="28"/>
          <w:szCs w:val="28"/>
        </w:rPr>
        <w:t xml:space="preserve">, выступающий в качестве общественного помощника регионального омбудсмена.</w:t>
      </w:r>
      <w:r/>
    </w:p>
    <w:p>
      <w:pPr>
        <w:ind w:firstLine="709"/>
        <w:jc w:val="both"/>
        <w:spacing w:after="0"/>
        <w:shd w:val="clear" w:color="ffffff" w:fill="ffffff"/>
        <w:pBdr>
          <w:top w:val="none" w:color="000000" w:sz="4" w:space="0"/>
          <w:left w:val="none" w:color="000000" w:sz="4" w:space="0"/>
          <w:bottom w:val="none" w:color="000000" w:sz="4" w:space="0"/>
          <w:right w:val="none" w:color="000000" w:sz="4" w:space="0"/>
        </w:pBdr>
      </w:pPr>
      <w:r>
        <w:rPr>
          <w:rFonts w:ascii="Times New Roman" w:hAnsi="Times New Roman" w:eastAsia="Times New Roman"/>
          <w:sz w:val="28"/>
          <w:szCs w:val="28"/>
        </w:rPr>
        <w:t xml:space="preserve">В ходе т</w:t>
      </w:r>
      <w:r>
        <w:rPr>
          <w:rFonts w:ascii="Times New Roman" w:hAnsi="Times New Roman" w:eastAsia="Times New Roman"/>
          <w:sz w:val="28"/>
          <w:szCs w:val="28"/>
        </w:rPr>
        <w:t xml:space="preserve">ематического приема, посвященного поддержке участников СВО и их семей, были зафиксированы обращения, которые впоследствии направлены федеральному Уполномоченному по правам человека. Данное направление является одним из приоритетов государственной политики.</w:t>
      </w:r>
      <w:r/>
    </w:p>
    <w:p>
      <w:pPr>
        <w:ind w:firstLine="709"/>
        <w:jc w:val="both"/>
        <w:spacing w:after="0"/>
        <w:shd w:val="clear" w:color="ffffff" w:fill="ffffff"/>
        <w:rPr>
          <w:rFonts w:ascii="Times New Roman" w:hAnsi="Times New Roman"/>
          <w:sz w:val="28"/>
          <w:szCs w:val="28"/>
        </w:rPr>
        <w:pBdr>
          <w:top w:val="none" w:color="000000" w:sz="4" w:space="0"/>
          <w:left w:val="none" w:color="000000" w:sz="4" w:space="0"/>
          <w:bottom w:val="none" w:color="000000" w:sz="4" w:space="0"/>
          <w:right w:val="none" w:color="000000" w:sz="4" w:space="0"/>
        </w:pBdr>
      </w:pPr>
      <w:r>
        <w:rPr>
          <w:rFonts w:ascii="Times New Roman" w:hAnsi="Times New Roman" w:eastAsia="Times New Roman"/>
          <w:sz w:val="28"/>
          <w:szCs w:val="28"/>
        </w:rPr>
        <w:t xml:space="preserve">Также омбудсмен пообщалась в ракетчиками – новобранцами, поделившимися информацией об условиях быт</w:t>
      </w:r>
      <w:r>
        <w:rPr>
          <w:rFonts w:ascii="Times New Roman" w:hAnsi="Times New Roman" w:eastAsia="Times New Roman"/>
          <w:sz w:val="28"/>
          <w:szCs w:val="28"/>
        </w:rPr>
        <w:t xml:space="preserve">а, обустройства и организации питания. Хорошо, когда в дивизии созданы все необходимые условия для несения воинской службы. Омбудсмен пожелала военнослужащим успехов в боевой подготовке, крепкого братства и взаимовыручки, оставив для связи свои координаты.</w:t>
      </w:r>
      <w:r>
        <w:rPr>
          <w:rFonts w:ascii="Times New Roman" w:hAnsi="Times New Roman"/>
          <w:sz w:val="28"/>
          <w:szCs w:val="28"/>
        </w:rPr>
      </w:r>
      <w:r>
        <w:rPr>
          <w:rFonts w:ascii="Times New Roman" w:hAnsi="Times New Roman"/>
          <w:sz w:val="28"/>
          <w:szCs w:val="28"/>
        </w:rPr>
      </w:r>
    </w:p>
    <w:p>
      <w:pPr>
        <w:pStyle w:val="1253"/>
        <w:ind w:firstLine="709"/>
        <w:jc w:val="both"/>
        <w:spacing w:line="276" w:lineRule="auto"/>
        <w:rPr>
          <w:sz w:val="28"/>
          <w:szCs w:val="28"/>
        </w:rPr>
      </w:pPr>
      <w:r>
        <w:rPr>
          <w:sz w:val="28"/>
          <w:szCs w:val="28"/>
        </w:rPr>
        <w:t xml:space="preserve">В декабре 2025 года правозащитник встретилась с ветеранами специальной военной операции на заседании региональной </w:t>
      </w:r>
      <w:r>
        <w:rPr>
          <w:sz w:val="28"/>
          <w:szCs w:val="28"/>
        </w:rPr>
        <w:t xml:space="preserve">Ассоциации ветеранов СВО. Данная общественная организация создана при поддержке Губернатора Ивановской области Станислава Воскресенского.</w:t>
      </w:r>
      <w:r>
        <w:rPr>
          <w:sz w:val="28"/>
          <w:szCs w:val="28"/>
        </w:rPr>
        <w:t xml:space="preserve"> </w:t>
      </w:r>
      <w:r>
        <w:rPr>
          <w:sz w:val="28"/>
          <w:szCs w:val="28"/>
        </w:rPr>
        <w:t xml:space="preserve">Сегодня представители боевого ветеранского движения развивают свое общественное служение, находясь там, где нужна их поддержка.</w:t>
      </w:r>
      <w:r>
        <w:rPr>
          <w:sz w:val="28"/>
          <w:szCs w:val="28"/>
        </w:rPr>
      </w:r>
      <w:r>
        <w:rPr>
          <w:sz w:val="28"/>
          <w:szCs w:val="28"/>
        </w:rPr>
      </w:r>
    </w:p>
    <w:p>
      <w:pPr>
        <w:pStyle w:val="1253"/>
        <w:ind w:firstLine="709"/>
        <w:jc w:val="both"/>
        <w:spacing w:line="276" w:lineRule="auto"/>
        <w:rPr>
          <w:sz w:val="28"/>
          <w:szCs w:val="28"/>
        </w:rPr>
      </w:pPr>
      <w:r>
        <w:rPr>
          <w:sz w:val="28"/>
          <w:szCs w:val="28"/>
        </w:rPr>
        <w:t xml:space="preserve">Уполномоченный и коллектив Ассоциации заключили Соглашение о сотрудничестве, направленное на координацию помощи ветеранам специальной военной операции и их семьям. </w:t>
      </w:r>
      <w:r>
        <w:rPr>
          <w:sz w:val="28"/>
          <w:szCs w:val="28"/>
        </w:rPr>
      </w:r>
      <w:r>
        <w:rPr>
          <w:sz w:val="28"/>
          <w:szCs w:val="28"/>
        </w:rPr>
      </w:r>
    </w:p>
    <w:p>
      <w:pPr>
        <w:pStyle w:val="1253"/>
        <w:ind w:firstLine="709"/>
        <w:jc w:val="both"/>
        <w:spacing w:line="276" w:lineRule="auto"/>
        <w:rPr>
          <w:sz w:val="28"/>
          <w:szCs w:val="28"/>
        </w:rPr>
      </w:pPr>
      <w:r>
        <w:rPr>
          <w:sz w:val="28"/>
          <w:szCs w:val="28"/>
        </w:rPr>
        <w:t xml:space="preserve">Документ подписан совместно с председателем Ивановской региональной ассоциации ветеранов СВО Владимиром Лебедевым, который имеет опыт участия в боевых действиях и пользуется уважением и авторитетом в братском сообществе.</w:t>
      </w:r>
      <w:r>
        <w:rPr>
          <w:sz w:val="28"/>
          <w:szCs w:val="28"/>
        </w:rPr>
      </w:r>
      <w:r>
        <w:rPr>
          <w:sz w:val="28"/>
          <w:szCs w:val="28"/>
        </w:rPr>
      </w:r>
    </w:p>
    <w:p>
      <w:pPr>
        <w:pStyle w:val="1253"/>
        <w:ind w:firstLine="709"/>
        <w:jc w:val="both"/>
        <w:spacing w:line="276" w:lineRule="auto"/>
        <w:rPr>
          <w:sz w:val="28"/>
          <w:szCs w:val="28"/>
        </w:rPr>
      </w:pPr>
      <w:r>
        <w:rPr>
          <w:sz w:val="28"/>
          <w:szCs w:val="28"/>
        </w:rPr>
        <w:t xml:space="preserve">Во встрече также приняли участие руководитель филиала Государственн</w:t>
      </w:r>
      <w:r>
        <w:rPr>
          <w:sz w:val="28"/>
          <w:szCs w:val="28"/>
        </w:rPr>
        <w:t xml:space="preserve">ого фонда «Защитники Отечества» по Ивановской области - депутат Ивановской областной Думы  Борис Шаляпин, первый заместитель председателя Ивановской городской Думы Дмитрий Тищенко. В зоне СВО Дмитрий Владимирович был с первых дней. За проявленное мужество </w:t>
      </w:r>
      <w:r>
        <w:rPr>
          <w:sz w:val="28"/>
          <w:szCs w:val="28"/>
        </w:rPr>
        <w:t xml:space="preserve">награжден</w:t>
      </w:r>
      <w:r>
        <w:rPr>
          <w:sz w:val="28"/>
          <w:szCs w:val="28"/>
        </w:rPr>
        <w:t xml:space="preserve"> медалью ордена «За заслуги перед Отечеством».</w:t>
      </w:r>
      <w:r>
        <w:rPr>
          <w:sz w:val="28"/>
          <w:szCs w:val="28"/>
        </w:rPr>
      </w:r>
      <w:r>
        <w:rPr>
          <w:sz w:val="28"/>
          <w:szCs w:val="28"/>
        </w:rPr>
      </w:r>
    </w:p>
    <w:p>
      <w:pPr>
        <w:pStyle w:val="1253"/>
        <w:ind w:firstLine="709"/>
        <w:jc w:val="both"/>
        <w:spacing w:line="276" w:lineRule="auto"/>
        <w:rPr>
          <w:sz w:val="28"/>
          <w:szCs w:val="28"/>
        </w:rPr>
      </w:pPr>
      <w:r>
        <w:rPr>
          <w:sz w:val="28"/>
          <w:szCs w:val="28"/>
        </w:rPr>
        <w:t xml:space="preserve">Состоявшийся разговор в неформальной обстановке с наст</w:t>
      </w:r>
      <w:r>
        <w:rPr>
          <w:sz w:val="28"/>
          <w:szCs w:val="28"/>
        </w:rPr>
        <w:t xml:space="preserve">оящими защитниками, которые рискуя своей жизнью, отстаивают сегодня рубежи нашей страны, позволил обсудить актуальные вопросы взаимодействия и координации усилий по оказанию всесторонней помощи ветеранам СВО и членам их семей на территории нашего региона. </w:t>
      </w:r>
      <w:r>
        <w:rPr>
          <w:sz w:val="28"/>
          <w:szCs w:val="28"/>
        </w:rPr>
      </w:r>
      <w:r>
        <w:rPr>
          <w:sz w:val="28"/>
          <w:szCs w:val="28"/>
        </w:rPr>
      </w:r>
    </w:p>
    <w:p>
      <w:pPr>
        <w:pStyle w:val="1253"/>
        <w:ind w:firstLine="709"/>
        <w:jc w:val="both"/>
        <w:spacing w:line="276" w:lineRule="auto"/>
        <w:rPr>
          <w:sz w:val="28"/>
          <w:szCs w:val="28"/>
        </w:rPr>
      </w:pPr>
      <w:r>
        <w:rPr>
          <w:sz w:val="28"/>
          <w:szCs w:val="28"/>
        </w:rPr>
        <w:t xml:space="preserve">Достигнута договоренность объединить ресурсы и компетенции для более эффективного решения социальных, правовых и медицинских проблем защитников Отечества.</w:t>
      </w:r>
      <w:r>
        <w:rPr>
          <w:sz w:val="28"/>
          <w:szCs w:val="28"/>
        </w:rPr>
      </w:r>
      <w:r>
        <w:rPr>
          <w:sz w:val="28"/>
          <w:szCs w:val="28"/>
        </w:rPr>
      </w:r>
    </w:p>
    <w:p>
      <w:pPr>
        <w:ind w:firstLine="709"/>
        <w:jc w:val="both"/>
        <w:spacing w:after="0"/>
        <w:shd w:val="clear" w:color="ffffff" w:fill="ffffff"/>
        <w:rPr>
          <w:rFonts w:ascii="Times New Roman" w:hAnsi="Times New Roman"/>
          <w:sz w:val="28"/>
          <w:szCs w:val="28"/>
        </w:rPr>
        <w:pBdr>
          <w:top w:val="none" w:color="000000" w:sz="4" w:space="0"/>
          <w:left w:val="none" w:color="000000" w:sz="4" w:space="0"/>
          <w:bottom w:val="none" w:color="000000" w:sz="4" w:space="0"/>
          <w:right w:val="none" w:color="000000" w:sz="4" w:space="0"/>
        </w:pBdr>
      </w:pPr>
      <w:r>
        <w:rPr>
          <w:rFonts w:ascii="Times New Roman" w:hAnsi="Times New Roman"/>
          <w:sz w:val="28"/>
          <w:szCs w:val="28"/>
        </w:rPr>
        <w:t xml:space="preserve">Есть темы, объединяющие нас по всей России - это помощь Защитникам Отечества, находящимся на передовой.</w:t>
      </w:r>
      <w:r>
        <w:rPr>
          <w:rFonts w:ascii="Times New Roman" w:hAnsi="Times New Roman"/>
          <w:sz w:val="28"/>
          <w:szCs w:val="28"/>
        </w:rPr>
      </w:r>
      <w:r>
        <w:rPr>
          <w:rFonts w:ascii="Times New Roman" w:hAnsi="Times New Roman"/>
          <w:sz w:val="28"/>
          <w:szCs w:val="28"/>
        </w:rPr>
      </w:r>
    </w:p>
    <w:p>
      <w:pPr>
        <w:ind w:firstLine="709"/>
        <w:jc w:val="both"/>
        <w:spacing w:after="0"/>
        <w:shd w:val="clear" w:color="ffffff" w:fill="ffffff"/>
        <w:rPr>
          <w:rFonts w:ascii="Times New Roman" w:hAnsi="Times New Roman"/>
          <w:sz w:val="28"/>
          <w:szCs w:val="28"/>
        </w:rPr>
        <w:pBdr>
          <w:top w:val="none" w:color="000000" w:sz="4" w:space="0"/>
          <w:left w:val="none" w:color="000000" w:sz="4" w:space="0"/>
          <w:bottom w:val="none" w:color="000000" w:sz="4" w:space="0"/>
          <w:right w:val="none" w:color="000000" w:sz="4" w:space="0"/>
        </w:pBdr>
      </w:pPr>
      <w:r>
        <w:rPr>
          <w:rFonts w:ascii="Times New Roman" w:hAnsi="Times New Roman"/>
          <w:sz w:val="28"/>
          <w:szCs w:val="28"/>
        </w:rPr>
        <w:t xml:space="preserve">Наш Президент Владимир Путин подчеркивает, что «волонтеры играют большую роль в нынешних условиях».</w:t>
      </w:r>
      <w:r>
        <w:rPr>
          <w:rFonts w:ascii="Times New Roman" w:hAnsi="Times New Roman"/>
          <w:sz w:val="28"/>
          <w:szCs w:val="28"/>
        </w:rPr>
      </w:r>
      <w:r>
        <w:rPr>
          <w:rFonts w:ascii="Times New Roman" w:hAnsi="Times New Roman"/>
          <w:sz w:val="28"/>
          <w:szCs w:val="28"/>
        </w:rPr>
      </w:r>
    </w:p>
    <w:p>
      <w:pPr>
        <w:ind w:firstLine="709"/>
        <w:jc w:val="both"/>
        <w:spacing w:after="0"/>
        <w:shd w:val="clear" w:color="ffffff" w:fill="ffffff"/>
        <w:rPr>
          <w:rFonts w:ascii="Times New Roman" w:hAnsi="Times New Roman"/>
          <w:sz w:val="28"/>
          <w:szCs w:val="28"/>
        </w:rPr>
        <w:pBdr>
          <w:top w:val="none" w:color="000000" w:sz="4" w:space="0"/>
          <w:left w:val="none" w:color="000000" w:sz="4" w:space="0"/>
          <w:bottom w:val="none" w:color="000000" w:sz="4" w:space="0"/>
          <w:right w:val="none" w:color="000000" w:sz="4" w:space="0"/>
        </w:pBdr>
      </w:pPr>
      <w:r>
        <w:rPr>
          <w:rFonts w:ascii="Times New Roman" w:hAnsi="Times New Roman"/>
          <w:sz w:val="28"/>
          <w:szCs w:val="28"/>
        </w:rPr>
        <w:t xml:space="preserve">Важно, что количество добровольцев возрастает и в нашем субъекте.</w:t>
      </w:r>
      <w:r>
        <w:rPr>
          <w:rFonts w:ascii="Times New Roman" w:hAnsi="Times New Roman"/>
          <w:sz w:val="28"/>
          <w:szCs w:val="28"/>
        </w:rPr>
      </w:r>
      <w:r>
        <w:rPr>
          <w:rFonts w:ascii="Times New Roman" w:hAnsi="Times New Roman"/>
          <w:sz w:val="28"/>
          <w:szCs w:val="28"/>
        </w:rPr>
      </w:r>
    </w:p>
    <w:p>
      <w:pPr>
        <w:ind w:firstLine="709"/>
        <w:jc w:val="both"/>
        <w:spacing w:after="0"/>
        <w:shd w:val="clear" w:color="ffffff" w:fill="ffffff"/>
        <w:rPr>
          <w:rFonts w:ascii="Times New Roman" w:hAnsi="Times New Roman"/>
          <w:sz w:val="28"/>
          <w:szCs w:val="28"/>
        </w:rPr>
        <w:pBdr>
          <w:top w:val="none" w:color="000000" w:sz="4" w:space="0"/>
          <w:left w:val="none" w:color="000000" w:sz="4" w:space="0"/>
          <w:bottom w:val="none" w:color="000000" w:sz="4" w:space="0"/>
          <w:right w:val="none" w:color="000000" w:sz="4" w:space="0"/>
        </w:pBdr>
      </w:pPr>
      <w:r>
        <w:rPr>
          <w:rFonts w:ascii="Times New Roman" w:hAnsi="Times New Roman"/>
          <w:sz w:val="28"/>
          <w:szCs w:val="28"/>
        </w:rPr>
        <w:t xml:space="preserve">Так, на встрече с волонтерами в декабре 2025 года  Глава региона Станислав Воскресенский отметил: </w:t>
      </w:r>
      <w:r>
        <w:rPr>
          <w:rFonts w:ascii="Times New Roman" w:hAnsi="Times New Roman"/>
          <w:i/>
          <w:iCs/>
          <w:sz w:val="28"/>
          <w:szCs w:val="28"/>
        </w:rPr>
        <w:t xml:space="preserve">«У нас самые отзывчивые люди. Вдумайтесь: область небольшая, но мы, по данным ОНФ, входим в пятерку лидеров в стране по объему отправленной гуманитарной помощи. А всего у нас в этом задействовано более 9 тысяч волонтеров. Это действительно впечатляет».</w:t>
      </w:r>
      <w:r>
        <w:rPr>
          <w:rFonts w:ascii="Times New Roman" w:hAnsi="Times New Roman"/>
          <w:sz w:val="28"/>
          <w:szCs w:val="28"/>
        </w:rPr>
      </w:r>
      <w:r>
        <w:rPr>
          <w:rFonts w:ascii="Times New Roman" w:hAnsi="Times New Roman"/>
          <w:sz w:val="28"/>
          <w:szCs w:val="28"/>
        </w:rPr>
      </w:r>
    </w:p>
    <w:p>
      <w:pPr>
        <w:ind w:firstLine="709"/>
        <w:jc w:val="both"/>
        <w:spacing w:after="0"/>
        <w:shd w:val="clear" w:color="ffffff" w:fill="ffffff"/>
        <w:rPr>
          <w:rFonts w:ascii="Times New Roman" w:hAnsi="Times New Roman"/>
          <w:sz w:val="28"/>
          <w:szCs w:val="28"/>
        </w:rPr>
        <w:pBdr>
          <w:top w:val="none" w:color="000000" w:sz="4" w:space="0"/>
          <w:left w:val="none" w:color="000000" w:sz="4" w:space="0"/>
          <w:bottom w:val="none" w:color="000000" w:sz="4" w:space="0"/>
          <w:right w:val="none" w:color="000000" w:sz="4" w:space="0"/>
        </w:pBdr>
      </w:pPr>
      <w:r>
        <w:rPr>
          <w:rFonts w:ascii="Times New Roman" w:hAnsi="Times New Roman"/>
          <w:sz w:val="28"/>
          <w:szCs w:val="28"/>
        </w:rPr>
        <w:t xml:space="preserve">В течение календарного года вместе с земляками Уполномоченный принимала участие в отправке гуманитарных грузов. Так, в фин</w:t>
      </w:r>
      <w:r>
        <w:rPr>
          <w:rFonts w:ascii="Times New Roman" w:hAnsi="Times New Roman"/>
          <w:sz w:val="28"/>
          <w:szCs w:val="28"/>
        </w:rPr>
        <w:t xml:space="preserve">але уходящего 2025 года был инициирован очередной сбор гуманитарной помощи в зону СВО. И было неважно, что внутри коробок - продукты, одежда или что-то иное. Важно, что за ними стоят человеческие сердца, готовые поделиться теплом. Отправляя </w:t>
      </w:r>
      <w:r>
        <w:rPr>
          <w:rFonts w:ascii="Times New Roman" w:hAnsi="Times New Roman"/>
          <w:sz w:val="28"/>
          <w:szCs w:val="28"/>
        </w:rPr>
        <w:t xml:space="preserve">гуманитарный груз, мы не просто передаем вещи, предметы первой необходимости - мы дарим бойцам чувство твердой поддержки и веры в лучшее.</w:t>
      </w:r>
      <w:r>
        <w:rPr>
          <w:rFonts w:ascii="Times New Roman" w:hAnsi="Times New Roman"/>
          <w:sz w:val="28"/>
          <w:szCs w:val="28"/>
        </w:rPr>
      </w:r>
      <w:r>
        <w:rPr>
          <w:rFonts w:ascii="Times New Roman" w:hAnsi="Times New Roman"/>
          <w:sz w:val="28"/>
          <w:szCs w:val="28"/>
        </w:rPr>
      </w:r>
    </w:p>
    <w:p>
      <w:pPr>
        <w:ind w:firstLine="709"/>
        <w:jc w:val="both"/>
        <w:spacing w:after="0"/>
        <w:shd w:val="clear" w:color="ffffff" w:fill="ffffff"/>
        <w:rPr>
          <w:rFonts w:ascii="Times New Roman" w:hAnsi="Times New Roman"/>
          <w:sz w:val="28"/>
          <w:szCs w:val="28"/>
        </w:rPr>
        <w:pBdr>
          <w:top w:val="none" w:color="000000" w:sz="4" w:space="0"/>
          <w:left w:val="none" w:color="000000" w:sz="4" w:space="0"/>
          <w:bottom w:val="none" w:color="000000" w:sz="4" w:space="0"/>
          <w:right w:val="none" w:color="000000" w:sz="4" w:space="0"/>
        </w:pBdr>
      </w:pPr>
      <w:r>
        <w:rPr>
          <w:rFonts w:ascii="Times New Roman" w:hAnsi="Times New Roman"/>
          <w:sz w:val="28"/>
          <w:szCs w:val="28"/>
        </w:rPr>
        <w:t xml:space="preserve">Первыми откликнулись:</w:t>
      </w:r>
      <w:r>
        <w:rPr>
          <w:rFonts w:ascii="Times New Roman" w:hAnsi="Times New Roman"/>
          <w:sz w:val="28"/>
          <w:szCs w:val="28"/>
        </w:rPr>
      </w:r>
      <w:r>
        <w:rPr>
          <w:rFonts w:ascii="Times New Roman" w:hAnsi="Times New Roman"/>
          <w:sz w:val="28"/>
          <w:szCs w:val="28"/>
        </w:rPr>
      </w:r>
    </w:p>
    <w:p>
      <w:pPr>
        <w:pStyle w:val="1227"/>
        <w:numPr>
          <w:ilvl w:val="0"/>
          <w:numId w:val="57"/>
        </w:numPr>
        <w:ind w:left="0" w:firstLine="709"/>
        <w:jc w:val="both"/>
        <w:spacing w:line="276" w:lineRule="auto"/>
        <w:shd w:val="clear" w:color="ffffff" w:fill="ffffff"/>
        <w:rPr>
          <w:rFonts w:ascii="Times New Roman" w:hAnsi="Times New Roman"/>
          <w:sz w:val="28"/>
          <w:szCs w:val="28"/>
          <w:lang w:val="ru-RU"/>
        </w:rPr>
        <w:pBdr>
          <w:top w:val="none" w:color="000000" w:sz="4" w:space="0"/>
          <w:left w:val="none" w:color="000000" w:sz="4" w:space="0"/>
          <w:bottom w:val="none" w:color="000000" w:sz="4" w:space="0"/>
          <w:right w:val="none" w:color="000000" w:sz="4" w:space="0"/>
        </w:pBdr>
      </w:pPr>
      <w:r>
        <w:rPr>
          <w:rFonts w:ascii="Times New Roman" w:hAnsi="Times New Roman"/>
          <w:sz w:val="28"/>
          <w:szCs w:val="28"/>
          <w:lang w:val="ru-RU"/>
        </w:rPr>
        <w:t xml:space="preserve">Управление </w:t>
      </w:r>
      <w:r>
        <w:rPr>
          <w:rFonts w:ascii="Times New Roman" w:hAnsi="Times New Roman"/>
          <w:sz w:val="28"/>
          <w:szCs w:val="28"/>
          <w:lang w:val="ru-RU"/>
        </w:rPr>
        <w:t xml:space="preserve">Россреестра</w:t>
      </w:r>
      <w:r>
        <w:rPr>
          <w:rFonts w:ascii="Times New Roman" w:hAnsi="Times New Roman"/>
          <w:sz w:val="28"/>
          <w:szCs w:val="28"/>
          <w:lang w:val="ru-RU"/>
        </w:rPr>
        <w:t xml:space="preserve"> по Ивановской области;</w:t>
      </w:r>
      <w:r>
        <w:rPr>
          <w:rFonts w:ascii="Times New Roman" w:hAnsi="Times New Roman"/>
          <w:sz w:val="28"/>
          <w:szCs w:val="28"/>
          <w:lang w:val="ru-RU"/>
        </w:rPr>
      </w:r>
      <w:r>
        <w:rPr>
          <w:rFonts w:ascii="Times New Roman" w:hAnsi="Times New Roman"/>
          <w:sz w:val="28"/>
          <w:szCs w:val="28"/>
          <w:lang w:val="ru-RU"/>
        </w:rPr>
      </w:r>
    </w:p>
    <w:p>
      <w:pPr>
        <w:pStyle w:val="1227"/>
        <w:numPr>
          <w:ilvl w:val="0"/>
          <w:numId w:val="57"/>
        </w:numPr>
        <w:ind w:left="0" w:firstLine="709"/>
        <w:jc w:val="both"/>
        <w:spacing w:line="276" w:lineRule="auto"/>
        <w:shd w:val="clear" w:color="ffffff" w:fill="ffffff"/>
        <w:rPr>
          <w:rFonts w:ascii="Times New Roman" w:hAnsi="Times New Roman"/>
          <w:sz w:val="28"/>
          <w:szCs w:val="28"/>
        </w:rPr>
        <w:pBdr>
          <w:top w:val="none" w:color="000000" w:sz="4" w:space="0"/>
          <w:left w:val="none" w:color="000000" w:sz="4" w:space="0"/>
          <w:bottom w:val="none" w:color="000000" w:sz="4" w:space="0"/>
          <w:right w:val="none" w:color="000000" w:sz="4" w:space="0"/>
        </w:pBdr>
      </w:pPr>
      <w:r>
        <w:rPr>
          <w:rFonts w:ascii="Times New Roman" w:hAnsi="Times New Roman"/>
          <w:sz w:val="28"/>
          <w:szCs w:val="28"/>
        </w:rPr>
        <w:t xml:space="preserve">Ивановский</w:t>
      </w:r>
      <w:r>
        <w:rPr>
          <w:rFonts w:ascii="Times New Roman" w:hAnsi="Times New Roman"/>
          <w:sz w:val="28"/>
          <w:szCs w:val="28"/>
        </w:rPr>
        <w:t xml:space="preserve"> </w:t>
      </w:r>
      <w:r>
        <w:rPr>
          <w:rFonts w:ascii="Times New Roman" w:hAnsi="Times New Roman"/>
          <w:sz w:val="28"/>
          <w:szCs w:val="28"/>
        </w:rPr>
        <w:t xml:space="preserve">колледж</w:t>
      </w:r>
      <w:r>
        <w:rPr>
          <w:rFonts w:ascii="Times New Roman" w:hAnsi="Times New Roman"/>
          <w:sz w:val="28"/>
          <w:szCs w:val="28"/>
        </w:rPr>
        <w:t xml:space="preserve"> </w:t>
      </w:r>
      <w:r>
        <w:rPr>
          <w:rFonts w:ascii="Times New Roman" w:hAnsi="Times New Roman"/>
          <w:sz w:val="28"/>
          <w:szCs w:val="28"/>
        </w:rPr>
        <w:t xml:space="preserve">культуры</w:t>
      </w:r>
      <w:r>
        <w:rPr>
          <w:rFonts w:ascii="Times New Roman" w:hAnsi="Times New Roman"/>
          <w:sz w:val="28"/>
          <w:szCs w:val="28"/>
        </w:rPr>
        <w:t xml:space="preserve">;</w:t>
      </w:r>
      <w:r>
        <w:rPr>
          <w:rFonts w:ascii="Times New Roman" w:hAnsi="Times New Roman"/>
          <w:sz w:val="28"/>
          <w:szCs w:val="28"/>
        </w:rPr>
      </w:r>
      <w:r>
        <w:rPr>
          <w:rFonts w:ascii="Times New Roman" w:hAnsi="Times New Roman"/>
          <w:sz w:val="28"/>
          <w:szCs w:val="28"/>
        </w:rPr>
      </w:r>
    </w:p>
    <w:p>
      <w:pPr>
        <w:pStyle w:val="1227"/>
        <w:numPr>
          <w:ilvl w:val="0"/>
          <w:numId w:val="57"/>
        </w:numPr>
        <w:ind w:left="0" w:firstLine="709"/>
        <w:jc w:val="both"/>
        <w:spacing w:line="276" w:lineRule="auto"/>
        <w:shd w:val="clear" w:color="ffffff" w:fill="ffffff"/>
        <w:rPr>
          <w:rFonts w:ascii="Times New Roman" w:hAnsi="Times New Roman"/>
          <w:sz w:val="28"/>
          <w:szCs w:val="28"/>
        </w:rPr>
        <w:pBdr>
          <w:top w:val="none" w:color="000000" w:sz="4" w:space="0"/>
          <w:left w:val="none" w:color="000000" w:sz="4" w:space="0"/>
          <w:bottom w:val="none" w:color="000000" w:sz="4" w:space="0"/>
          <w:right w:val="none" w:color="000000" w:sz="4" w:space="0"/>
        </w:pBdr>
      </w:pPr>
      <w:r>
        <w:rPr>
          <w:rFonts w:ascii="Times New Roman" w:hAnsi="Times New Roman"/>
          <w:sz w:val="28"/>
          <w:szCs w:val="28"/>
        </w:rPr>
        <w:t xml:space="preserve">Ивановское</w:t>
      </w:r>
      <w:r>
        <w:rPr>
          <w:rFonts w:ascii="Times New Roman" w:hAnsi="Times New Roman"/>
          <w:sz w:val="28"/>
          <w:szCs w:val="28"/>
        </w:rPr>
        <w:t xml:space="preserve"> </w:t>
      </w:r>
      <w:r>
        <w:rPr>
          <w:rFonts w:ascii="Times New Roman" w:hAnsi="Times New Roman"/>
          <w:sz w:val="28"/>
          <w:szCs w:val="28"/>
        </w:rPr>
        <w:t xml:space="preserve">музыкальное</w:t>
      </w:r>
      <w:r>
        <w:rPr>
          <w:rFonts w:ascii="Times New Roman" w:hAnsi="Times New Roman"/>
          <w:sz w:val="28"/>
          <w:szCs w:val="28"/>
        </w:rPr>
        <w:t xml:space="preserve"> </w:t>
      </w:r>
      <w:r>
        <w:rPr>
          <w:rFonts w:ascii="Times New Roman" w:hAnsi="Times New Roman"/>
          <w:sz w:val="28"/>
          <w:szCs w:val="28"/>
        </w:rPr>
        <w:t xml:space="preserve">училище</w:t>
      </w:r>
      <w:r>
        <w:rPr>
          <w:rFonts w:ascii="Times New Roman" w:hAnsi="Times New Roman"/>
          <w:sz w:val="28"/>
          <w:szCs w:val="28"/>
        </w:rPr>
        <w:t xml:space="preserve"> </w:t>
      </w:r>
      <w:r>
        <w:rPr>
          <w:rFonts w:ascii="Times New Roman" w:hAnsi="Times New Roman"/>
          <w:sz w:val="28"/>
          <w:szCs w:val="28"/>
        </w:rPr>
        <w:t xml:space="preserve">(</w:t>
      </w:r>
      <w:r>
        <w:rPr>
          <w:rFonts w:ascii="Times New Roman" w:hAnsi="Times New Roman"/>
          <w:sz w:val="28"/>
          <w:szCs w:val="28"/>
        </w:rPr>
        <w:t xml:space="preserve">к</w:t>
      </w:r>
      <w:r>
        <w:rPr>
          <w:rFonts w:ascii="Times New Roman" w:hAnsi="Times New Roman"/>
          <w:sz w:val="28"/>
          <w:szCs w:val="28"/>
        </w:rPr>
        <w:t xml:space="preserve">о</w:t>
      </w:r>
      <w:r>
        <w:rPr>
          <w:rFonts w:ascii="Times New Roman" w:hAnsi="Times New Roman"/>
          <w:sz w:val="28"/>
          <w:szCs w:val="28"/>
        </w:rPr>
        <w:t xml:space="preserve">л</w:t>
      </w:r>
      <w:r>
        <w:rPr>
          <w:rFonts w:ascii="Times New Roman" w:hAnsi="Times New Roman"/>
          <w:sz w:val="28"/>
          <w:szCs w:val="28"/>
        </w:rPr>
        <w:t xml:space="preserve">л</w:t>
      </w:r>
      <w:r>
        <w:rPr>
          <w:rFonts w:ascii="Times New Roman" w:hAnsi="Times New Roman"/>
          <w:sz w:val="28"/>
          <w:szCs w:val="28"/>
        </w:rPr>
        <w:t xml:space="preserve">е</w:t>
      </w:r>
      <w:r>
        <w:rPr>
          <w:rFonts w:ascii="Times New Roman" w:hAnsi="Times New Roman"/>
          <w:sz w:val="28"/>
          <w:szCs w:val="28"/>
        </w:rPr>
        <w:t xml:space="preserve">д</w:t>
      </w:r>
      <w:r>
        <w:rPr>
          <w:rFonts w:ascii="Times New Roman" w:hAnsi="Times New Roman"/>
          <w:sz w:val="28"/>
          <w:szCs w:val="28"/>
        </w:rPr>
        <w:t xml:space="preserve">ж</w:t>
      </w:r>
      <w:r>
        <w:rPr>
          <w:rFonts w:ascii="Times New Roman" w:hAnsi="Times New Roman"/>
          <w:sz w:val="28"/>
          <w:szCs w:val="28"/>
        </w:rPr>
        <w:t xml:space="preserve">)</w:t>
      </w:r>
      <w:r>
        <w:rPr>
          <w:rFonts w:ascii="Times New Roman" w:hAnsi="Times New Roman"/>
          <w:sz w:val="28"/>
          <w:szCs w:val="28"/>
        </w:rPr>
        <w:t xml:space="preserve">;</w:t>
      </w:r>
      <w:r>
        <w:rPr>
          <w:rFonts w:ascii="Times New Roman" w:hAnsi="Times New Roman"/>
          <w:sz w:val="28"/>
          <w:szCs w:val="28"/>
        </w:rPr>
      </w:r>
      <w:r>
        <w:rPr>
          <w:rFonts w:ascii="Times New Roman" w:hAnsi="Times New Roman"/>
          <w:sz w:val="28"/>
          <w:szCs w:val="28"/>
        </w:rPr>
      </w:r>
    </w:p>
    <w:p>
      <w:pPr>
        <w:pStyle w:val="1227"/>
        <w:numPr>
          <w:ilvl w:val="0"/>
          <w:numId w:val="57"/>
        </w:numPr>
        <w:ind w:left="0" w:firstLine="709"/>
        <w:jc w:val="both"/>
        <w:spacing w:line="276" w:lineRule="auto"/>
        <w:shd w:val="clear" w:color="ffffff" w:fill="ffffff"/>
        <w:rPr>
          <w:rFonts w:ascii="Times New Roman" w:hAnsi="Times New Roman"/>
          <w:sz w:val="28"/>
          <w:szCs w:val="28"/>
          <w:lang w:val="ru-RU"/>
        </w:rPr>
        <w:pBdr>
          <w:top w:val="none" w:color="000000" w:sz="4" w:space="0"/>
          <w:left w:val="none" w:color="000000" w:sz="4" w:space="0"/>
          <w:bottom w:val="none" w:color="000000" w:sz="4" w:space="0"/>
          <w:right w:val="none" w:color="000000" w:sz="4" w:space="0"/>
        </w:pBdr>
      </w:pPr>
      <w:r>
        <w:rPr>
          <w:rFonts w:ascii="Times New Roman" w:hAnsi="Times New Roman"/>
          <w:sz w:val="28"/>
          <w:szCs w:val="28"/>
          <w:lang w:val="ru-RU"/>
        </w:rPr>
        <w:t xml:space="preserve">Международный юридический институт, Ивановский филиал.</w:t>
      </w:r>
      <w:r>
        <w:rPr>
          <w:rFonts w:ascii="Times New Roman" w:hAnsi="Times New Roman"/>
          <w:sz w:val="28"/>
          <w:szCs w:val="28"/>
          <w:lang w:val="ru-RU"/>
        </w:rPr>
      </w:r>
      <w:r>
        <w:rPr>
          <w:rFonts w:ascii="Times New Roman" w:hAnsi="Times New Roman"/>
          <w:sz w:val="28"/>
          <w:szCs w:val="28"/>
          <w:lang w:val="ru-RU"/>
        </w:rPr>
      </w:r>
    </w:p>
    <w:p>
      <w:pPr>
        <w:ind w:firstLine="709"/>
        <w:jc w:val="both"/>
        <w:spacing w:after="0"/>
        <w:shd w:val="clear" w:color="ffffff" w:fill="ffffff"/>
        <w:rPr>
          <w:rFonts w:ascii="Times New Roman" w:hAnsi="Times New Roman"/>
          <w:sz w:val="28"/>
          <w:szCs w:val="28"/>
        </w:rPr>
        <w:pBdr>
          <w:top w:val="none" w:color="000000" w:sz="4" w:space="0"/>
          <w:left w:val="none" w:color="000000" w:sz="4" w:space="0"/>
          <w:bottom w:val="none" w:color="000000" w:sz="4" w:space="0"/>
          <w:right w:val="none" w:color="000000" w:sz="4" w:space="0"/>
        </w:pBdr>
      </w:pPr>
      <w:r>
        <w:rPr>
          <w:rFonts w:ascii="Times New Roman" w:hAnsi="Times New Roman"/>
          <w:sz w:val="28"/>
          <w:szCs w:val="28"/>
        </w:rPr>
        <w:t xml:space="preserve">За общую организацию и оперативность к подключению сбор гуманитарного груза следует сказать спасибо и членам Молодежного общественного совета при региональном омбудсмене: Роману Курочкину, Антону Шитову, Алине </w:t>
      </w:r>
      <w:r>
        <w:rPr>
          <w:rFonts w:ascii="Times New Roman" w:hAnsi="Times New Roman"/>
          <w:sz w:val="28"/>
          <w:szCs w:val="28"/>
        </w:rPr>
        <w:t xml:space="preserve">Морокиной</w:t>
      </w:r>
      <w:r>
        <w:rPr>
          <w:rFonts w:ascii="Times New Roman" w:hAnsi="Times New Roman"/>
          <w:sz w:val="28"/>
          <w:szCs w:val="28"/>
        </w:rPr>
        <w:t xml:space="preserve">.</w:t>
      </w:r>
      <w:r>
        <w:rPr>
          <w:rFonts w:ascii="Times New Roman" w:hAnsi="Times New Roman"/>
          <w:sz w:val="28"/>
          <w:szCs w:val="28"/>
        </w:rPr>
      </w:r>
      <w:r>
        <w:rPr>
          <w:rFonts w:ascii="Times New Roman" w:hAnsi="Times New Roman"/>
          <w:sz w:val="28"/>
          <w:szCs w:val="28"/>
        </w:rPr>
      </w:r>
    </w:p>
    <w:p>
      <w:pPr>
        <w:pStyle w:val="1253"/>
        <w:ind w:firstLine="709"/>
        <w:jc w:val="both"/>
        <w:spacing w:line="276" w:lineRule="auto"/>
        <w:rPr>
          <w:sz w:val="28"/>
          <w:szCs w:val="28"/>
        </w:rPr>
      </w:pPr>
      <w:r>
        <w:rPr>
          <w:sz w:val="28"/>
          <w:szCs w:val="28"/>
        </w:rPr>
        <w:t xml:space="preserve">Если поднять тему по поступающим обращениям, необходимо указать данные анализируемого периода.  Поступило 225 письменных и 203 устных обращения в защиту прав участников специальной военной операции.</w:t>
      </w:r>
      <w:r>
        <w:rPr>
          <w:sz w:val="28"/>
          <w:szCs w:val="28"/>
        </w:rPr>
      </w:r>
      <w:r>
        <w:rPr>
          <w:sz w:val="28"/>
          <w:szCs w:val="28"/>
        </w:rPr>
      </w:r>
    </w:p>
    <w:p>
      <w:pPr>
        <w:ind w:firstLine="709"/>
        <w:jc w:val="both"/>
        <w:spacing w:after="0"/>
        <w:rPr>
          <w:rFonts w:ascii="Times New Roman" w:hAnsi="Times New Roman"/>
          <w:sz w:val="28"/>
          <w:szCs w:val="28"/>
        </w:rPr>
      </w:pPr>
      <w:r>
        <w:rPr>
          <w:rFonts w:ascii="Times New Roman" w:hAnsi="Times New Roman"/>
          <w:sz w:val="28"/>
          <w:szCs w:val="28"/>
        </w:rPr>
        <w:t xml:space="preserve">Участники специальной военной операции и их родственники обращались с разноплановыми вопросами. Но тематика обозначенных вопросов заявителями значительно изменилась по сравнению с первым</w:t>
      </w:r>
      <w:r>
        <w:rPr>
          <w:rFonts w:ascii="Times New Roman" w:hAnsi="Times New Roman"/>
          <w:sz w:val="28"/>
          <w:szCs w:val="28"/>
        </w:rPr>
        <w:t xml:space="preserve"> годом проведения СВО. На первое место вышли обращения связанные с просьбой оказать содействие в поиске без вести пропавших военнослужащих, возвращении наших бойцов из украинского плена, оказание медицинской помощи и реабилитации после полученного ранения.</w:t>
      </w:r>
      <w:r>
        <w:rPr>
          <w:rFonts w:ascii="Times New Roman" w:hAnsi="Times New Roman"/>
          <w:sz w:val="28"/>
          <w:szCs w:val="28"/>
        </w:rPr>
      </w:r>
      <w:r>
        <w:rPr>
          <w:rFonts w:ascii="Times New Roman" w:hAnsi="Times New Roman"/>
          <w:sz w:val="28"/>
          <w:szCs w:val="28"/>
        </w:rPr>
      </w:r>
    </w:p>
    <w:p>
      <w:pPr>
        <w:ind w:firstLine="709"/>
        <w:jc w:val="both"/>
        <w:spacing w:after="0"/>
      </w:pPr>
      <w:r>
        <w:rPr>
          <w:rFonts w:ascii="Times New Roman" w:hAnsi="Times New Roman"/>
          <w:sz w:val="28"/>
          <w:szCs w:val="28"/>
        </w:rPr>
        <w:t xml:space="preserve">Все поступившие обращения незамедлительно рассматривались, предпринимались необходимые меры для оказания содействия заявителям по поставленным вопросам.</w:t>
      </w:r>
      <w:r/>
    </w:p>
    <w:p>
      <w:pPr>
        <w:ind w:firstLine="709"/>
        <w:jc w:val="both"/>
        <w:spacing w:after="0"/>
      </w:pPr>
      <w:r>
        <w:rPr>
          <w:rFonts w:ascii="Times New Roman" w:hAnsi="Times New Roman"/>
          <w:sz w:val="28"/>
          <w:szCs w:val="28"/>
        </w:rPr>
        <w:t xml:space="preserve">Поскольку полномочия регионального Уполномоченного ограничены территорией И</w:t>
      </w:r>
      <w:r>
        <w:rPr>
          <w:rFonts w:ascii="Times New Roman" w:hAnsi="Times New Roman"/>
          <w:sz w:val="28"/>
          <w:szCs w:val="28"/>
        </w:rPr>
        <w:t xml:space="preserve">вановской области, по таким запросам обращения направлялись за оказанием содействия как к федеральному Уполномоченному по правам человека, так и в Главное управление военной полиции и ФКУ «Военно-социальный центр» Министерства обороны Российской Федерации.</w:t>
      </w:r>
      <w:r/>
    </w:p>
    <w:p>
      <w:pPr>
        <w:ind w:firstLine="709"/>
        <w:jc w:val="both"/>
        <w:spacing w:after="0"/>
        <w:rPr>
          <w:rFonts w:ascii="Times New Roman" w:hAnsi="Times New Roman"/>
          <w:sz w:val="28"/>
          <w:szCs w:val="28"/>
        </w:rPr>
      </w:pPr>
      <w:r>
        <w:rPr>
          <w:rFonts w:ascii="Times New Roman" w:hAnsi="Times New Roman"/>
          <w:sz w:val="28"/>
          <w:szCs w:val="28"/>
        </w:rPr>
        <w:t xml:space="preserve">Согласно информации, получаемой от ГУВП и ВСЦ МО РФ, заявители получали необходимые сведения о судьбе участников СВО, им разъяснялся порядок организации поисковых мероприятий и включение пропавших без вести в списки для обмена.</w:t>
      </w:r>
      <w:r>
        <w:rPr>
          <w:rFonts w:ascii="Times New Roman" w:hAnsi="Times New Roman"/>
          <w:sz w:val="28"/>
          <w:szCs w:val="28"/>
        </w:rPr>
      </w:r>
      <w:r>
        <w:rPr>
          <w:rFonts w:ascii="Times New Roman" w:hAnsi="Times New Roman"/>
          <w:sz w:val="28"/>
          <w:szCs w:val="28"/>
        </w:rPr>
      </w:r>
    </w:p>
    <w:p>
      <w:pPr>
        <w:ind w:firstLine="709"/>
        <w:jc w:val="both"/>
        <w:spacing w:after="0"/>
        <w:rPr>
          <w:rFonts w:ascii="Times New Roman" w:hAnsi="Times New Roman"/>
          <w:sz w:val="28"/>
          <w:szCs w:val="28"/>
        </w:rPr>
      </w:pPr>
      <w:r>
        <w:rPr>
          <w:rFonts w:ascii="Times New Roman" w:hAnsi="Times New Roman"/>
          <w:sz w:val="28"/>
          <w:szCs w:val="28"/>
        </w:rPr>
        <w:t xml:space="preserve">Все поступившие вопросы рассматривались в тесном взаимодействии не только с Министерством обороны Российской Федерации, но и с Военной прокуратурой Ивановского гарнизона, региональным военным комиссариатом и руководством медицинских организаций.</w:t>
      </w:r>
      <w:r>
        <w:rPr>
          <w:rFonts w:ascii="Times New Roman" w:hAnsi="Times New Roman"/>
          <w:sz w:val="28"/>
          <w:szCs w:val="28"/>
        </w:rPr>
      </w:r>
      <w:r>
        <w:rPr>
          <w:rFonts w:ascii="Times New Roman" w:hAnsi="Times New Roman"/>
          <w:sz w:val="28"/>
          <w:szCs w:val="28"/>
        </w:rPr>
      </w:r>
    </w:p>
    <w:p>
      <w:pPr>
        <w:ind w:firstLine="709"/>
        <w:jc w:val="both"/>
        <w:spacing w:after="0"/>
        <w:rPr>
          <w:rFonts w:ascii="Times New Roman" w:hAnsi="Times New Roman" w:eastAsia="Times New Roman"/>
          <w:color w:val="000000" w:themeColor="text1"/>
          <w:sz w:val="28"/>
          <w:szCs w:val="28"/>
        </w:rPr>
      </w:pPr>
      <w:r>
        <w:rPr>
          <w:rFonts w:ascii="Times New Roman" w:hAnsi="Times New Roman"/>
          <w:color w:val="000000" w:themeColor="text1"/>
          <w:sz w:val="28"/>
          <w:szCs w:val="28"/>
        </w:rPr>
        <w:t xml:space="preserve">Неоценимую помощь в возвращении на Родину наших военнослужащих из украинского плена оказали спецслужбы, Уполномоченный по правам человека в Российской Федерации.</w:t>
      </w:r>
      <w:r>
        <w:rPr>
          <w:rFonts w:ascii="Times New Roman" w:hAnsi="Times New Roman" w:eastAsia="Times New Roman"/>
          <w:color w:val="000000" w:themeColor="text1"/>
          <w:sz w:val="28"/>
          <w:szCs w:val="28"/>
        </w:rPr>
      </w:r>
      <w:r>
        <w:rPr>
          <w:rFonts w:ascii="Times New Roman" w:hAnsi="Times New Roman" w:eastAsia="Times New Roman"/>
          <w:color w:val="000000" w:themeColor="text1"/>
          <w:sz w:val="28"/>
          <w:szCs w:val="28"/>
        </w:rPr>
      </w:r>
    </w:p>
    <w:p>
      <w:pPr>
        <w:ind w:firstLine="709"/>
        <w:jc w:val="both"/>
        <w:spacing w:after="0"/>
        <w:rPr>
          <w:rFonts w:ascii="Times New Roman" w:hAnsi="Times New Roman"/>
          <w:color w:val="000000" w:themeColor="text1"/>
          <w:sz w:val="28"/>
          <w:szCs w:val="28"/>
        </w:rPr>
      </w:pPr>
      <w:r>
        <w:rPr>
          <w:rFonts w:ascii="Times New Roman" w:hAnsi="Times New Roman" w:eastAsia="Times New Roman"/>
          <w:color w:val="000000" w:themeColor="text1"/>
          <w:sz w:val="28"/>
          <w:szCs w:val="28"/>
        </w:rPr>
        <w:t xml:space="preserve">В феврале 2025 года в результате переговоров с подконтрольной киевскому режиму территории на Родину вернулись 150 российских военнослужащих. </w:t>
      </w:r>
      <w:r>
        <w:rPr>
          <w:rFonts w:ascii="Times New Roman" w:hAnsi="Times New Roman"/>
          <w:color w:val="000000" w:themeColor="text1"/>
          <w:sz w:val="28"/>
          <w:szCs w:val="28"/>
        </w:rPr>
      </w:r>
      <w:r>
        <w:rPr>
          <w:rFonts w:ascii="Times New Roman" w:hAnsi="Times New Roman"/>
          <w:color w:val="000000" w:themeColor="text1"/>
          <w:sz w:val="28"/>
          <w:szCs w:val="28"/>
        </w:rPr>
      </w:r>
    </w:p>
    <w:p>
      <w:pPr>
        <w:ind w:firstLine="709"/>
        <w:jc w:val="both"/>
        <w:spacing w:after="0"/>
        <w:shd w:val="clear" w:color="ffffff" w:fill="ffffff"/>
        <w:rPr>
          <w:bCs/>
          <w:i/>
          <w:color w:val="000000" w:themeColor="text1"/>
        </w:rPr>
        <w:pBdr>
          <w:top w:val="none" w:color="000000" w:sz="4" w:space="0"/>
          <w:left w:val="none" w:color="000000" w:sz="4" w:space="0"/>
          <w:bottom w:val="none" w:color="000000" w:sz="4" w:space="0"/>
          <w:right w:val="none" w:color="000000" w:sz="4" w:space="0"/>
        </w:pBdr>
      </w:pPr>
      <w:r>
        <w:rPr>
          <w:rFonts w:ascii="Times New Roman" w:hAnsi="Times New Roman" w:eastAsia="Times New Roman"/>
          <w:color w:val="000000" w:themeColor="text1"/>
          <w:sz w:val="28"/>
          <w:szCs w:val="28"/>
        </w:rPr>
        <w:t xml:space="preserve">Как отметила Уполномоченный по правам человека в Российской Федерации Татьяна </w:t>
      </w:r>
      <w:r>
        <w:rPr>
          <w:rFonts w:ascii="Times New Roman" w:hAnsi="Times New Roman" w:eastAsia="Times New Roman"/>
          <w:color w:val="000000" w:themeColor="text1"/>
          <w:sz w:val="28"/>
          <w:szCs w:val="28"/>
        </w:rPr>
        <w:t xml:space="preserve">Москалькова</w:t>
      </w:r>
      <w:r>
        <w:rPr>
          <w:rFonts w:ascii="Times New Roman" w:hAnsi="Times New Roman" w:eastAsia="Times New Roman"/>
          <w:color w:val="000000" w:themeColor="text1"/>
          <w:sz w:val="28"/>
          <w:szCs w:val="28"/>
        </w:rPr>
        <w:t xml:space="preserve">: </w:t>
      </w:r>
      <w:r>
        <w:rPr>
          <w:rFonts w:ascii="Times New Roman" w:hAnsi="Times New Roman" w:eastAsia="Times New Roman"/>
          <w:i/>
          <w:iCs/>
          <w:color w:val="000000" w:themeColor="text1"/>
          <w:sz w:val="28"/>
          <w:szCs w:val="28"/>
        </w:rPr>
        <w:t xml:space="preserve">«Проведена огромная работа Министерства обороны России и российских спецслужб».</w:t>
      </w:r>
      <w:r>
        <w:rPr>
          <w:bCs/>
          <w:i/>
          <w:color w:val="000000" w:themeColor="text1"/>
        </w:rPr>
      </w:r>
      <w:r>
        <w:rPr>
          <w:bCs/>
          <w:i/>
          <w:color w:val="000000" w:themeColor="text1"/>
        </w:rPr>
      </w:r>
    </w:p>
    <w:p>
      <w:pPr>
        <w:ind w:firstLine="709"/>
        <w:jc w:val="both"/>
        <w:spacing w:after="0"/>
        <w:shd w:val="clear" w:color="ffffff" w:fill="ffffff"/>
        <w:pBdr>
          <w:top w:val="none" w:color="000000" w:sz="4" w:space="0"/>
          <w:left w:val="none" w:color="000000" w:sz="4" w:space="0"/>
          <w:bottom w:val="none" w:color="000000" w:sz="4" w:space="0"/>
          <w:right w:val="none" w:color="000000" w:sz="4" w:space="0"/>
        </w:pBdr>
      </w:pPr>
      <w:r>
        <w:rPr>
          <w:rFonts w:ascii="Times New Roman" w:hAnsi="Times New Roman" w:eastAsia="Times New Roman"/>
          <w:color w:val="000000"/>
          <w:sz w:val="28"/>
          <w:szCs w:val="28"/>
        </w:rPr>
        <w:t xml:space="preserve">Военнослужащим на территории России была оказана вся необходимая медицинская и психологическая помощь.</w:t>
      </w:r>
      <w:r/>
    </w:p>
    <w:p>
      <w:pPr>
        <w:ind w:firstLine="709"/>
        <w:jc w:val="both"/>
        <w:spacing w:after="0"/>
        <w:shd w:val="clear" w:color="ffffff" w:fill="ffffff"/>
        <w:rPr>
          <w:rFonts w:ascii="Times New Roman" w:hAnsi="Times New Roman" w:eastAsia="Times New Roman"/>
          <w:color w:val="000000"/>
          <w:sz w:val="28"/>
          <w:szCs w:val="28"/>
        </w:rPr>
        <w:pBdr>
          <w:top w:val="none" w:color="000000" w:sz="4" w:space="0"/>
          <w:left w:val="none" w:color="000000" w:sz="4" w:space="0"/>
          <w:bottom w:val="none" w:color="000000" w:sz="4" w:space="0"/>
          <w:right w:val="none" w:color="000000" w:sz="4" w:space="0"/>
        </w:pBdr>
      </w:pPr>
      <w:r>
        <w:rPr>
          <w:rFonts w:ascii="Times New Roman" w:hAnsi="Times New Roman" w:eastAsia="Times New Roman"/>
          <w:color w:val="000000"/>
          <w:sz w:val="28"/>
          <w:szCs w:val="28"/>
        </w:rPr>
        <w:t xml:space="preserve">Среди </w:t>
      </w:r>
      <w:r>
        <w:rPr>
          <w:rFonts w:ascii="Times New Roman" w:hAnsi="Times New Roman" w:eastAsia="Times New Roman"/>
          <w:color w:val="000000"/>
          <w:sz w:val="28"/>
          <w:szCs w:val="28"/>
        </w:rPr>
        <w:t xml:space="preserve">вернувшихся</w:t>
      </w:r>
      <w:r>
        <w:rPr>
          <w:rFonts w:ascii="Times New Roman" w:hAnsi="Times New Roman" w:eastAsia="Times New Roman"/>
          <w:color w:val="000000"/>
          <w:sz w:val="28"/>
          <w:szCs w:val="28"/>
        </w:rPr>
        <w:t xml:space="preserve"> были уроженцы нашего региона. </w:t>
      </w:r>
      <w:r>
        <w:rPr>
          <w:rFonts w:ascii="Times New Roman" w:hAnsi="Times New Roman" w:eastAsia="Times New Roman"/>
          <w:color w:val="000000"/>
          <w:sz w:val="28"/>
          <w:szCs w:val="28"/>
        </w:rPr>
      </w:r>
      <w:r>
        <w:rPr>
          <w:rFonts w:ascii="Times New Roman" w:hAnsi="Times New Roman" w:eastAsia="Times New Roman"/>
          <w:color w:val="000000"/>
          <w:sz w:val="28"/>
          <w:szCs w:val="28"/>
        </w:rPr>
      </w:r>
    </w:p>
    <w:p>
      <w:pPr>
        <w:ind w:firstLine="709"/>
        <w:jc w:val="both"/>
        <w:spacing w:after="0"/>
        <w:shd w:val="clear" w:color="ffffff" w:fill="ffffff"/>
        <w:pBdr>
          <w:top w:val="none" w:color="000000" w:sz="4" w:space="0"/>
          <w:left w:val="none" w:color="000000" w:sz="4" w:space="0"/>
          <w:bottom w:val="none" w:color="000000" w:sz="4" w:space="0"/>
          <w:right w:val="none" w:color="000000" w:sz="4" w:space="0"/>
        </w:pBdr>
      </w:pPr>
      <w:r>
        <w:rPr>
          <w:rFonts w:ascii="Times New Roman" w:hAnsi="Times New Roman" w:eastAsia="Times New Roman"/>
          <w:color w:val="000000"/>
          <w:sz w:val="28"/>
          <w:szCs w:val="28"/>
        </w:rPr>
        <w:t xml:space="preserve">В мае 2025 </w:t>
      </w:r>
      <w:r>
        <w:rPr>
          <w:rFonts w:ascii="Times New Roman" w:hAnsi="Times New Roman" w:eastAsia="Times New Roman"/>
          <w:color w:val="000000"/>
          <w:sz w:val="28"/>
          <w:szCs w:val="28"/>
        </w:rPr>
        <w:t xml:space="preserve">года между Россией и Украиной, в соответствии со стамбульскими договоренностями, был осуществлен взаимный обмен военнопленными по схеме «1000 на 1000». В числе освобожденных и возвращенных на Родину военнослужащих оказались 10 уроженцев Ивановской области.</w:t>
      </w:r>
      <w:r/>
    </w:p>
    <w:p>
      <w:pPr>
        <w:ind w:firstLine="709"/>
        <w:jc w:val="both"/>
        <w:spacing w:after="0"/>
        <w:shd w:val="clear" w:color="ffffff" w:fill="ffffff"/>
        <w:rPr>
          <w:rFonts w:ascii="Times New Roman" w:hAnsi="Times New Roman" w:eastAsia="Times New Roman"/>
          <w:color w:val="000000"/>
          <w:sz w:val="28"/>
          <w:szCs w:val="28"/>
        </w:rPr>
        <w:pBdr>
          <w:top w:val="none" w:color="000000" w:sz="4" w:space="0"/>
          <w:left w:val="none" w:color="000000" w:sz="4" w:space="0"/>
          <w:bottom w:val="none" w:color="000000" w:sz="4" w:space="0"/>
          <w:right w:val="none" w:color="000000" w:sz="4" w:space="0"/>
        </w:pBdr>
      </w:pPr>
      <w:r>
        <w:rPr>
          <w:rFonts w:ascii="Times New Roman" w:hAnsi="Times New Roman" w:eastAsia="Times New Roman"/>
          <w:color w:val="000000"/>
          <w:sz w:val="28"/>
          <w:szCs w:val="28"/>
        </w:rPr>
        <w:t xml:space="preserve"> </w:t>
      </w:r>
      <w:r>
        <w:rPr>
          <w:rFonts w:ascii="Times New Roman" w:hAnsi="Times New Roman" w:eastAsia="Times New Roman"/>
          <w:color w:val="000000"/>
          <w:sz w:val="28"/>
          <w:szCs w:val="28"/>
        </w:rPr>
        <w:t xml:space="preserve">Региональное правительство, наша правозащитная команда, руководство местных органов власти находятся на связи с родственниками военнослужащих. Идёт подробное информирование о возможностях получения медицинской и психологической помощи, полезных контактах. </w:t>
      </w:r>
      <w:r>
        <w:rPr>
          <w:rFonts w:ascii="Times New Roman" w:hAnsi="Times New Roman" w:eastAsia="Times New Roman"/>
          <w:color w:val="000000"/>
          <w:sz w:val="28"/>
          <w:szCs w:val="28"/>
        </w:rPr>
      </w:r>
      <w:r>
        <w:rPr>
          <w:rFonts w:ascii="Times New Roman" w:hAnsi="Times New Roman" w:eastAsia="Times New Roman"/>
          <w:color w:val="000000"/>
          <w:sz w:val="28"/>
          <w:szCs w:val="28"/>
        </w:rPr>
      </w:r>
    </w:p>
    <w:p>
      <w:pPr>
        <w:ind w:firstLine="709"/>
        <w:jc w:val="both"/>
        <w:spacing w:after="0"/>
        <w:shd w:val="clear" w:color="ffffff" w:fill="ffffff"/>
        <w:rPr>
          <w:rFonts w:ascii="Times New Roman" w:hAnsi="Times New Roman"/>
          <w:sz w:val="28"/>
          <w:szCs w:val="28"/>
        </w:rPr>
        <w:pBdr>
          <w:top w:val="none" w:color="000000" w:sz="4" w:space="0"/>
          <w:left w:val="none" w:color="000000" w:sz="4" w:space="0"/>
          <w:bottom w:val="none" w:color="000000" w:sz="4" w:space="0"/>
          <w:right w:val="none" w:color="000000" w:sz="4" w:space="0"/>
        </w:pBdr>
      </w:pPr>
      <w:r>
        <w:rPr>
          <w:rFonts w:ascii="Times New Roman" w:hAnsi="Times New Roman" w:eastAsia="Times New Roman"/>
          <w:color w:val="000000"/>
          <w:sz w:val="28"/>
          <w:szCs w:val="28"/>
        </w:rPr>
        <w:t xml:space="preserve">Со своей стороны, родственники </w:t>
      </w:r>
      <w:r>
        <w:rPr>
          <w:rFonts w:ascii="Times New Roman" w:hAnsi="Times New Roman" w:eastAsia="Times New Roman"/>
          <w:color w:val="000000"/>
          <w:sz w:val="28"/>
          <w:szCs w:val="28"/>
        </w:rPr>
        <w:t xml:space="preserve">освобожденных</w:t>
      </w:r>
      <w:r>
        <w:rPr>
          <w:rFonts w:ascii="Times New Roman" w:hAnsi="Times New Roman" w:eastAsia="Times New Roman"/>
          <w:color w:val="000000"/>
          <w:sz w:val="28"/>
          <w:szCs w:val="28"/>
        </w:rPr>
        <w:t xml:space="preserve"> выразили признательность федеральным ведомствам и правозащитникам за оказанное содействие и результативную работу в данном направлении.</w:t>
      </w:r>
      <w:r>
        <w:rPr>
          <w:rFonts w:ascii="Times New Roman" w:hAnsi="Times New Roman"/>
          <w:sz w:val="28"/>
          <w:szCs w:val="28"/>
        </w:rPr>
      </w:r>
      <w:r>
        <w:rPr>
          <w:rFonts w:ascii="Times New Roman" w:hAnsi="Times New Roman"/>
          <w:sz w:val="28"/>
          <w:szCs w:val="28"/>
        </w:rPr>
      </w:r>
    </w:p>
    <w:p>
      <w:pPr>
        <w:ind w:firstLine="709"/>
        <w:jc w:val="both"/>
        <w:spacing w:after="0"/>
        <w:shd w:val="clear" w:color="ffffff" w:fill="ffffff"/>
        <w:rPr>
          <w:rFonts w:ascii="Times New Roman" w:hAnsi="Times New Roman"/>
          <w:sz w:val="28"/>
          <w:szCs w:val="28"/>
        </w:rPr>
        <w:pBdr>
          <w:top w:val="none" w:color="000000" w:sz="4" w:space="0"/>
          <w:left w:val="none" w:color="000000" w:sz="4" w:space="0"/>
          <w:bottom w:val="none" w:color="000000" w:sz="4" w:space="0"/>
          <w:right w:val="none" w:color="000000" w:sz="4" w:space="0"/>
        </w:pBdr>
      </w:pPr>
      <w:r>
        <w:rPr>
          <w:rFonts w:ascii="Times New Roman" w:hAnsi="Times New Roman"/>
          <w:i/>
          <w:iCs/>
          <w:sz w:val="28"/>
          <w:szCs w:val="28"/>
        </w:rPr>
        <w:t xml:space="preserve">Русская земля, родные края, близкие люди...</w:t>
      </w:r>
      <w:r>
        <w:rPr>
          <w:rFonts w:ascii="Times New Roman" w:hAnsi="Times New Roman"/>
          <w:sz w:val="28"/>
          <w:szCs w:val="28"/>
        </w:rPr>
      </w:r>
      <w:r>
        <w:rPr>
          <w:rFonts w:ascii="Times New Roman" w:hAnsi="Times New Roman"/>
          <w:sz w:val="28"/>
          <w:szCs w:val="28"/>
        </w:rPr>
      </w:r>
    </w:p>
    <w:p>
      <w:pPr>
        <w:ind w:firstLine="709"/>
        <w:jc w:val="both"/>
        <w:spacing w:after="0"/>
        <w:shd w:val="clear" w:color="ffffff" w:fill="ffffff"/>
        <w:rPr>
          <w:bCs/>
          <w:i/>
        </w:rPr>
        <w:pBdr>
          <w:top w:val="none" w:color="000000" w:sz="4" w:space="0"/>
          <w:left w:val="none" w:color="000000" w:sz="4" w:space="0"/>
          <w:bottom w:val="none" w:color="000000" w:sz="4" w:space="0"/>
          <w:right w:val="none" w:color="000000" w:sz="4" w:space="0"/>
        </w:pBdr>
      </w:pPr>
      <w:r>
        <w:rPr>
          <w:rFonts w:ascii="Times New Roman" w:hAnsi="Times New Roman"/>
          <w:i/>
          <w:iCs/>
          <w:sz w:val="28"/>
          <w:szCs w:val="28"/>
        </w:rPr>
        <w:t xml:space="preserve">Все это увидел наш земляк, который в июле 2025 года был возвращен из украинского плена в рамках обмена военнослужащими.</w:t>
      </w:r>
      <w:r>
        <w:rPr>
          <w:bCs/>
          <w:i/>
        </w:rPr>
      </w:r>
      <w:r>
        <w:rPr>
          <w:bCs/>
          <w:i/>
        </w:rPr>
      </w:r>
    </w:p>
    <w:p>
      <w:pPr>
        <w:ind w:firstLine="709"/>
        <w:jc w:val="both"/>
        <w:spacing w:after="0"/>
        <w:shd w:val="clear" w:color="ffffff" w:fill="ffffff"/>
        <w:rPr>
          <w:bCs/>
          <w:i/>
        </w:rPr>
        <w:pBdr>
          <w:top w:val="none" w:color="000000" w:sz="4" w:space="0"/>
          <w:left w:val="none" w:color="000000" w:sz="4" w:space="0"/>
          <w:bottom w:val="none" w:color="000000" w:sz="4" w:space="0"/>
          <w:right w:val="none" w:color="000000" w:sz="4" w:space="0"/>
        </w:pBdr>
      </w:pPr>
      <w:r>
        <w:rPr>
          <w:rFonts w:ascii="Times New Roman" w:hAnsi="Times New Roman"/>
          <w:i/>
          <w:iCs/>
          <w:sz w:val="28"/>
          <w:szCs w:val="28"/>
        </w:rPr>
        <w:t xml:space="preserve">Его отец обратилс</w:t>
      </w:r>
      <w:r>
        <w:rPr>
          <w:rFonts w:ascii="Times New Roman" w:hAnsi="Times New Roman"/>
          <w:i/>
          <w:iCs/>
          <w:sz w:val="28"/>
          <w:szCs w:val="28"/>
        </w:rPr>
        <w:t xml:space="preserve">я в военный комиссариат Ивановской области с просьбой помочь возращению родного человека. Руководство комиссариата, в свою очередь, направило в региональную службу правозащитников  ходатайство о возвращении бойца.</w:t>
      </w:r>
      <w:r>
        <w:rPr>
          <w:bCs/>
          <w:i/>
        </w:rPr>
      </w:r>
      <w:r>
        <w:rPr>
          <w:bCs/>
          <w:i/>
        </w:rPr>
      </w:r>
    </w:p>
    <w:p>
      <w:pPr>
        <w:ind w:firstLine="709"/>
        <w:jc w:val="both"/>
        <w:spacing w:after="0"/>
        <w:shd w:val="clear" w:color="ffffff" w:fill="ffffff"/>
        <w:rPr>
          <w:bCs/>
          <w:i/>
        </w:rPr>
        <w:pBdr>
          <w:top w:val="none" w:color="000000" w:sz="4" w:space="0"/>
          <w:left w:val="none" w:color="000000" w:sz="4" w:space="0"/>
          <w:bottom w:val="none" w:color="000000" w:sz="4" w:space="0"/>
          <w:right w:val="none" w:color="000000" w:sz="4" w:space="0"/>
        </w:pBdr>
      </w:pPr>
      <w:r>
        <w:rPr>
          <w:rFonts w:ascii="Times New Roman" w:hAnsi="Times New Roman"/>
          <w:i/>
          <w:iCs/>
          <w:sz w:val="28"/>
          <w:szCs w:val="28"/>
        </w:rPr>
        <w:t xml:space="preserve">Оперативно был подключен рабочий аппарат федерального омбудсмена. Работа велась больше месяца.</w:t>
      </w:r>
      <w:r>
        <w:rPr>
          <w:bCs/>
          <w:i/>
        </w:rPr>
      </w:r>
      <w:r>
        <w:rPr>
          <w:bCs/>
          <w:i/>
        </w:rPr>
      </w:r>
    </w:p>
    <w:p>
      <w:pPr>
        <w:ind w:firstLine="709"/>
        <w:jc w:val="both"/>
        <w:spacing w:after="0"/>
        <w:shd w:val="clear" w:color="ffffff" w:fill="ffffff"/>
        <w:rPr>
          <w:bCs/>
          <w:i/>
        </w:rPr>
        <w:pBdr>
          <w:top w:val="none" w:color="000000" w:sz="4" w:space="0"/>
          <w:left w:val="none" w:color="000000" w:sz="4" w:space="0"/>
          <w:bottom w:val="none" w:color="000000" w:sz="4" w:space="0"/>
          <w:right w:val="none" w:color="000000" w:sz="4" w:space="0"/>
        </w:pBdr>
      </w:pPr>
      <w:r>
        <w:rPr>
          <w:rFonts w:ascii="Times New Roman" w:hAnsi="Times New Roman"/>
          <w:i/>
          <w:iCs/>
          <w:sz w:val="28"/>
          <w:szCs w:val="28"/>
        </w:rPr>
        <w:t xml:space="preserve">И вот добрые вести. Защитник Отечества на Родине, в безопасности, его ждут не только счастливые родные, но и качественное лечение и реабилитация.</w:t>
      </w:r>
      <w:r>
        <w:rPr>
          <w:bCs/>
          <w:i/>
        </w:rPr>
      </w:r>
      <w:r>
        <w:rPr>
          <w:bCs/>
          <w:i/>
        </w:rPr>
      </w:r>
    </w:p>
    <w:p>
      <w:pPr>
        <w:ind w:firstLine="709"/>
        <w:jc w:val="both"/>
        <w:spacing w:after="0"/>
        <w:shd w:val="clear" w:color="ffffff" w:fill="ffffff"/>
        <w:rPr>
          <w:rFonts w:ascii="Times New Roman" w:hAnsi="Times New Roman"/>
          <w:sz w:val="28"/>
          <w:szCs w:val="28"/>
        </w:rPr>
        <w:pBdr>
          <w:top w:val="none" w:color="000000" w:sz="4" w:space="0"/>
          <w:left w:val="none" w:color="000000" w:sz="4" w:space="0"/>
          <w:bottom w:val="none" w:color="000000" w:sz="4" w:space="0"/>
          <w:right w:val="none" w:color="000000" w:sz="4" w:space="0"/>
        </w:pBdr>
      </w:pPr>
      <w:r>
        <w:rPr>
          <w:rFonts w:ascii="Times New Roman" w:hAnsi="Times New Roman"/>
          <w:i/>
          <w:iCs/>
          <w:sz w:val="28"/>
          <w:szCs w:val="28"/>
        </w:rPr>
        <w:t xml:space="preserve">Региональный омбудсмен выразила слова признательности Министерству обороны Российской Федерации, федеральному омбудсмену Татьяне </w:t>
      </w:r>
      <w:r>
        <w:rPr>
          <w:rFonts w:ascii="Times New Roman" w:hAnsi="Times New Roman"/>
          <w:i/>
          <w:iCs/>
          <w:sz w:val="28"/>
          <w:szCs w:val="28"/>
        </w:rPr>
        <w:t xml:space="preserve">Москальковой</w:t>
      </w:r>
      <w:r>
        <w:rPr>
          <w:rFonts w:ascii="Times New Roman" w:hAnsi="Times New Roman"/>
          <w:i/>
          <w:iCs/>
          <w:sz w:val="28"/>
          <w:szCs w:val="28"/>
        </w:rPr>
        <w:t xml:space="preserve">, спецслужбам за переговорный процесс и возвращение на Родину нашего земляка.</w:t>
      </w:r>
      <w:r>
        <w:rPr>
          <w:rFonts w:ascii="Times New Roman" w:hAnsi="Times New Roman"/>
          <w:sz w:val="28"/>
          <w:szCs w:val="28"/>
        </w:rPr>
      </w:r>
      <w:r>
        <w:rPr>
          <w:rFonts w:ascii="Times New Roman" w:hAnsi="Times New Roman"/>
          <w:sz w:val="28"/>
          <w:szCs w:val="28"/>
        </w:rPr>
      </w:r>
    </w:p>
    <w:p>
      <w:pPr>
        <w:ind w:firstLine="709"/>
        <w:jc w:val="both"/>
        <w:spacing w:after="0"/>
      </w:pPr>
      <w:r>
        <w:rPr>
          <w:rFonts w:ascii="Times New Roman" w:hAnsi="Times New Roman"/>
          <w:sz w:val="28"/>
          <w:szCs w:val="28"/>
        </w:rPr>
        <w:t xml:space="preserve">В октябре 2025 года произошло очередное радостное событие. В рамках российско-украинского обмена на Родину вернулись военнослужащие. Среди </w:t>
      </w:r>
      <w:r>
        <w:rPr>
          <w:rFonts w:ascii="Times New Roman" w:hAnsi="Times New Roman"/>
          <w:sz w:val="28"/>
          <w:szCs w:val="28"/>
        </w:rPr>
        <w:t xml:space="preserve">возвращенных</w:t>
      </w:r>
      <w:r>
        <w:rPr>
          <w:rFonts w:ascii="Times New Roman" w:hAnsi="Times New Roman"/>
          <w:sz w:val="28"/>
          <w:szCs w:val="28"/>
        </w:rPr>
        <w:t xml:space="preserve"> есть и земляки - </w:t>
      </w:r>
      <w:r>
        <w:rPr>
          <w:rFonts w:ascii="Times New Roman" w:hAnsi="Times New Roman"/>
          <w:sz w:val="28"/>
          <w:szCs w:val="28"/>
        </w:rPr>
        <w:t xml:space="preserve">ивановцы</w:t>
      </w:r>
      <w:r>
        <w:rPr>
          <w:rFonts w:ascii="Times New Roman" w:hAnsi="Times New Roman"/>
          <w:sz w:val="28"/>
          <w:szCs w:val="28"/>
        </w:rPr>
        <w:t xml:space="preserve">. Это стало возможным благодаря совместным усилиям спецслужб и ведомств. </w:t>
      </w:r>
      <w:r/>
    </w:p>
    <w:p>
      <w:pPr>
        <w:ind w:firstLine="709"/>
        <w:jc w:val="both"/>
        <w:spacing w:after="0"/>
      </w:pPr>
      <w:r>
        <w:rPr>
          <w:rFonts w:ascii="Times New Roman" w:hAnsi="Times New Roman"/>
          <w:sz w:val="28"/>
          <w:szCs w:val="28"/>
        </w:rPr>
        <w:t xml:space="preserve">Каждый из возвращенных Защитников Отечества – это не просто цифра или статистика. Это жизни, судьбы и близкие люди, которые ждали возвращения с надеждой и любовью.</w:t>
      </w:r>
      <w:r/>
    </w:p>
    <w:p>
      <w:pPr>
        <w:ind w:firstLine="709"/>
        <w:jc w:val="both"/>
        <w:spacing w:after="0"/>
        <w:shd w:val="clear" w:color="ffffff" w:fill="ffffff"/>
        <w:rPr>
          <w:rFonts w:ascii="Times New Roman" w:hAnsi="Times New Roman" w:eastAsia="Times New Roman"/>
          <w:color w:val="000000"/>
          <w:sz w:val="28"/>
          <w:szCs w:val="28"/>
        </w:rPr>
        <w:pBdr>
          <w:top w:val="none" w:color="000000" w:sz="4" w:space="0"/>
          <w:left w:val="none" w:color="000000" w:sz="4" w:space="0"/>
          <w:bottom w:val="none" w:color="000000" w:sz="4" w:space="0"/>
          <w:right w:val="none" w:color="000000" w:sz="4" w:space="0"/>
        </w:pBdr>
      </w:pPr>
      <w:r>
        <w:rPr>
          <w:rFonts w:ascii="Times New Roman" w:hAnsi="Times New Roman" w:eastAsia="Times New Roman"/>
          <w:color w:val="000000"/>
          <w:sz w:val="28"/>
          <w:szCs w:val="28"/>
        </w:rPr>
        <w:t xml:space="preserve">Обращения поступали разноплановые и в качестве примера можно указать следующие:</w:t>
      </w:r>
      <w:r>
        <w:rPr>
          <w:rFonts w:ascii="Times New Roman" w:hAnsi="Times New Roman" w:eastAsia="Times New Roman"/>
          <w:color w:val="000000"/>
          <w:sz w:val="28"/>
          <w:szCs w:val="28"/>
        </w:rPr>
      </w:r>
      <w:r>
        <w:rPr>
          <w:rFonts w:ascii="Times New Roman" w:hAnsi="Times New Roman" w:eastAsia="Times New Roman"/>
          <w:color w:val="000000"/>
          <w:sz w:val="28"/>
          <w:szCs w:val="28"/>
        </w:rPr>
      </w:r>
    </w:p>
    <w:p>
      <w:pPr>
        <w:ind w:firstLine="709"/>
        <w:jc w:val="both"/>
        <w:spacing w:after="0"/>
        <w:shd w:val="clear" w:color="ffffff" w:fill="ffffff"/>
        <w:rPr>
          <w:rFonts w:ascii="Times New Roman" w:hAnsi="Times New Roman" w:eastAsia="Times New Roman"/>
          <w:color w:val="000000"/>
          <w:sz w:val="28"/>
          <w:szCs w:val="28"/>
        </w:rPr>
        <w:pBdr>
          <w:top w:val="none" w:color="000000" w:sz="4" w:space="0"/>
          <w:left w:val="none" w:color="000000" w:sz="4" w:space="0"/>
          <w:bottom w:val="none" w:color="000000" w:sz="4" w:space="0"/>
          <w:right w:val="none" w:color="000000" w:sz="4" w:space="0"/>
        </w:pBdr>
      </w:pPr>
      <w:r>
        <w:rPr>
          <w:rFonts w:ascii="Times New Roman" w:hAnsi="Times New Roman" w:eastAsia="Times New Roman"/>
          <w:color w:val="000000"/>
          <w:sz w:val="28"/>
          <w:szCs w:val="28"/>
        </w:rPr>
        <w:t xml:space="preserve">Защищая мирное население и интересы нашей страны, доблестные бойцы Российской Армии нуждаются в медицинской помощи и отдыхе.</w:t>
      </w:r>
      <w:r>
        <w:rPr>
          <w:rFonts w:ascii="Times New Roman" w:hAnsi="Times New Roman" w:eastAsia="Times New Roman"/>
          <w:color w:val="000000"/>
          <w:sz w:val="28"/>
          <w:szCs w:val="28"/>
        </w:rPr>
      </w:r>
      <w:r>
        <w:rPr>
          <w:rFonts w:ascii="Times New Roman" w:hAnsi="Times New Roman" w:eastAsia="Times New Roman"/>
          <w:color w:val="000000"/>
          <w:sz w:val="28"/>
          <w:szCs w:val="28"/>
        </w:rPr>
      </w:r>
    </w:p>
    <w:p>
      <w:pPr>
        <w:ind w:firstLine="709"/>
        <w:jc w:val="both"/>
        <w:spacing w:after="0"/>
        <w:shd w:val="clear" w:color="ffffff" w:fill="ffffff"/>
        <w:rPr>
          <w:rFonts w:ascii="Times New Roman" w:hAnsi="Times New Roman" w:eastAsia="Times New Roman"/>
          <w:color w:val="000000"/>
          <w:sz w:val="28"/>
          <w:szCs w:val="28"/>
        </w:rPr>
        <w:pBdr>
          <w:top w:val="none" w:color="000000" w:sz="4" w:space="0"/>
          <w:left w:val="none" w:color="000000" w:sz="4" w:space="0"/>
          <w:bottom w:val="none" w:color="000000" w:sz="4" w:space="0"/>
          <w:right w:val="none" w:color="000000" w:sz="4" w:space="0"/>
        </w:pBdr>
      </w:pPr>
      <w:r>
        <w:rPr>
          <w:rFonts w:ascii="Times New Roman" w:hAnsi="Times New Roman" w:eastAsia="Times New Roman"/>
          <w:i/>
          <w:iCs/>
          <w:color w:val="000000"/>
          <w:sz w:val="28"/>
          <w:szCs w:val="28"/>
        </w:rPr>
        <w:t xml:space="preserve">1. По вопросу оказания содействия в получении надл</w:t>
      </w:r>
      <w:r>
        <w:rPr>
          <w:rFonts w:ascii="Times New Roman" w:hAnsi="Times New Roman" w:eastAsia="Times New Roman"/>
          <w:i/>
          <w:iCs/>
          <w:color w:val="000000"/>
          <w:sz w:val="28"/>
          <w:szCs w:val="28"/>
        </w:rPr>
        <w:t xml:space="preserve">ежащей медицинской помощи и отпуска в адрес Уполномоченного по правам человека в Ивановской области обратилась супруга военнослужащего Т., участника СВО. Незамедлительно омбудсмен Светлана Шмелева направила свои мотивированные письма в компетентные службы.</w:t>
      </w:r>
      <w:r>
        <w:rPr>
          <w:rFonts w:ascii="Times New Roman" w:hAnsi="Times New Roman" w:eastAsia="Times New Roman"/>
          <w:color w:val="000000"/>
          <w:sz w:val="28"/>
          <w:szCs w:val="28"/>
        </w:rPr>
      </w:r>
      <w:r>
        <w:rPr>
          <w:rFonts w:ascii="Times New Roman" w:hAnsi="Times New Roman" w:eastAsia="Times New Roman"/>
          <w:color w:val="000000"/>
          <w:sz w:val="28"/>
          <w:szCs w:val="28"/>
        </w:rPr>
      </w:r>
    </w:p>
    <w:p>
      <w:pPr>
        <w:ind w:firstLine="709"/>
        <w:jc w:val="both"/>
        <w:spacing w:after="0"/>
        <w:shd w:val="clear" w:color="ffffff" w:fill="ffffff"/>
        <w:rPr>
          <w:rFonts w:ascii="Times New Roman" w:hAnsi="Times New Roman"/>
          <w:sz w:val="28"/>
          <w:szCs w:val="28"/>
        </w:rPr>
        <w:pBdr>
          <w:top w:val="none" w:color="000000" w:sz="4" w:space="0"/>
          <w:left w:val="none" w:color="000000" w:sz="4" w:space="0"/>
          <w:bottom w:val="none" w:color="000000" w:sz="4" w:space="0"/>
          <w:right w:val="none" w:color="000000" w:sz="4" w:space="0"/>
        </w:pBdr>
      </w:pPr>
      <w:r>
        <w:rPr>
          <w:rFonts w:ascii="Times New Roman" w:hAnsi="Times New Roman" w:eastAsia="Times New Roman"/>
          <w:i/>
          <w:iCs/>
          <w:color w:val="000000"/>
          <w:sz w:val="28"/>
          <w:szCs w:val="28"/>
        </w:rPr>
        <w:t xml:space="preserve">Необходимо отметить, что участники СВО, получившие ранение, имеют право на специальный режим отпуска, который п</w:t>
      </w:r>
      <w:r>
        <w:rPr>
          <w:rFonts w:ascii="Times New Roman" w:hAnsi="Times New Roman" w:eastAsia="Times New Roman"/>
          <w:i/>
          <w:iCs/>
          <w:color w:val="000000"/>
          <w:sz w:val="28"/>
          <w:szCs w:val="28"/>
        </w:rPr>
        <w:t xml:space="preserve">озволяет им восстановиться и пройти реабилитацию после травм. Отпуск по болезни (ранению) предоставляется военнослужащему на основании заключения военно-врачебной комиссии в соответствии с Положением о военно-врачебной экспертизе на срок от 30 до 60 суток.</w:t>
      </w:r>
      <w:r>
        <w:rPr>
          <w:rFonts w:ascii="Times New Roman" w:hAnsi="Times New Roman"/>
          <w:sz w:val="28"/>
          <w:szCs w:val="28"/>
        </w:rPr>
      </w:r>
      <w:r>
        <w:rPr>
          <w:rFonts w:ascii="Times New Roman" w:hAnsi="Times New Roman"/>
          <w:sz w:val="28"/>
          <w:szCs w:val="28"/>
        </w:rPr>
      </w:r>
    </w:p>
    <w:p>
      <w:pPr>
        <w:ind w:firstLine="709"/>
        <w:jc w:val="both"/>
        <w:spacing w:after="0"/>
        <w:shd w:val="clear" w:color="ffffff" w:fill="ffffff"/>
        <w:rPr>
          <w:rFonts w:ascii="Times New Roman" w:hAnsi="Times New Roman" w:eastAsia="Times New Roman"/>
          <w:color w:val="000000"/>
          <w:sz w:val="28"/>
          <w:szCs w:val="28"/>
        </w:rPr>
        <w:pBdr>
          <w:top w:val="none" w:color="000000" w:sz="4" w:space="0"/>
          <w:left w:val="none" w:color="000000" w:sz="4" w:space="0"/>
          <w:bottom w:val="none" w:color="000000" w:sz="4" w:space="0"/>
          <w:right w:val="none" w:color="000000" w:sz="4" w:space="0"/>
        </w:pBdr>
      </w:pPr>
      <w:r>
        <w:rPr>
          <w:rFonts w:ascii="Times New Roman" w:hAnsi="Times New Roman" w:eastAsia="Times New Roman"/>
          <w:i/>
          <w:iCs/>
          <w:color w:val="000000"/>
          <w:sz w:val="28"/>
          <w:szCs w:val="28"/>
        </w:rPr>
        <w:t xml:space="preserve">По результатам проделанной работы военн</w:t>
      </w:r>
      <w:r>
        <w:rPr>
          <w:rFonts w:ascii="Times New Roman" w:hAnsi="Times New Roman" w:eastAsia="Times New Roman"/>
          <w:i/>
          <w:iCs/>
          <w:color w:val="000000"/>
          <w:sz w:val="28"/>
          <w:szCs w:val="28"/>
        </w:rPr>
        <w:t xml:space="preserve">ослужащему Т. предоставлен необходимый отпуск. В настоящее время он проходит медицинскую реабилитацию. Супруга защитника поблагодарила Правительство Ивановской области и регионального Уполномоченного по правам человека за подключение к разрешению ситуации.</w:t>
      </w:r>
      <w:r>
        <w:rPr>
          <w:rFonts w:ascii="Times New Roman" w:hAnsi="Times New Roman" w:eastAsia="Times New Roman"/>
          <w:color w:val="000000"/>
          <w:sz w:val="28"/>
          <w:szCs w:val="28"/>
        </w:rPr>
      </w:r>
      <w:r>
        <w:rPr>
          <w:rFonts w:ascii="Times New Roman" w:hAnsi="Times New Roman" w:eastAsia="Times New Roman"/>
          <w:color w:val="000000"/>
          <w:sz w:val="28"/>
          <w:szCs w:val="28"/>
        </w:rPr>
      </w:r>
    </w:p>
    <w:p>
      <w:pPr>
        <w:ind w:firstLine="709"/>
        <w:jc w:val="both"/>
        <w:spacing w:after="0"/>
        <w:rPr>
          <w:rFonts w:ascii="Times New Roman" w:hAnsi="Times New Roman"/>
          <w:bCs/>
          <w:i/>
          <w:sz w:val="28"/>
          <w:szCs w:val="28"/>
        </w:rPr>
      </w:pPr>
      <w:r>
        <w:rPr>
          <w:rFonts w:ascii="Times New Roman" w:hAnsi="Times New Roman"/>
          <w:i/>
          <w:iCs/>
          <w:sz w:val="28"/>
          <w:szCs w:val="28"/>
        </w:rPr>
        <w:t xml:space="preserve">2. В июне 2025 года к Уполномоченному по правам человека в Ивановской области обратилась супруга военнослужащего, участника СВО, с просьбой оказать содействие в записи на прием к врачу - </w:t>
      </w:r>
      <w:r>
        <w:rPr>
          <w:rFonts w:ascii="Times New Roman" w:hAnsi="Times New Roman"/>
          <w:i/>
          <w:iCs/>
          <w:sz w:val="28"/>
          <w:szCs w:val="28"/>
        </w:rPr>
        <w:t xml:space="preserve">сердечно-сосудистому</w:t>
      </w:r>
      <w:r>
        <w:rPr>
          <w:rFonts w:ascii="Times New Roman" w:hAnsi="Times New Roman"/>
          <w:i/>
          <w:iCs/>
          <w:sz w:val="28"/>
          <w:szCs w:val="28"/>
        </w:rPr>
        <w:t xml:space="preserve"> хирургу в связи с ухудшением самочувствия и состояния ее здоровья. </w:t>
      </w:r>
      <w:r>
        <w:rPr>
          <w:rFonts w:ascii="Times New Roman" w:hAnsi="Times New Roman"/>
          <w:bCs/>
          <w:i/>
          <w:sz w:val="28"/>
          <w:szCs w:val="28"/>
        </w:rPr>
      </w:r>
      <w:r>
        <w:rPr>
          <w:rFonts w:ascii="Times New Roman" w:hAnsi="Times New Roman"/>
          <w:bCs/>
          <w:i/>
          <w:sz w:val="28"/>
          <w:szCs w:val="28"/>
        </w:rPr>
      </w:r>
    </w:p>
    <w:p>
      <w:pPr>
        <w:ind w:firstLine="709"/>
        <w:jc w:val="both"/>
        <w:spacing w:after="0"/>
        <w:rPr>
          <w:bCs/>
          <w:i/>
        </w:rPr>
      </w:pPr>
      <w:r>
        <w:rPr>
          <w:rFonts w:ascii="Times New Roman" w:hAnsi="Times New Roman"/>
          <w:i/>
          <w:iCs/>
          <w:sz w:val="28"/>
          <w:szCs w:val="28"/>
        </w:rPr>
        <w:t xml:space="preserve">У заявительницы имелось на руках направление, но самостоятельно решить вопрос о записи к специалисту не удалось. Незам</w:t>
      </w:r>
      <w:r>
        <w:rPr>
          <w:rFonts w:ascii="Times New Roman" w:hAnsi="Times New Roman"/>
          <w:i/>
          <w:iCs/>
          <w:sz w:val="28"/>
          <w:szCs w:val="28"/>
        </w:rPr>
        <w:t xml:space="preserve">едлительно омбудсменом было направлено письмо в адрес руководства Ивановской областной клинической больницы. В просьбе правозащитника отказано не было, и заявительница была принята в оперативном порядке на консультативном приеме врача узкой специальности. </w:t>
      </w:r>
      <w:r>
        <w:rPr>
          <w:bCs/>
          <w:i/>
        </w:rPr>
      </w:r>
      <w:r>
        <w:rPr>
          <w:bCs/>
          <w:i/>
        </w:rPr>
      </w:r>
    </w:p>
    <w:p>
      <w:pPr>
        <w:ind w:firstLine="709"/>
        <w:jc w:val="both"/>
        <w:spacing w:after="0"/>
        <w:rPr>
          <w:rFonts w:ascii="Times New Roman" w:hAnsi="Times New Roman"/>
          <w:bCs/>
          <w:i/>
          <w:sz w:val="28"/>
          <w:szCs w:val="28"/>
        </w:rPr>
      </w:pPr>
      <w:r>
        <w:rPr>
          <w:rFonts w:ascii="Times New Roman" w:hAnsi="Times New Roman"/>
          <w:i/>
          <w:iCs/>
          <w:sz w:val="28"/>
          <w:szCs w:val="28"/>
        </w:rPr>
        <w:t xml:space="preserve">В настоящее время ее жизни и здоровью ничто не угрожает.</w:t>
      </w:r>
      <w:r>
        <w:rPr>
          <w:rFonts w:ascii="Times New Roman" w:hAnsi="Times New Roman"/>
          <w:bCs/>
          <w:i/>
          <w:sz w:val="28"/>
          <w:szCs w:val="28"/>
        </w:rPr>
      </w:r>
      <w:r>
        <w:rPr>
          <w:rFonts w:ascii="Times New Roman" w:hAnsi="Times New Roman"/>
          <w:bCs/>
          <w:i/>
          <w:sz w:val="28"/>
          <w:szCs w:val="28"/>
        </w:rPr>
      </w:r>
    </w:p>
    <w:p>
      <w:pPr>
        <w:ind w:firstLine="709"/>
        <w:jc w:val="both"/>
        <w:spacing w:after="0"/>
        <w:rPr>
          <w:rFonts w:ascii="Times New Roman" w:hAnsi="Times New Roman"/>
          <w:sz w:val="28"/>
          <w:szCs w:val="28"/>
        </w:rPr>
      </w:pPr>
      <w:r>
        <w:rPr>
          <w:rFonts w:ascii="Times New Roman" w:hAnsi="Times New Roman"/>
          <w:i/>
          <w:iCs/>
          <w:sz w:val="28"/>
          <w:szCs w:val="28"/>
        </w:rPr>
        <w:t xml:space="preserve">3. Житель областного центра, принимавший участие в специально</w:t>
      </w:r>
      <w:r>
        <w:rPr>
          <w:rFonts w:ascii="Times New Roman" w:hAnsi="Times New Roman"/>
          <w:i/>
          <w:iCs/>
          <w:sz w:val="28"/>
          <w:szCs w:val="28"/>
        </w:rPr>
        <w:t xml:space="preserve">й военной операции в составе частной военной компании, обратился в адрес Уполномоченного по правам человека в Ивановской области за содействием в получении удостоверения ветерана боевых действий, государственной награды и единовременной выплаты за ранение.</w:t>
      </w:r>
      <w:r>
        <w:rPr>
          <w:rFonts w:ascii="Times New Roman" w:hAnsi="Times New Roman"/>
          <w:sz w:val="28"/>
          <w:szCs w:val="28"/>
        </w:rPr>
      </w:r>
      <w:r>
        <w:rPr>
          <w:rFonts w:ascii="Times New Roman" w:hAnsi="Times New Roman"/>
          <w:sz w:val="28"/>
          <w:szCs w:val="28"/>
        </w:rPr>
      </w:r>
    </w:p>
    <w:p>
      <w:pPr>
        <w:ind w:firstLine="709"/>
        <w:jc w:val="both"/>
        <w:spacing w:after="0"/>
      </w:pPr>
      <w:r>
        <w:rPr>
          <w:rFonts w:ascii="Times New Roman" w:hAnsi="Times New Roman"/>
          <w:i/>
          <w:iCs/>
          <w:sz w:val="28"/>
          <w:szCs w:val="28"/>
        </w:rPr>
        <w:t xml:space="preserve">Изучив поступившее обращение, региональный омбудсмен вышла на контакт с руководителем регионального филиала Государственного фонда "Защитники Отечества". Озвученный вопрос остается на контроле правозащитной службы.</w:t>
      </w:r>
      <w:r/>
    </w:p>
    <w:p>
      <w:pPr>
        <w:ind w:firstLine="709"/>
        <w:jc w:val="both"/>
        <w:spacing w:after="0"/>
        <w:rPr>
          <w:rFonts w:ascii="Times New Roman" w:hAnsi="Times New Roman"/>
          <w:sz w:val="28"/>
          <w:szCs w:val="28"/>
        </w:rPr>
      </w:pPr>
      <w:r>
        <w:rPr>
          <w:rFonts w:ascii="Times New Roman" w:hAnsi="Times New Roman"/>
          <w:i/>
          <w:iCs/>
          <w:sz w:val="28"/>
          <w:szCs w:val="28"/>
        </w:rPr>
        <w:t xml:space="preserve">Здесь важно знать, что омбудсмен не может самостоятельно выдать удостоверение, единовременную выплату за ранение или вручить награду, но имеет право направлять запросы в компетентные органы и контролировать их рассмотрение.</w:t>
      </w:r>
      <w:r>
        <w:rPr>
          <w:rFonts w:ascii="Times New Roman" w:hAnsi="Times New Roman"/>
          <w:sz w:val="28"/>
          <w:szCs w:val="28"/>
        </w:rPr>
      </w:r>
      <w:r>
        <w:rPr>
          <w:rFonts w:ascii="Times New Roman" w:hAnsi="Times New Roman"/>
          <w:sz w:val="28"/>
          <w:szCs w:val="28"/>
        </w:rPr>
      </w:r>
    </w:p>
    <w:p>
      <w:pPr>
        <w:ind w:firstLine="709"/>
        <w:jc w:val="both"/>
        <w:spacing w:after="0"/>
        <w:rPr>
          <w:bCs/>
          <w:i/>
        </w:rPr>
      </w:pPr>
      <w:r>
        <w:rPr>
          <w:rFonts w:ascii="Times New Roman" w:hAnsi="Times New Roman"/>
          <w:i/>
          <w:iCs/>
          <w:sz w:val="28"/>
          <w:szCs w:val="28"/>
        </w:rPr>
        <w:t xml:space="preserve">4. Два года Уполномоченный по правам человека в Ивановской области поддерживает связь с мамой Защитника Отечества, отстаивающего суверенитет России, защищающего спокойствие и мирную жизнь русского народа.</w:t>
      </w:r>
      <w:r>
        <w:rPr>
          <w:bCs/>
          <w:i/>
        </w:rPr>
      </w:r>
      <w:r>
        <w:rPr>
          <w:bCs/>
          <w:i/>
        </w:rPr>
      </w:r>
    </w:p>
    <w:p>
      <w:pPr>
        <w:ind w:firstLine="709"/>
        <w:jc w:val="both"/>
        <w:spacing w:after="0"/>
        <w:rPr>
          <w:bCs/>
          <w:i/>
        </w:rPr>
      </w:pPr>
      <w:r>
        <w:rPr>
          <w:rFonts w:ascii="Times New Roman" w:hAnsi="Times New Roman"/>
          <w:i/>
          <w:iCs/>
          <w:sz w:val="28"/>
          <w:szCs w:val="28"/>
        </w:rPr>
        <w:t xml:space="preserve">На протяжении всего этого времени организм мамы бойца стал давать сбои, и состояние здоровья резко ухудшилось.</w:t>
      </w:r>
      <w:r>
        <w:rPr>
          <w:bCs/>
          <w:i/>
        </w:rPr>
      </w:r>
      <w:r>
        <w:rPr>
          <w:bCs/>
          <w:i/>
        </w:rPr>
      </w:r>
    </w:p>
    <w:p>
      <w:pPr>
        <w:ind w:firstLine="709"/>
        <w:jc w:val="both"/>
        <w:spacing w:after="0"/>
        <w:rPr>
          <w:bCs/>
          <w:i/>
        </w:rPr>
      </w:pPr>
      <w:r>
        <w:rPr>
          <w:rFonts w:ascii="Times New Roman" w:hAnsi="Times New Roman"/>
          <w:i/>
          <w:iCs/>
          <w:sz w:val="28"/>
          <w:szCs w:val="28"/>
        </w:rPr>
        <w:t xml:space="preserve">Незамедлительно региональным омбудсменом осуществлена связь с главным врачом ОБУЗ «ГКБ №4» Дмитрием Моисеенковым.</w:t>
      </w:r>
      <w:r>
        <w:rPr>
          <w:bCs/>
          <w:i/>
        </w:rPr>
      </w:r>
      <w:r>
        <w:rPr>
          <w:bCs/>
          <w:i/>
        </w:rPr>
      </w:r>
    </w:p>
    <w:p>
      <w:pPr>
        <w:ind w:firstLine="709"/>
        <w:jc w:val="both"/>
        <w:spacing w:after="0"/>
        <w:rPr>
          <w:bCs/>
          <w:i/>
        </w:rPr>
      </w:pPr>
      <w:r>
        <w:rPr>
          <w:rFonts w:ascii="Times New Roman" w:hAnsi="Times New Roman"/>
          <w:i/>
          <w:iCs/>
          <w:sz w:val="28"/>
          <w:szCs w:val="28"/>
        </w:rPr>
        <w:t xml:space="preserve">Гражданка А. была помещена на стационарное лечение в вышеуказанное лечебное учреждение и получила необходимую медицинскую помощь.</w:t>
      </w:r>
      <w:r>
        <w:rPr>
          <w:bCs/>
          <w:i/>
        </w:rPr>
      </w:r>
      <w:r>
        <w:rPr>
          <w:bCs/>
          <w:i/>
        </w:rPr>
      </w:r>
    </w:p>
    <w:p>
      <w:pPr>
        <w:ind w:firstLine="709"/>
        <w:jc w:val="both"/>
        <w:spacing w:after="0"/>
        <w:rPr>
          <w:rFonts w:ascii="Times New Roman" w:hAnsi="Times New Roman"/>
          <w:sz w:val="28"/>
          <w:szCs w:val="28"/>
        </w:rPr>
      </w:pPr>
      <w:r>
        <w:rPr>
          <w:rFonts w:ascii="Times New Roman" w:hAnsi="Times New Roman"/>
          <w:sz w:val="28"/>
          <w:szCs w:val="28"/>
        </w:rPr>
        <w:t xml:space="preserve">Когда есть обратная связь от заявителя о положительном решении вопроса - вдвойне приятно. </w:t>
      </w:r>
      <w:r>
        <w:rPr>
          <w:rFonts w:ascii="Times New Roman" w:hAnsi="Times New Roman"/>
          <w:sz w:val="28"/>
          <w:szCs w:val="28"/>
        </w:rPr>
      </w:r>
      <w:r>
        <w:rPr>
          <w:rFonts w:ascii="Times New Roman" w:hAnsi="Times New Roman"/>
          <w:sz w:val="28"/>
          <w:szCs w:val="28"/>
        </w:rPr>
      </w:r>
    </w:p>
    <w:p>
      <w:pPr>
        <w:ind w:firstLine="709"/>
        <w:jc w:val="both"/>
        <w:spacing w:after="0"/>
        <w:rPr>
          <w:rFonts w:ascii="Times New Roman" w:hAnsi="Times New Roman" w:eastAsia="Times New Roman"/>
          <w:i/>
          <w:sz w:val="28"/>
          <w:szCs w:val="28"/>
        </w:rPr>
      </w:pPr>
      <w:r>
        <w:rPr>
          <w:rFonts w:ascii="Times New Roman" w:hAnsi="Times New Roman" w:eastAsia="Times New Roman"/>
          <w:i/>
          <w:iCs/>
          <w:sz w:val="28"/>
          <w:szCs w:val="28"/>
        </w:rPr>
        <w:t xml:space="preserve">К Уполномоченному по правам человека в Ивановской области обратилась супруга военнослужащего. Заявитель сообщила о длительной задержке единовременной выплаты, положенной ее мужу при заключении контракта с Министерством обороны РФ.</w:t>
      </w:r>
      <w:r>
        <w:rPr>
          <w:rFonts w:ascii="Times New Roman" w:hAnsi="Times New Roman" w:eastAsia="Times New Roman"/>
          <w:i/>
          <w:sz w:val="28"/>
          <w:szCs w:val="28"/>
        </w:rPr>
      </w:r>
      <w:r>
        <w:rPr>
          <w:rFonts w:ascii="Times New Roman" w:hAnsi="Times New Roman" w:eastAsia="Times New Roman"/>
          <w:i/>
          <w:sz w:val="28"/>
          <w:szCs w:val="28"/>
        </w:rPr>
      </w:r>
    </w:p>
    <w:p>
      <w:pPr>
        <w:ind w:firstLine="709"/>
        <w:jc w:val="both"/>
        <w:spacing w:after="0"/>
        <w:rPr>
          <w:rFonts w:ascii="Times New Roman" w:hAnsi="Times New Roman"/>
          <w:sz w:val="28"/>
          <w:szCs w:val="28"/>
        </w:rPr>
      </w:pPr>
      <w:r>
        <w:rPr>
          <w:rFonts w:ascii="Times New Roman" w:hAnsi="Times New Roman" w:eastAsia="Times New Roman"/>
          <w:i/>
          <w:iCs/>
          <w:sz w:val="28"/>
          <w:szCs w:val="28"/>
        </w:rPr>
        <w:t xml:space="preserve">Семья заявительницы хорошо знакома омбудсмену: несколько лет назад они прибыли в Ивановскую область из зоны боевых действий и были размещены в одном из пунктов временного размещения.</w:t>
      </w:r>
      <w:r>
        <w:rPr>
          <w:rFonts w:ascii="Times New Roman" w:hAnsi="Times New Roman"/>
          <w:sz w:val="28"/>
          <w:szCs w:val="28"/>
        </w:rPr>
      </w:r>
      <w:r>
        <w:rPr>
          <w:rFonts w:ascii="Times New Roman" w:hAnsi="Times New Roman"/>
          <w:sz w:val="28"/>
          <w:szCs w:val="28"/>
        </w:rPr>
      </w:r>
    </w:p>
    <w:p>
      <w:pPr>
        <w:ind w:firstLine="709"/>
        <w:jc w:val="both"/>
        <w:spacing w:after="0"/>
        <w:rPr>
          <w:rFonts w:ascii="Times New Roman" w:hAnsi="Times New Roman"/>
          <w:sz w:val="28"/>
          <w:szCs w:val="28"/>
        </w:rPr>
      </w:pPr>
      <w:r>
        <w:rPr>
          <w:rFonts w:ascii="Times New Roman" w:hAnsi="Times New Roman" w:eastAsia="Times New Roman"/>
          <w:i/>
          <w:iCs/>
          <w:sz w:val="28"/>
          <w:szCs w:val="28"/>
        </w:rPr>
        <w:t xml:space="preserve">Для оперативного решения вопроса Уполномоченный незамедлительно направила запрос в военный комиссариат Ивановской области. В результате денежные средства в кратчайшие сроки были перечислены на счет военнослужащего.</w:t>
      </w:r>
      <w:r>
        <w:rPr>
          <w:rFonts w:ascii="Times New Roman" w:hAnsi="Times New Roman"/>
          <w:sz w:val="28"/>
          <w:szCs w:val="28"/>
        </w:rPr>
      </w:r>
      <w:r>
        <w:rPr>
          <w:rFonts w:ascii="Times New Roman" w:hAnsi="Times New Roman"/>
          <w:sz w:val="28"/>
          <w:szCs w:val="28"/>
        </w:rPr>
      </w:r>
    </w:p>
    <w:p>
      <w:pPr>
        <w:ind w:firstLine="709"/>
        <w:jc w:val="both"/>
        <w:spacing w:after="0"/>
        <w:rPr>
          <w:rFonts w:ascii="Times New Roman" w:hAnsi="Times New Roman"/>
          <w:color w:val="00b050"/>
          <w:sz w:val="28"/>
          <w:szCs w:val="28"/>
        </w:rPr>
      </w:pPr>
      <w:r>
        <w:rPr>
          <w:rFonts w:ascii="Times New Roman" w:hAnsi="Times New Roman" w:eastAsia="Times New Roman"/>
          <w:i/>
          <w:iCs/>
          <w:sz w:val="28"/>
          <w:szCs w:val="28"/>
        </w:rPr>
        <w:t xml:space="preserve">Заявительница выразила благодарность Уполномоченному и компетентным органам за оперативное реагирование и помощь в восстановлении своих прав</w:t>
      </w:r>
      <w:r>
        <w:rPr>
          <w:rFonts w:ascii="Times New Roman" w:hAnsi="Times New Roman" w:eastAsia="Times New Roman"/>
          <w:i/>
          <w:iCs/>
          <w:color w:val="00b050"/>
          <w:sz w:val="28"/>
          <w:szCs w:val="28"/>
        </w:rPr>
        <w:t xml:space="preserve">.</w:t>
      </w:r>
      <w:r>
        <w:rPr>
          <w:rFonts w:ascii="Times New Roman" w:hAnsi="Times New Roman"/>
          <w:color w:val="00b050"/>
          <w:sz w:val="28"/>
          <w:szCs w:val="28"/>
        </w:rPr>
      </w:r>
      <w:r>
        <w:rPr>
          <w:rFonts w:ascii="Times New Roman" w:hAnsi="Times New Roman"/>
          <w:color w:val="00b050"/>
          <w:sz w:val="28"/>
          <w:szCs w:val="28"/>
        </w:rPr>
      </w:r>
    </w:p>
    <w:p>
      <w:pPr>
        <w:ind w:firstLine="709"/>
        <w:jc w:val="both"/>
        <w:spacing w:after="0"/>
        <w:rPr>
          <w:rFonts w:ascii="Times New Roman" w:hAnsi="Times New Roman"/>
          <w:color w:val="00b050"/>
          <w:sz w:val="28"/>
          <w:szCs w:val="28"/>
        </w:rPr>
      </w:pPr>
      <w:r>
        <w:rPr>
          <w:rFonts w:ascii="Times New Roman" w:hAnsi="Times New Roman" w:eastAsia="Times New Roman"/>
          <w:sz w:val="28"/>
          <w:szCs w:val="28"/>
        </w:rPr>
        <w:t xml:space="preserve">Все поступившие жалобы и обращения участников СВО и их родственников Уполномоченным по правам человека в Ивановской области рассматриваются незамедлите</w:t>
      </w:r>
      <w:r>
        <w:rPr>
          <w:rFonts w:ascii="Times New Roman" w:hAnsi="Times New Roman" w:eastAsia="Times New Roman"/>
          <w:sz w:val="28"/>
          <w:szCs w:val="28"/>
        </w:rPr>
        <w:t xml:space="preserve">льно, в приоритетном порядке. Каждый сотрудник отдела по обеспечению деятельности Уполномоченного тщательно и всесторонне изучает доводы заявителей. При необходимости нужные сведения уточняются в телефонных разговорах или при личных встречах с заявителями.</w:t>
      </w:r>
      <w:r>
        <w:rPr>
          <w:rFonts w:ascii="Times New Roman" w:hAnsi="Times New Roman"/>
          <w:color w:val="00b050"/>
          <w:sz w:val="28"/>
          <w:szCs w:val="28"/>
        </w:rPr>
      </w:r>
      <w:r>
        <w:rPr>
          <w:rFonts w:ascii="Times New Roman" w:hAnsi="Times New Roman"/>
          <w:color w:val="00b050"/>
          <w:sz w:val="28"/>
          <w:szCs w:val="28"/>
        </w:rPr>
      </w:r>
    </w:p>
    <w:p>
      <w:pPr>
        <w:ind w:firstLine="709"/>
        <w:jc w:val="both"/>
        <w:spacing w:after="0"/>
        <w:rPr>
          <w:rFonts w:ascii="Times New Roman" w:hAnsi="Times New Roman"/>
          <w:color w:val="000000" w:themeColor="text1"/>
          <w:sz w:val="28"/>
          <w:szCs w:val="28"/>
        </w:rPr>
      </w:pPr>
      <w:r>
        <w:rPr>
          <w:rFonts w:ascii="Times New Roman" w:hAnsi="Times New Roman" w:eastAsia="Times New Roman"/>
          <w:color w:val="000000" w:themeColor="text1"/>
          <w:sz w:val="28"/>
          <w:szCs w:val="28"/>
        </w:rPr>
        <w:t xml:space="preserve">Такой подход позволил во взаимоде</w:t>
      </w:r>
      <w:r>
        <w:rPr>
          <w:rFonts w:ascii="Times New Roman" w:hAnsi="Times New Roman" w:eastAsia="Times New Roman"/>
          <w:color w:val="000000" w:themeColor="text1"/>
          <w:sz w:val="28"/>
          <w:szCs w:val="28"/>
        </w:rPr>
        <w:t xml:space="preserve">йствии с военными прокурорами гарнизонов, Министерством обороны Российской Федерации за указанный период восстановить права военнослужащих, оказать содействие в разрешении жизненно важных вопросов их семей  почти по каждому второму поступившему обращению. </w:t>
      </w:r>
      <w:r>
        <w:rPr>
          <w:rFonts w:ascii="Times New Roman" w:hAnsi="Times New Roman"/>
          <w:color w:val="000000" w:themeColor="text1"/>
          <w:sz w:val="28"/>
          <w:szCs w:val="28"/>
        </w:rPr>
      </w:r>
      <w:r>
        <w:rPr>
          <w:rFonts w:ascii="Times New Roman" w:hAnsi="Times New Roman"/>
          <w:color w:val="000000" w:themeColor="text1"/>
          <w:sz w:val="28"/>
          <w:szCs w:val="28"/>
        </w:rPr>
      </w:r>
    </w:p>
    <w:p>
      <w:pPr>
        <w:ind w:firstLine="709"/>
        <w:jc w:val="both"/>
        <w:spacing w:after="0"/>
        <w:rPr>
          <w:rFonts w:ascii="Times New Roman" w:hAnsi="Times New Roman" w:eastAsia="Times New Roman"/>
          <w:sz w:val="28"/>
          <w:szCs w:val="28"/>
        </w:rPr>
      </w:pPr>
      <w:r>
        <w:rPr>
          <w:rFonts w:ascii="Times New Roman" w:hAnsi="Times New Roman" w:eastAsia="Times New Roman"/>
          <w:sz w:val="28"/>
          <w:szCs w:val="28"/>
        </w:rPr>
        <w:t xml:space="preserve">В целях дальнейшей защиты прав граждан данной категории и предотвращения нарушений их законных интересов Уполномоченным по правам человека в Ивановской области выработан ряд рекомендаций. </w:t>
      </w:r>
      <w:r>
        <w:rPr>
          <w:rFonts w:ascii="Times New Roman" w:hAnsi="Times New Roman" w:eastAsia="Times New Roman"/>
          <w:sz w:val="28"/>
          <w:szCs w:val="28"/>
        </w:rPr>
      </w:r>
      <w:r>
        <w:rPr>
          <w:rFonts w:ascii="Times New Roman" w:hAnsi="Times New Roman" w:eastAsia="Times New Roman"/>
          <w:sz w:val="28"/>
          <w:szCs w:val="28"/>
        </w:rPr>
      </w:r>
    </w:p>
    <w:p>
      <w:pPr>
        <w:ind w:firstLine="709"/>
        <w:jc w:val="both"/>
        <w:spacing w:after="0"/>
        <w:rPr>
          <w:rFonts w:ascii="Times New Roman" w:hAnsi="Times New Roman" w:eastAsia="Times New Roman"/>
          <w:sz w:val="28"/>
          <w:szCs w:val="28"/>
        </w:rPr>
      </w:pPr>
      <w:r>
        <w:rPr>
          <w:rFonts w:ascii="Times New Roman" w:hAnsi="Times New Roman" w:eastAsia="Times New Roman"/>
          <w:sz w:val="28"/>
          <w:szCs w:val="28"/>
        </w:rPr>
      </w:r>
      <w:r>
        <w:rPr>
          <w:rFonts w:ascii="Times New Roman" w:hAnsi="Times New Roman" w:eastAsia="Times New Roman"/>
          <w:sz w:val="28"/>
          <w:szCs w:val="28"/>
        </w:rPr>
      </w:r>
      <w:r>
        <w:rPr>
          <w:rFonts w:ascii="Times New Roman" w:hAnsi="Times New Roman" w:eastAsia="Times New Roman"/>
          <w:sz w:val="28"/>
          <w:szCs w:val="28"/>
        </w:rPr>
      </w:r>
    </w:p>
    <w:p>
      <w:pPr>
        <w:pStyle w:val="1226"/>
        <w:rPr>
          <w:rFonts w:ascii="Times New Roman" w:hAnsi="Times New Roman" w:eastAsia="Times New Roman"/>
          <w:b/>
          <w:bCs/>
          <w:sz w:val="28"/>
          <w:szCs w:val="28"/>
        </w:rPr>
      </w:pPr>
      <w:r/>
      <w:bookmarkStart w:id="26" w:name="_Toc4"/>
      <w:r>
        <w:rPr>
          <w:rStyle w:val="1252"/>
          <w:rFonts w:ascii="Times New Roman" w:hAnsi="Times New Roman" w:eastAsia="Times New Roman" w:cs="Times New Roman"/>
        </w:rPr>
        <w:t xml:space="preserve">Уполномоченный рекомендует</w:t>
      </w:r>
      <w:r>
        <w:rPr>
          <w:rFonts w:ascii="Times New Roman" w:hAnsi="Times New Roman" w:eastAsia="Times New Roman"/>
          <w:b/>
          <w:bCs/>
          <w:sz w:val="28"/>
          <w:szCs w:val="28"/>
          <w:highlight w:val="none"/>
        </w:rPr>
        <w:t xml:space="preserve"> :</w:t>
      </w:r>
      <w:r>
        <w:rPr>
          <w:rFonts w:ascii="Times New Roman" w:hAnsi="Times New Roman" w:eastAsia="Times New Roman"/>
          <w:b/>
          <w:bCs/>
          <w:sz w:val="28"/>
          <w:szCs w:val="28"/>
        </w:rPr>
      </w:r>
      <w:bookmarkEnd w:id="26"/>
      <w:r>
        <w:rPr>
          <w:rFonts w:ascii="Times New Roman" w:hAnsi="Times New Roman" w:eastAsia="Times New Roman"/>
          <w:b/>
          <w:bCs/>
          <w:sz w:val="28"/>
          <w:szCs w:val="28"/>
        </w:rPr>
      </w:r>
      <w:r>
        <w:rPr>
          <w:rFonts w:ascii="Times New Roman" w:hAnsi="Times New Roman" w:eastAsia="Times New Roman"/>
          <w:b/>
          <w:bCs/>
          <w:sz w:val="28"/>
          <w:szCs w:val="28"/>
        </w:rPr>
      </w:r>
    </w:p>
    <w:p>
      <w:r/>
      <w:r/>
    </w:p>
    <w:p>
      <w:pPr>
        <w:ind w:firstLine="709"/>
        <w:jc w:val="both"/>
        <w:spacing w:after="0"/>
        <w:rPr>
          <w:rFonts w:ascii="Times New Roman" w:hAnsi="Times New Roman" w:eastAsia="Times New Roman"/>
          <w:bCs/>
          <w:i/>
          <w:sz w:val="28"/>
          <w:szCs w:val="28"/>
          <w:highlight w:val="none"/>
        </w:rPr>
      </w:pPr>
      <w:r>
        <w:rPr>
          <w:rFonts w:ascii="Times New Roman" w:hAnsi="Times New Roman" w:eastAsia="Times New Roman"/>
          <w:b/>
          <w:bCs/>
          <w:i/>
          <w:iCs/>
          <w:sz w:val="28"/>
          <w:szCs w:val="28"/>
        </w:rPr>
        <w:t xml:space="preserve">Правительству Ивановской области, </w:t>
      </w:r>
      <w:r>
        <w:rPr>
          <w:rFonts w:ascii="Times New Roman" w:hAnsi="Times New Roman" w:eastAsia="Times New Roman"/>
          <w:b/>
          <w:bCs/>
          <w:i/>
          <w:iCs/>
          <w:sz w:val="28"/>
          <w:szCs w:val="28"/>
        </w:rPr>
        <w:t xml:space="preserve"> органам власти и местного самоуправления:</w:t>
      </w:r>
      <w:r>
        <w:rPr>
          <w:rFonts w:ascii="Times New Roman" w:hAnsi="Times New Roman" w:eastAsia="Times New Roman"/>
          <w:i/>
          <w:iCs/>
          <w:sz w:val="28"/>
          <w:szCs w:val="28"/>
        </w:rPr>
        <w:t xml:space="preserve"> </w:t>
      </w:r>
      <w:r>
        <w:rPr>
          <w:rFonts w:ascii="Times New Roman" w:hAnsi="Times New Roman" w:eastAsia="Times New Roman"/>
          <w:bCs/>
          <w:i/>
          <w:sz w:val="28"/>
          <w:szCs w:val="28"/>
          <w:highlight w:val="none"/>
        </w:rPr>
      </w:r>
      <w:r>
        <w:rPr>
          <w:rFonts w:ascii="Times New Roman" w:hAnsi="Times New Roman" w:eastAsia="Times New Roman"/>
          <w:bCs/>
          <w:i/>
          <w:sz w:val="28"/>
          <w:szCs w:val="28"/>
          <w:highlight w:val="none"/>
        </w:rPr>
      </w:r>
    </w:p>
    <w:p>
      <w:pPr>
        <w:pStyle w:val="1227"/>
        <w:numPr>
          <w:ilvl w:val="0"/>
          <w:numId w:val="102"/>
        </w:numPr>
        <w:ind w:left="0" w:firstLine="709"/>
        <w:jc w:val="both"/>
        <w:spacing w:line="276" w:lineRule="auto"/>
        <w:rPr>
          <w:rFonts w:ascii="Times New Roman" w:hAnsi="Times New Roman" w:eastAsia="Times New Roman"/>
          <w:b w:val="0"/>
          <w:bCs w:val="0"/>
          <w:sz w:val="28"/>
          <w:szCs w:val="28"/>
        </w:rPr>
      </w:pPr>
      <w:r>
        <w:rPr>
          <w:rFonts w:ascii="Times New Roman" w:hAnsi="Times New Roman" w:eastAsia="Times New Roman"/>
          <w:b w:val="0"/>
          <w:bCs w:val="0"/>
          <w:sz w:val="28"/>
          <w:szCs w:val="28"/>
          <w:lang w:val="ru-RU"/>
        </w:rPr>
        <w:t xml:space="preserve">продолжить</w:t>
      </w:r>
      <w:r>
        <w:rPr>
          <w:rFonts w:ascii="Times New Roman" w:hAnsi="Times New Roman" w:eastAsia="Times New Roman"/>
          <w:b w:val="0"/>
          <w:bCs w:val="0"/>
          <w:sz w:val="28"/>
          <w:szCs w:val="28"/>
          <w:lang w:val="ru-RU"/>
        </w:rPr>
        <w:t xml:space="preserve"> проведение необходимых мер поддержки участников СВО и членов их семей, в том числе материально-бытового характера;</w:t>
      </w:r>
      <w:r>
        <w:rPr>
          <w:rFonts w:ascii="Times New Roman" w:hAnsi="Times New Roman" w:eastAsia="Times New Roman"/>
          <w:b w:val="0"/>
          <w:bCs w:val="0"/>
          <w:sz w:val="28"/>
          <w:szCs w:val="28"/>
        </w:rPr>
      </w:r>
      <w:r>
        <w:rPr>
          <w:rFonts w:ascii="Times New Roman" w:hAnsi="Times New Roman" w:eastAsia="Times New Roman"/>
          <w:b w:val="0"/>
          <w:bCs w:val="0"/>
          <w:sz w:val="28"/>
          <w:szCs w:val="28"/>
        </w:rPr>
      </w:r>
    </w:p>
    <w:p>
      <w:pPr>
        <w:pStyle w:val="1227"/>
        <w:numPr>
          <w:ilvl w:val="0"/>
          <w:numId w:val="102"/>
        </w:numPr>
        <w:ind w:left="0" w:firstLine="709"/>
        <w:jc w:val="both"/>
        <w:spacing w:line="276" w:lineRule="auto"/>
        <w:rPr>
          <w:rFonts w:ascii="Times New Roman" w:hAnsi="Times New Roman" w:eastAsia="Liberation Sans"/>
          <w:b w:val="0"/>
          <w:bCs w:val="0"/>
          <w:color w:val="000000"/>
          <w:sz w:val="28"/>
          <w:szCs w:val="28"/>
        </w:rPr>
        <w:pBdr>
          <w:top w:val="none" w:color="000000" w:sz="4" w:space="0"/>
          <w:left w:val="none" w:color="000000" w:sz="4" w:space="0"/>
          <w:bottom w:val="none" w:color="000000" w:sz="4" w:space="0"/>
          <w:right w:val="none" w:color="000000" w:sz="4" w:space="0"/>
        </w:pBdr>
      </w:pPr>
      <w:r>
        <w:rPr>
          <w:rFonts w:ascii="Times New Roman" w:hAnsi="Times New Roman" w:eastAsia="Liberation Sans"/>
          <w:b w:val="0"/>
          <w:bCs w:val="0"/>
          <w:color w:val="000000"/>
          <w:sz w:val="28"/>
          <w:szCs w:val="28"/>
          <w:lang w:val="ru-RU"/>
        </w:rPr>
        <w:t xml:space="preserve">при реализации жилищных прав участников СВО учитывать имеющееся у данной категории лиц преимущественное право на жилище;</w:t>
      </w:r>
      <w:r>
        <w:rPr>
          <w:rFonts w:ascii="Times New Roman" w:hAnsi="Times New Roman" w:eastAsia="Liberation Sans"/>
          <w:b w:val="0"/>
          <w:bCs w:val="0"/>
          <w:color w:val="000000"/>
          <w:sz w:val="28"/>
          <w:szCs w:val="28"/>
        </w:rPr>
      </w:r>
      <w:r>
        <w:rPr>
          <w:rFonts w:ascii="Times New Roman" w:hAnsi="Times New Roman" w:eastAsia="Liberation Sans"/>
          <w:b w:val="0"/>
          <w:bCs w:val="0"/>
          <w:color w:val="000000"/>
          <w:sz w:val="28"/>
          <w:szCs w:val="28"/>
        </w:rPr>
      </w:r>
    </w:p>
    <w:p>
      <w:pPr>
        <w:pStyle w:val="1227"/>
        <w:numPr>
          <w:ilvl w:val="0"/>
          <w:numId w:val="102"/>
        </w:numPr>
        <w:ind w:left="0" w:firstLine="709"/>
        <w:jc w:val="both"/>
        <w:spacing w:line="276" w:lineRule="auto"/>
        <w:rPr>
          <w:rFonts w:ascii="Times New Roman" w:hAnsi="Times New Roman" w:eastAsia="Liberation Sans"/>
          <w:b w:val="0"/>
          <w:bCs w:val="0"/>
          <w:color w:val="000000"/>
          <w:sz w:val="28"/>
          <w:szCs w:val="28"/>
        </w:rPr>
        <w:pBdr>
          <w:top w:val="none" w:color="000000" w:sz="4" w:space="0"/>
          <w:left w:val="none" w:color="000000" w:sz="4" w:space="0"/>
          <w:bottom w:val="none" w:color="000000" w:sz="4" w:space="0"/>
          <w:right w:val="none" w:color="000000" w:sz="4" w:space="0"/>
        </w:pBdr>
      </w:pPr>
      <w:r>
        <w:rPr>
          <w:rFonts w:ascii="Times New Roman" w:hAnsi="Times New Roman" w:eastAsia="Liberation Sans"/>
          <w:b w:val="0"/>
          <w:bCs w:val="0"/>
          <w:color w:val="000000"/>
          <w:sz w:val="28"/>
          <w:szCs w:val="28"/>
          <w:lang w:val="ru-RU"/>
        </w:rPr>
        <w:t xml:space="preserve">рассмотреть возможность предоставления единовременной выплаты на переоборудование личного автотранспорта устройствами ручного управления для участников СВО, ставших инвалидами в результате утраты обеих нижних конечностей;</w:t>
      </w:r>
      <w:r>
        <w:rPr>
          <w:rFonts w:ascii="Times New Roman" w:hAnsi="Times New Roman" w:eastAsia="Liberation Sans"/>
          <w:b w:val="0"/>
          <w:bCs w:val="0"/>
          <w:color w:val="000000"/>
          <w:sz w:val="28"/>
          <w:szCs w:val="28"/>
        </w:rPr>
      </w:r>
      <w:r>
        <w:rPr>
          <w:rFonts w:ascii="Times New Roman" w:hAnsi="Times New Roman" w:eastAsia="Liberation Sans"/>
          <w:b w:val="0"/>
          <w:bCs w:val="0"/>
          <w:color w:val="000000"/>
          <w:sz w:val="28"/>
          <w:szCs w:val="28"/>
        </w:rPr>
      </w:r>
    </w:p>
    <w:p>
      <w:pPr>
        <w:pStyle w:val="1227"/>
        <w:numPr>
          <w:ilvl w:val="0"/>
          <w:numId w:val="102"/>
        </w:numPr>
        <w:ind w:left="0" w:firstLine="709"/>
        <w:jc w:val="both"/>
        <w:spacing w:line="276" w:lineRule="auto"/>
        <w:rPr>
          <w:rFonts w:ascii="Times New Roman" w:hAnsi="Times New Roman" w:eastAsia="Liberation Sans"/>
          <w:b w:val="0"/>
          <w:bCs w:val="0"/>
          <w:color w:val="000000"/>
          <w:sz w:val="28"/>
          <w:szCs w:val="28"/>
        </w:rPr>
        <w:pBdr>
          <w:top w:val="none" w:color="000000" w:sz="4" w:space="0"/>
          <w:left w:val="none" w:color="000000" w:sz="4" w:space="0"/>
          <w:bottom w:val="none" w:color="000000" w:sz="4" w:space="0"/>
          <w:right w:val="none" w:color="000000" w:sz="4" w:space="0"/>
        </w:pBdr>
      </w:pPr>
      <w:r>
        <w:rPr>
          <w:rFonts w:ascii="Times New Roman" w:hAnsi="Times New Roman" w:eastAsia="Liberation Sans"/>
          <w:b w:val="0"/>
          <w:bCs w:val="0"/>
          <w:color w:val="000000"/>
          <w:sz w:val="28"/>
          <w:szCs w:val="28"/>
          <w:lang w:val="ru-RU"/>
        </w:rPr>
        <w:t xml:space="preserve"> усилить информирование участников СВО, особенно проживающих в сельских территориях, о возможности получения бесплатной юридической помощи, алгоритме действий при оформлении льгот, компенсаций и выплат;</w:t>
      </w:r>
      <w:r>
        <w:rPr>
          <w:rFonts w:ascii="Times New Roman" w:hAnsi="Times New Roman" w:eastAsia="Liberation Sans"/>
          <w:b w:val="0"/>
          <w:bCs w:val="0"/>
          <w:color w:val="000000"/>
          <w:sz w:val="28"/>
          <w:szCs w:val="28"/>
        </w:rPr>
      </w:r>
      <w:r>
        <w:rPr>
          <w:rFonts w:ascii="Times New Roman" w:hAnsi="Times New Roman" w:eastAsia="Liberation Sans"/>
          <w:b w:val="0"/>
          <w:bCs w:val="0"/>
          <w:color w:val="000000"/>
          <w:sz w:val="28"/>
          <w:szCs w:val="28"/>
        </w:rPr>
      </w:r>
    </w:p>
    <w:p>
      <w:pPr>
        <w:pStyle w:val="1227"/>
        <w:numPr>
          <w:ilvl w:val="0"/>
          <w:numId w:val="102"/>
        </w:numPr>
        <w:ind w:left="0" w:firstLine="709"/>
        <w:jc w:val="both"/>
        <w:spacing w:line="276" w:lineRule="auto"/>
        <w:rPr>
          <w:rFonts w:ascii="Times New Roman" w:hAnsi="Times New Roman" w:eastAsia="Liberation Sans"/>
          <w:b w:val="0"/>
          <w:bCs w:val="0"/>
          <w:color w:val="000000"/>
          <w:sz w:val="28"/>
          <w:szCs w:val="28"/>
        </w:rPr>
        <w:pBdr>
          <w:top w:val="none" w:color="000000" w:sz="4" w:space="0"/>
          <w:left w:val="none" w:color="000000" w:sz="4" w:space="0"/>
          <w:bottom w:val="none" w:color="000000" w:sz="4" w:space="0"/>
          <w:right w:val="none" w:color="000000" w:sz="4" w:space="0"/>
        </w:pBdr>
      </w:pPr>
      <w:r>
        <w:rPr>
          <w:rFonts w:ascii="Times New Roman" w:hAnsi="Times New Roman" w:eastAsia="Liberation Sans"/>
          <w:b w:val="0"/>
          <w:bCs w:val="0"/>
          <w:color w:val="000000"/>
          <w:sz w:val="28"/>
          <w:szCs w:val="28"/>
          <w:lang w:val="ru-RU"/>
        </w:rPr>
        <w:t xml:space="preserve">продолжить практику проведения совместных приемов ветеранов боевых действий и участников СВО, а также членов их семей с участием контрольно-надзорных органов, Уполномоченного и общественных институтов;</w:t>
      </w:r>
      <w:r>
        <w:rPr>
          <w:rFonts w:ascii="Times New Roman" w:hAnsi="Times New Roman" w:eastAsia="Liberation Sans"/>
          <w:b w:val="0"/>
          <w:bCs w:val="0"/>
          <w:color w:val="000000"/>
          <w:sz w:val="28"/>
          <w:szCs w:val="28"/>
        </w:rPr>
      </w:r>
      <w:r>
        <w:rPr>
          <w:rFonts w:ascii="Times New Roman" w:hAnsi="Times New Roman" w:eastAsia="Liberation Sans"/>
          <w:b w:val="0"/>
          <w:bCs w:val="0"/>
          <w:color w:val="000000"/>
          <w:sz w:val="28"/>
          <w:szCs w:val="28"/>
        </w:rPr>
      </w:r>
    </w:p>
    <w:p>
      <w:pPr>
        <w:pStyle w:val="1227"/>
        <w:numPr>
          <w:ilvl w:val="0"/>
          <w:numId w:val="102"/>
        </w:numPr>
        <w:ind w:left="0" w:firstLine="709"/>
        <w:jc w:val="both"/>
        <w:spacing w:line="276" w:lineRule="auto"/>
        <w:rPr>
          <w:rFonts w:ascii="Times New Roman" w:hAnsi="Times New Roman" w:eastAsia="Liberation Sans"/>
          <w:b w:val="0"/>
          <w:bCs w:val="0"/>
          <w:color w:val="000000"/>
          <w:sz w:val="28"/>
          <w:szCs w:val="28"/>
        </w:rPr>
        <w:pBdr>
          <w:top w:val="none" w:color="000000" w:sz="4" w:space="0"/>
          <w:left w:val="none" w:color="000000" w:sz="4" w:space="0"/>
          <w:bottom w:val="none" w:color="000000" w:sz="4" w:space="0"/>
          <w:right w:val="none" w:color="000000" w:sz="4" w:space="0"/>
        </w:pBdr>
      </w:pPr>
      <w:r>
        <w:rPr>
          <w:rFonts w:ascii="Times New Roman" w:hAnsi="Times New Roman" w:eastAsia="Liberation Sans"/>
          <w:b w:val="0"/>
          <w:bCs w:val="0"/>
          <w:color w:val="000000"/>
          <w:sz w:val="28"/>
          <w:szCs w:val="28"/>
          <w:lang w:val="ru-RU"/>
        </w:rPr>
        <w:t xml:space="preserve"> усилить ведомственный контроль при принятии решений о назначении социальных выплат.</w:t>
      </w:r>
      <w:r>
        <w:rPr>
          <w:rFonts w:ascii="Times New Roman" w:hAnsi="Times New Roman" w:eastAsia="Liberation Sans"/>
          <w:b w:val="0"/>
          <w:bCs w:val="0"/>
          <w:color w:val="000000"/>
          <w:sz w:val="28"/>
          <w:szCs w:val="28"/>
        </w:rPr>
      </w:r>
      <w:r>
        <w:rPr>
          <w:rFonts w:ascii="Times New Roman" w:hAnsi="Times New Roman" w:eastAsia="Liberation Sans"/>
          <w:b w:val="0"/>
          <w:bCs w:val="0"/>
          <w:color w:val="000000"/>
          <w:sz w:val="28"/>
          <w:szCs w:val="28"/>
        </w:rPr>
      </w:r>
    </w:p>
    <w:p>
      <w:pPr>
        <w:jc w:val="both"/>
        <w:spacing w:after="0"/>
        <w:rPr>
          <w:rFonts w:ascii="Times New Roman" w:hAnsi="Times New Roman"/>
          <w:sz w:val="28"/>
          <w:szCs w:val="28"/>
        </w:rPr>
      </w:pPr>
      <w:r>
        <w:rPr>
          <w:rFonts w:ascii="Times New Roman" w:hAnsi="Times New Roman"/>
          <w:sz w:val="28"/>
          <w:szCs w:val="28"/>
        </w:rPr>
      </w:r>
      <w:r>
        <w:rPr>
          <w:rFonts w:ascii="Times New Roman" w:hAnsi="Times New Roman"/>
          <w:sz w:val="28"/>
          <w:szCs w:val="28"/>
        </w:rPr>
      </w:r>
      <w:r>
        <w:rPr>
          <w:rFonts w:ascii="Times New Roman" w:hAnsi="Times New Roman"/>
          <w:sz w:val="28"/>
          <w:szCs w:val="28"/>
        </w:rPr>
      </w:r>
    </w:p>
    <w:p>
      <w:pPr>
        <w:pStyle w:val="1225"/>
        <w:jc w:val="center"/>
      </w:pPr>
      <w:r/>
      <w:bookmarkStart w:id="27" w:name="_Toc5"/>
      <w:r>
        <w:t xml:space="preserve">РАЗДЕЛ 3. </w:t>
      </w:r>
      <w:r>
        <w:t xml:space="preserve">ПРАВО НА ЖИЛИЩЕ</w:t>
      </w:r>
      <w:bookmarkEnd w:id="27"/>
      <w:r/>
      <w:r/>
    </w:p>
    <w:p>
      <w:r/>
      <w:r/>
    </w:p>
    <w:p>
      <w:pPr>
        <w:pStyle w:val="1226"/>
        <w:jc w:val="center"/>
        <w:rPr>
          <w:rFonts w:ascii="Times New Roman" w:hAnsi="Times New Roman" w:cs="Times New Roman"/>
          <w:color w:val="auto"/>
          <w:sz w:val="28"/>
          <w:szCs w:val="28"/>
        </w:rPr>
      </w:pPr>
      <w:r/>
      <w:bookmarkStart w:id="28" w:name="_Toc6"/>
      <w:r>
        <w:rPr>
          <w:rFonts w:ascii="Times New Roman" w:hAnsi="Times New Roman" w:cs="Times New Roman"/>
          <w:b/>
          <w:bCs/>
          <w:color w:val="auto"/>
          <w:sz w:val="28"/>
          <w:szCs w:val="28"/>
        </w:rPr>
        <w:t xml:space="preserve">3.1. Обеспечение жилыми помещениями льготных категорий населения</w:t>
      </w:r>
      <w:r>
        <w:rPr>
          <w:rFonts w:ascii="Times New Roman" w:hAnsi="Times New Roman" w:cs="Times New Roman"/>
          <w:b/>
          <w:bCs/>
          <w:color w:val="auto"/>
          <w:sz w:val="28"/>
          <w:szCs w:val="28"/>
        </w:rPr>
      </w:r>
      <w:bookmarkEnd w:id="28"/>
      <w:r>
        <w:rPr>
          <w:rFonts w:ascii="Times New Roman" w:hAnsi="Times New Roman" w:cs="Times New Roman"/>
          <w:color w:val="auto"/>
          <w:sz w:val="28"/>
          <w:szCs w:val="28"/>
        </w:rPr>
      </w:r>
      <w:r>
        <w:rPr>
          <w:rFonts w:ascii="Times New Roman" w:hAnsi="Times New Roman" w:cs="Times New Roman"/>
          <w:color w:val="auto"/>
          <w:sz w:val="28"/>
          <w:szCs w:val="28"/>
        </w:rPr>
      </w:r>
    </w:p>
    <w:p>
      <w:pPr>
        <w:ind w:firstLine="567"/>
        <w:jc w:val="both"/>
        <w:spacing w:after="0"/>
        <w:rPr>
          <w:rFonts w:ascii="Times New Roman" w:hAnsi="Times New Roman"/>
          <w:sz w:val="28"/>
          <w:szCs w:val="28"/>
        </w:rPr>
      </w:pPr>
      <w:r>
        <w:rPr>
          <w:rFonts w:ascii="Times New Roman" w:hAnsi="Times New Roman"/>
          <w:sz w:val="28"/>
          <w:szCs w:val="28"/>
        </w:rPr>
        <w:t xml:space="preserve"> </w:t>
      </w:r>
      <w:r>
        <w:rPr>
          <w:rFonts w:ascii="Times New Roman" w:hAnsi="Times New Roman"/>
          <w:sz w:val="28"/>
          <w:szCs w:val="28"/>
        </w:rPr>
      </w:r>
      <w:r>
        <w:rPr>
          <w:rFonts w:ascii="Times New Roman" w:hAnsi="Times New Roman"/>
          <w:sz w:val="28"/>
          <w:szCs w:val="28"/>
        </w:rPr>
      </w:r>
    </w:p>
    <w:p>
      <w:pPr>
        <w:ind w:firstLine="708"/>
        <w:jc w:val="both"/>
        <w:spacing w:after="0"/>
        <w:shd w:val="clear" w:color="auto" w:fill="ffffff"/>
        <w:rPr>
          <w:rFonts w:ascii="Times New Roman" w:hAnsi="Times New Roman"/>
          <w:sz w:val="28"/>
          <w:szCs w:val="28"/>
        </w:rPr>
      </w:pPr>
      <w:r>
        <w:rPr>
          <w:rFonts w:ascii="Times New Roman" w:hAnsi="Times New Roman"/>
          <w:sz w:val="28"/>
          <w:szCs w:val="28"/>
        </w:rPr>
        <w:t xml:space="preserve">Обеспечение жилыми помещениями льготных категорий населения – </w:t>
      </w:r>
      <w:r>
        <w:rPr>
          <w:rFonts w:ascii="Times New Roman" w:hAnsi="Times New Roman"/>
          <w:sz w:val="28"/>
          <w:szCs w:val="28"/>
        </w:rPr>
      </w:r>
      <w:r>
        <w:rPr>
          <w:rFonts w:ascii="Times New Roman" w:hAnsi="Times New Roman"/>
          <w:sz w:val="28"/>
          <w:szCs w:val="28"/>
        </w:rPr>
      </w:r>
    </w:p>
    <w:p>
      <w:pPr>
        <w:jc w:val="both"/>
        <w:spacing w:after="0"/>
        <w:shd w:val="clear" w:color="auto" w:fill="ffffff"/>
        <w:rPr>
          <w:rFonts w:ascii="Times New Roman" w:hAnsi="Times New Roman"/>
          <w:sz w:val="28"/>
          <w:szCs w:val="28"/>
        </w:rPr>
      </w:pPr>
      <w:r>
        <w:rPr>
          <w:rFonts w:ascii="Times New Roman" w:hAnsi="Times New Roman"/>
          <w:sz w:val="28"/>
          <w:szCs w:val="28"/>
        </w:rPr>
        <w:t xml:space="preserve">важная составляющая социальной политики государства, направленная на реализацию конституционного права г</w:t>
      </w:r>
      <w:r>
        <w:rPr>
          <w:rFonts w:ascii="Times New Roman" w:hAnsi="Times New Roman"/>
          <w:sz w:val="28"/>
          <w:szCs w:val="28"/>
        </w:rPr>
        <w:t xml:space="preserve">раждан на жилище. Это право закреплено в статье 40 Конституции РФ, которая гарантирует малоимущим и иным категориям граждан, определенным законом, получение жилья бесплатно или за доступную плату из государственных, муниципальных и других жилищных фондов. </w:t>
      </w:r>
      <w:r>
        <w:rPr>
          <w:rFonts w:ascii="Times New Roman" w:hAnsi="Times New Roman"/>
          <w:sz w:val="28"/>
          <w:szCs w:val="28"/>
        </w:rPr>
      </w:r>
      <w:r>
        <w:rPr>
          <w:rFonts w:ascii="Times New Roman" w:hAnsi="Times New Roman"/>
          <w:sz w:val="28"/>
          <w:szCs w:val="28"/>
        </w:rPr>
      </w:r>
    </w:p>
    <w:p>
      <w:pPr>
        <w:ind w:firstLine="709"/>
        <w:jc w:val="both"/>
        <w:spacing w:after="0"/>
        <w:shd w:val="clear" w:color="auto" w:fill="ffffff"/>
        <w:rPr>
          <w:rFonts w:ascii="Times New Roman" w:hAnsi="Times New Roman"/>
          <w:sz w:val="28"/>
          <w:szCs w:val="28"/>
        </w:rPr>
      </w:pPr>
      <w:r>
        <w:rPr>
          <w:rFonts w:ascii="Times New Roman" w:hAnsi="Times New Roman"/>
          <w:sz w:val="28"/>
          <w:szCs w:val="28"/>
        </w:rPr>
        <w:t xml:space="preserve">Право на жилище для льготных категорий граждан обеспечивается комплексом нормативных актов, включая Жилищный кодекс РФ, Федеральный закон «О дополнительных гарантиях по социальной поддержке д</w:t>
      </w:r>
      <w:r>
        <w:rPr>
          <w:rFonts w:ascii="Times New Roman" w:hAnsi="Times New Roman"/>
          <w:sz w:val="28"/>
          <w:szCs w:val="28"/>
        </w:rPr>
        <w:t xml:space="preserve">етей-сирот и детей, оставшихся без попечения родителей» № 159-ФЗ, Закон Ивановской области от 14.03.1997 № 7-ОЗ «О дополнительных гарантиях по социальной поддержке детей-сирот…» и ряд региональных программ по обеспечению жильем отдельных категорий граждан.</w:t>
      </w:r>
      <w:r>
        <w:rPr>
          <w:rFonts w:ascii="Times New Roman" w:hAnsi="Times New Roman"/>
          <w:sz w:val="28"/>
          <w:szCs w:val="28"/>
        </w:rPr>
      </w:r>
      <w:r>
        <w:rPr>
          <w:rFonts w:ascii="Times New Roman" w:hAnsi="Times New Roman"/>
          <w:sz w:val="28"/>
          <w:szCs w:val="28"/>
        </w:rPr>
      </w:r>
    </w:p>
    <w:p>
      <w:pPr>
        <w:ind w:firstLine="709"/>
        <w:jc w:val="both"/>
        <w:spacing w:after="0"/>
        <w:shd w:val="clear" w:color="auto" w:fill="ffffff"/>
        <w:rPr>
          <w:rFonts w:ascii="Times New Roman" w:hAnsi="Times New Roman"/>
          <w:sz w:val="28"/>
          <w:szCs w:val="28"/>
        </w:rPr>
      </w:pPr>
      <w:r>
        <w:rPr>
          <w:rFonts w:ascii="Times New Roman" w:hAnsi="Times New Roman"/>
          <w:sz w:val="28"/>
          <w:szCs w:val="28"/>
        </w:rPr>
        <w:t xml:space="preserve">К числу льготных категорий, имеющих право на обеспечение жильем в Ивановской области, относятся: малоимущие граждане, нуждающиеся в жилых помещениях; дети-сироты и дети, оставшиеся без попечения родителей; инвалиды и с</w:t>
      </w:r>
      <w:r>
        <w:rPr>
          <w:rFonts w:ascii="Times New Roman" w:hAnsi="Times New Roman"/>
          <w:sz w:val="28"/>
          <w:szCs w:val="28"/>
        </w:rPr>
        <w:t xml:space="preserve">емьи с детьми-инвалидами; ветераны и инвалиды Великой Отечественной войны; участники специальной военной операции и члены их семей; граждане, проживающие в аварийных домах, а также иные категории, установленные федеральным и региональным законодательством.</w:t>
      </w:r>
      <w:r>
        <w:rPr>
          <w:rFonts w:ascii="Times New Roman" w:hAnsi="Times New Roman"/>
          <w:sz w:val="28"/>
          <w:szCs w:val="28"/>
        </w:rPr>
      </w:r>
      <w:r>
        <w:rPr>
          <w:rFonts w:ascii="Times New Roman" w:hAnsi="Times New Roman"/>
          <w:sz w:val="28"/>
          <w:szCs w:val="28"/>
        </w:rPr>
      </w:r>
    </w:p>
    <w:p>
      <w:pPr>
        <w:ind w:firstLine="709"/>
        <w:jc w:val="both"/>
        <w:spacing w:after="0"/>
        <w:shd w:val="clear" w:color="auto" w:fill="ffffff"/>
      </w:pPr>
      <w:r>
        <w:rPr>
          <w:rFonts w:ascii="Times New Roman" w:hAnsi="Times New Roman"/>
          <w:sz w:val="28"/>
          <w:szCs w:val="28"/>
        </w:rPr>
        <w:t xml:space="preserve">Однако </w:t>
      </w:r>
      <w:r>
        <w:rPr>
          <w:rFonts w:ascii="Times New Roman" w:hAnsi="Times New Roman"/>
          <w:sz w:val="28"/>
          <w:szCs w:val="28"/>
        </w:rPr>
        <w:t xml:space="preserve">дотационность</w:t>
      </w:r>
      <w:r>
        <w:rPr>
          <w:rFonts w:ascii="Times New Roman" w:hAnsi="Times New Roman"/>
          <w:sz w:val="28"/>
          <w:szCs w:val="28"/>
        </w:rPr>
        <w:t xml:space="preserve"> областного бюджета на протяжении многих лет затрудняет масштабное строительство социального жилья, что приводит к медленному продвижению очередей и накоплению нерешенных проблем. </w:t>
      </w:r>
      <w:r/>
    </w:p>
    <w:p>
      <w:pPr>
        <w:ind w:firstLine="709"/>
        <w:jc w:val="both"/>
        <w:spacing w:after="0"/>
        <w:shd w:val="clear" w:color="auto" w:fill="ffffff"/>
        <w:rPr>
          <w:rFonts w:ascii="Times New Roman" w:hAnsi="Times New Roman"/>
          <w:sz w:val="28"/>
          <w:szCs w:val="28"/>
        </w:rPr>
      </w:pPr>
      <w:r>
        <w:rPr>
          <w:rFonts w:ascii="Times New Roman" w:hAnsi="Times New Roman"/>
          <w:sz w:val="28"/>
          <w:szCs w:val="28"/>
        </w:rPr>
        <w:t xml:space="preserve">Необходимо отметить, что количество обращений в адрес Уполномоченного от лиц, из числа детей-сирот и детей, оставшихся без попечения родителей по вопросу защиты их жилищных прав, снизилось по сравнению с предыдущими годами.</w:t>
      </w:r>
      <w:r>
        <w:rPr>
          <w:rFonts w:ascii="Times New Roman" w:hAnsi="Times New Roman"/>
          <w:sz w:val="28"/>
          <w:szCs w:val="28"/>
        </w:rPr>
      </w:r>
      <w:r>
        <w:rPr>
          <w:rFonts w:ascii="Times New Roman" w:hAnsi="Times New Roman"/>
          <w:sz w:val="28"/>
          <w:szCs w:val="28"/>
        </w:rPr>
      </w:r>
    </w:p>
    <w:p>
      <w:pPr>
        <w:ind w:firstLine="709"/>
        <w:jc w:val="both"/>
        <w:spacing w:after="0"/>
      </w:pPr>
      <w:r>
        <w:rPr>
          <w:rFonts w:ascii="Times New Roman" w:hAnsi="Times New Roman"/>
          <w:sz w:val="28"/>
          <w:szCs w:val="28"/>
        </w:rPr>
        <w:t xml:space="preserve"> </w:t>
      </w:r>
      <w:r>
        <w:rPr>
          <w:rFonts w:ascii="Times New Roman" w:hAnsi="Times New Roman"/>
          <w:sz w:val="28"/>
          <w:szCs w:val="28"/>
        </w:rPr>
        <w:t xml:space="preserve">Так, по сведениям Департамента социальной защиты населения Ивановской области</w:t>
      </w:r>
      <w:r>
        <w:rPr>
          <w:rFonts w:ascii="Times New Roman" w:hAnsi="Times New Roman"/>
          <w:color w:val="ff0000"/>
          <w:sz w:val="28"/>
          <w:szCs w:val="28"/>
        </w:rPr>
        <w:t xml:space="preserve"> </w:t>
      </w:r>
      <w:r>
        <w:rPr>
          <w:rFonts w:ascii="Times New Roman" w:hAnsi="Times New Roman"/>
          <w:sz w:val="28"/>
          <w:szCs w:val="28"/>
        </w:rPr>
        <w:t xml:space="preserve">на 01.01.2026 количество лиц, состоящих в списке детей-сирот и детей, оставшихся без попечения родителей, лиц</w:t>
      </w:r>
      <w:r>
        <w:rPr>
          <w:rFonts w:ascii="Times New Roman" w:hAnsi="Times New Roman"/>
          <w:sz w:val="28"/>
          <w:szCs w:val="28"/>
        </w:rPr>
        <w:t xml:space="preserve"> из числа детей-сирот и детей, оставшихся без попечения родителей, лиц, которые относились к категории детей-сирот и детей, оставшихся без попечения родителей, лиц из числа детей-сирот и детей, оставшихся без попечения родителей, и достигли возраста 23 лет</w:t>
      </w:r>
      <w:r>
        <w:rPr>
          <w:rFonts w:ascii="Times New Roman" w:hAnsi="Times New Roman"/>
          <w:sz w:val="28"/>
          <w:szCs w:val="28"/>
        </w:rPr>
        <w:t xml:space="preserve">, которые подле</w:t>
      </w:r>
      <w:r>
        <w:rPr>
          <w:rFonts w:ascii="Times New Roman" w:hAnsi="Times New Roman"/>
          <w:sz w:val="28"/>
          <w:szCs w:val="28"/>
        </w:rPr>
        <w:t xml:space="preserve">жат обеспечению жилыми помещениями (далее – Список),  составляет 1898 человек, из них: 1499 человек достигли возраста 18 лет и ожидают предоставления жилья. По итогам 2025 года очередность детей-сирот, подлежащих обеспечению жильем, удалось снизить на 6 %.</w:t>
      </w:r>
      <w:r/>
    </w:p>
    <w:p>
      <w:pPr>
        <w:ind w:firstLine="709"/>
        <w:jc w:val="both"/>
        <w:spacing w:after="0"/>
        <w:rPr>
          <w:rFonts w:ascii="Times New Roman" w:hAnsi="Times New Roman"/>
          <w:sz w:val="28"/>
          <w:szCs w:val="28"/>
          <w:highlight w:val="none"/>
        </w:rPr>
      </w:pPr>
      <w:r>
        <w:rPr>
          <w:rFonts w:ascii="Times New Roman" w:hAnsi="Times New Roman"/>
          <w:sz w:val="28"/>
          <w:szCs w:val="28"/>
        </w:rPr>
        <w:t xml:space="preserve">Сведения об очередности лиц указанной категории в разрезе муниципальных образований </w:t>
      </w:r>
      <w:r>
        <w:rPr>
          <w:rFonts w:ascii="Times New Roman" w:hAnsi="Times New Roman"/>
          <w:sz w:val="28"/>
          <w:szCs w:val="28"/>
        </w:rPr>
        <w:t xml:space="preserve">представлена</w:t>
      </w:r>
      <w:r>
        <w:rPr>
          <w:rFonts w:ascii="Times New Roman" w:hAnsi="Times New Roman"/>
          <w:sz w:val="28"/>
          <w:szCs w:val="28"/>
        </w:rPr>
        <w:t xml:space="preserve"> в Таблице 3.1.</w:t>
      </w:r>
      <w:r>
        <w:rPr>
          <w:rFonts w:ascii="Times New Roman" w:hAnsi="Times New Roman"/>
          <w:sz w:val="28"/>
          <w:szCs w:val="28"/>
          <w:highlight w:val="none"/>
        </w:rPr>
      </w:r>
      <w:r>
        <w:rPr>
          <w:rFonts w:ascii="Times New Roman" w:hAnsi="Times New Roman"/>
          <w:sz w:val="28"/>
          <w:szCs w:val="28"/>
          <w:highlight w:val="none"/>
        </w:rPr>
      </w:r>
    </w:p>
    <w:p>
      <w:pPr>
        <w:ind w:firstLine="0"/>
        <w:jc w:val="both"/>
        <w:spacing w:after="0"/>
        <w:rPr>
          <w:rFonts w:ascii="Times New Roman" w:hAnsi="Times New Roman"/>
          <w:sz w:val="28"/>
          <w:szCs w:val="28"/>
        </w:rPr>
      </w:pPr>
      <w:r>
        <w:rPr>
          <w:rFonts w:ascii="Times New Roman" w:hAnsi="Times New Roman"/>
          <w:sz w:val="28"/>
          <w:szCs w:val="28"/>
        </w:rPr>
      </w:r>
      <w:r>
        <w:rPr>
          <w:rFonts w:ascii="Times New Roman" w:hAnsi="Times New Roman"/>
          <w:sz w:val="28"/>
          <w:szCs w:val="28"/>
        </w:rPr>
      </w:r>
      <w:r>
        <w:rPr>
          <w:rFonts w:ascii="Times New Roman" w:hAnsi="Times New Roman"/>
          <w:sz w:val="28"/>
          <w:szCs w:val="28"/>
        </w:rPr>
      </w:r>
    </w:p>
    <w:p>
      <w:pPr>
        <w:ind w:firstLine="708"/>
        <w:jc w:val="both"/>
        <w:spacing w:after="0"/>
        <w:rPr>
          <w:rFonts w:ascii="Times New Roman" w:hAnsi="Times New Roman"/>
          <w:sz w:val="28"/>
          <w:szCs w:val="28"/>
        </w:rPr>
      </w:pPr>
      <w:r>
        <w:rPr>
          <w:rFonts w:ascii="Times New Roman" w:hAnsi="Times New Roman"/>
          <w:b/>
          <w:sz w:val="28"/>
          <w:szCs w:val="28"/>
        </w:rPr>
        <w:t xml:space="preserve">Таблица 3.1. Сведения об очередности детей-сирот и детей, оставшихся без попечения родителей, лиц из их числа в разрезе муниципальных образований Ивановской области</w:t>
      </w:r>
      <w:r>
        <w:rPr>
          <w:rFonts w:ascii="Times New Roman" w:hAnsi="Times New Roman"/>
          <w:sz w:val="28"/>
          <w:szCs w:val="28"/>
        </w:rPr>
      </w:r>
      <w:r>
        <w:rPr>
          <w:rFonts w:ascii="Times New Roman" w:hAnsi="Times New Roman"/>
          <w:sz w:val="28"/>
          <w:szCs w:val="28"/>
        </w:rPr>
      </w:r>
    </w:p>
    <w:p>
      <w:pPr>
        <w:jc w:val="center"/>
        <w:spacing w:after="0"/>
        <w:rPr>
          <w:rFonts w:ascii="Times New Roman" w:hAnsi="Times New Roman"/>
          <w:b/>
          <w:sz w:val="28"/>
          <w:szCs w:val="28"/>
        </w:rPr>
      </w:pPr>
      <w:r>
        <w:rPr>
          <w:rFonts w:ascii="Times New Roman" w:hAnsi="Times New Roman"/>
          <w:b/>
          <w:sz w:val="28"/>
          <w:szCs w:val="28"/>
        </w:rPr>
      </w:r>
      <w:r>
        <w:rPr>
          <w:rFonts w:ascii="Times New Roman" w:hAnsi="Times New Roman"/>
          <w:b/>
          <w:sz w:val="28"/>
          <w:szCs w:val="28"/>
        </w:rPr>
      </w:r>
      <w:r>
        <w:rPr>
          <w:rFonts w:ascii="Times New Roman" w:hAnsi="Times New Roman"/>
          <w:b/>
          <w:sz w:val="28"/>
          <w:szCs w:val="28"/>
        </w:rPr>
      </w:r>
    </w:p>
    <w:tbl>
      <w:tblPr>
        <w:tblW w:w="4952" w:type="pct"/>
        <w:jc w:val="center"/>
        <w:tblInd w:w="24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ook w:val="04A0" w:firstRow="1" w:lastRow="0" w:firstColumn="1" w:lastColumn="0" w:noHBand="0" w:noVBand="1"/>
      </w:tblPr>
      <w:tblGrid>
        <w:gridCol w:w="3384"/>
        <w:gridCol w:w="1604"/>
        <w:gridCol w:w="1504"/>
        <w:gridCol w:w="1604"/>
        <w:gridCol w:w="1383"/>
      </w:tblGrid>
      <w:tr>
        <w:tblPrEx/>
        <w:trPr>
          <w:jc w:val="center"/>
          <w:trHeight w:val="828"/>
        </w:trPr>
        <w:tc>
          <w:tcPr>
            <w:shd w:val="clear" w:color="ffffff" w:fill="b8cce4" w:themeFill="accent1" w:themeFillTint="66"/>
            <w:tcW w:w="1835" w:type="pct"/>
            <w:textDirection w:val="lrTb"/>
            <w:noWrap w:val="false"/>
          </w:tcPr>
          <w:p>
            <w:pPr>
              <w:jc w:val="center"/>
              <w:spacing w:after="0" w:line="240" w:lineRule="auto"/>
              <w:rPr>
                <w:rFonts w:ascii="Times New Roman" w:hAnsi="Times New Roman"/>
                <w:b/>
                <w:bCs/>
                <w:sz w:val="24"/>
                <w:szCs w:val="24"/>
              </w:rPr>
            </w:pPr>
            <w:r>
              <w:rPr>
                <w:rFonts w:ascii="Times New Roman" w:hAnsi="Times New Roman" w:eastAsia="Times New Roman"/>
                <w:b/>
                <w:bCs/>
                <w:sz w:val="24"/>
                <w:szCs w:val="24"/>
              </w:rPr>
              <w:t xml:space="preserve">Наименование муниципальных образований</w:t>
            </w:r>
            <w:r>
              <w:rPr>
                <w:rFonts w:ascii="Times New Roman" w:hAnsi="Times New Roman"/>
                <w:b/>
                <w:bCs/>
                <w:sz w:val="24"/>
                <w:szCs w:val="24"/>
              </w:rPr>
            </w:r>
            <w:r>
              <w:rPr>
                <w:rFonts w:ascii="Times New Roman" w:hAnsi="Times New Roman"/>
                <w:b/>
                <w:bCs/>
                <w:sz w:val="24"/>
                <w:szCs w:val="24"/>
              </w:rPr>
            </w:r>
          </w:p>
        </w:tc>
        <w:tc>
          <w:tcPr>
            <w:shd w:val="clear" w:color="ffffff" w:fill="b8cce4" w:themeFill="accent1" w:themeFillTint="66"/>
            <w:tcW w:w="772" w:type="pct"/>
            <w:textDirection w:val="lrTb"/>
            <w:noWrap w:val="false"/>
          </w:tcPr>
          <w:p>
            <w:pPr>
              <w:jc w:val="both"/>
              <w:spacing w:after="0" w:line="240" w:lineRule="auto"/>
              <w:rPr>
                <w:rFonts w:ascii="Times New Roman" w:hAnsi="Times New Roman"/>
                <w:b/>
                <w:bCs/>
                <w:sz w:val="24"/>
                <w:szCs w:val="24"/>
              </w:rPr>
            </w:pPr>
            <w:r>
              <w:rPr>
                <w:rFonts w:ascii="Times New Roman" w:hAnsi="Times New Roman" w:eastAsia="Times New Roman"/>
                <w:b/>
                <w:bCs/>
                <w:sz w:val="24"/>
                <w:szCs w:val="24"/>
              </w:rPr>
              <w:t xml:space="preserve">Количество очередников в Списке</w:t>
            </w:r>
            <w:r>
              <w:rPr>
                <w:rFonts w:ascii="Times New Roman" w:hAnsi="Times New Roman"/>
                <w:b/>
                <w:bCs/>
                <w:sz w:val="24"/>
                <w:szCs w:val="24"/>
              </w:rPr>
            </w:r>
            <w:r>
              <w:rPr>
                <w:rFonts w:ascii="Times New Roman" w:hAnsi="Times New Roman"/>
                <w:b/>
                <w:bCs/>
                <w:sz w:val="24"/>
                <w:szCs w:val="24"/>
              </w:rPr>
            </w:r>
          </w:p>
          <w:p>
            <w:pPr>
              <w:jc w:val="both"/>
              <w:spacing w:after="0" w:line="240" w:lineRule="auto"/>
              <w:rPr>
                <w:rFonts w:ascii="Times New Roman" w:hAnsi="Times New Roman"/>
                <w:b/>
                <w:bCs/>
                <w:sz w:val="24"/>
                <w:szCs w:val="24"/>
              </w:rPr>
            </w:pPr>
            <w:r>
              <w:rPr>
                <w:rFonts w:ascii="Times New Roman" w:hAnsi="Times New Roman" w:eastAsia="Times New Roman"/>
                <w:b/>
                <w:bCs/>
                <w:sz w:val="24"/>
                <w:szCs w:val="24"/>
              </w:rPr>
              <w:t xml:space="preserve">на 01.01.2025</w:t>
            </w:r>
            <w:r>
              <w:rPr>
                <w:rFonts w:ascii="Times New Roman" w:hAnsi="Times New Roman"/>
                <w:b/>
                <w:bCs/>
                <w:sz w:val="24"/>
                <w:szCs w:val="24"/>
              </w:rPr>
            </w:r>
            <w:r>
              <w:rPr>
                <w:rFonts w:ascii="Times New Roman" w:hAnsi="Times New Roman"/>
                <w:b/>
                <w:bCs/>
                <w:sz w:val="24"/>
                <w:szCs w:val="24"/>
              </w:rPr>
            </w:r>
          </w:p>
        </w:tc>
        <w:tc>
          <w:tcPr>
            <w:shd w:val="clear" w:color="ffffff" w:fill="b8cce4" w:themeFill="accent1" w:themeFillTint="66"/>
            <w:tcW w:w="843" w:type="pct"/>
            <w:textDirection w:val="lrTb"/>
            <w:noWrap w:val="false"/>
          </w:tcPr>
          <w:p>
            <w:pPr>
              <w:jc w:val="both"/>
              <w:spacing w:after="0" w:line="240" w:lineRule="auto"/>
              <w:rPr>
                <w:rFonts w:ascii="Times New Roman" w:hAnsi="Times New Roman"/>
                <w:b/>
                <w:bCs/>
                <w:sz w:val="24"/>
                <w:szCs w:val="24"/>
              </w:rPr>
            </w:pPr>
            <w:r>
              <w:rPr>
                <w:rFonts w:ascii="Times New Roman" w:hAnsi="Times New Roman" w:eastAsia="Times New Roman"/>
                <w:b/>
                <w:bCs/>
                <w:sz w:val="24"/>
                <w:szCs w:val="24"/>
              </w:rPr>
              <w:t xml:space="preserve">Из них: достигли возраста 18 лет по состоянию на 01.01.2025</w:t>
            </w:r>
            <w:r>
              <w:rPr>
                <w:rFonts w:ascii="Times New Roman" w:hAnsi="Times New Roman"/>
                <w:b/>
                <w:bCs/>
                <w:sz w:val="24"/>
                <w:szCs w:val="24"/>
              </w:rPr>
            </w:r>
            <w:r>
              <w:rPr>
                <w:rFonts w:ascii="Times New Roman" w:hAnsi="Times New Roman"/>
                <w:b/>
                <w:bCs/>
                <w:sz w:val="24"/>
                <w:szCs w:val="24"/>
              </w:rPr>
            </w:r>
          </w:p>
        </w:tc>
        <w:tc>
          <w:tcPr>
            <w:shd w:val="clear" w:color="ffffff" w:fill="b8cce4" w:themeFill="accent1" w:themeFillTint="66"/>
            <w:tcW w:w="771" w:type="pct"/>
            <w:textDirection w:val="lrTb"/>
            <w:noWrap w:val="false"/>
          </w:tcPr>
          <w:p>
            <w:pPr>
              <w:jc w:val="both"/>
              <w:spacing w:after="0" w:line="240" w:lineRule="auto"/>
              <w:rPr>
                <w:rFonts w:ascii="Times New Roman" w:hAnsi="Times New Roman"/>
                <w:b/>
                <w:bCs/>
                <w:sz w:val="24"/>
                <w:szCs w:val="24"/>
              </w:rPr>
            </w:pPr>
            <w:r>
              <w:rPr>
                <w:rFonts w:ascii="Times New Roman" w:hAnsi="Times New Roman" w:eastAsia="Times New Roman"/>
                <w:b/>
                <w:bCs/>
                <w:sz w:val="24"/>
                <w:szCs w:val="24"/>
              </w:rPr>
              <w:t xml:space="preserve">Количество очередников в Списке</w:t>
            </w:r>
            <w:r>
              <w:rPr>
                <w:rFonts w:ascii="Times New Roman" w:hAnsi="Times New Roman"/>
                <w:b/>
                <w:bCs/>
                <w:sz w:val="24"/>
                <w:szCs w:val="24"/>
              </w:rPr>
            </w:r>
            <w:r>
              <w:rPr>
                <w:rFonts w:ascii="Times New Roman" w:hAnsi="Times New Roman"/>
                <w:b/>
                <w:bCs/>
                <w:sz w:val="24"/>
                <w:szCs w:val="24"/>
              </w:rPr>
            </w:r>
          </w:p>
          <w:p>
            <w:pPr>
              <w:jc w:val="both"/>
              <w:spacing w:after="0" w:line="240" w:lineRule="auto"/>
              <w:rPr>
                <w:rFonts w:ascii="Times New Roman" w:hAnsi="Times New Roman"/>
                <w:b/>
                <w:bCs/>
                <w:sz w:val="24"/>
                <w:szCs w:val="24"/>
              </w:rPr>
            </w:pPr>
            <w:r>
              <w:rPr>
                <w:rFonts w:ascii="Times New Roman" w:hAnsi="Times New Roman" w:eastAsia="Times New Roman"/>
                <w:b/>
                <w:bCs/>
                <w:sz w:val="24"/>
                <w:szCs w:val="24"/>
              </w:rPr>
              <w:t xml:space="preserve">на 01.01.2026</w:t>
            </w:r>
            <w:r>
              <w:rPr>
                <w:rFonts w:ascii="Times New Roman" w:hAnsi="Times New Roman"/>
                <w:b/>
                <w:bCs/>
                <w:sz w:val="24"/>
                <w:szCs w:val="24"/>
              </w:rPr>
            </w:r>
            <w:r>
              <w:rPr>
                <w:rFonts w:ascii="Times New Roman" w:hAnsi="Times New Roman"/>
                <w:b/>
                <w:bCs/>
                <w:sz w:val="24"/>
                <w:szCs w:val="24"/>
              </w:rPr>
            </w:r>
          </w:p>
        </w:tc>
        <w:tc>
          <w:tcPr>
            <w:shd w:val="clear" w:color="ffffff" w:fill="b8cce4" w:themeFill="accent1" w:themeFillTint="66"/>
            <w:tcW w:w="780" w:type="pct"/>
            <w:textDirection w:val="lrTb"/>
            <w:noWrap w:val="false"/>
          </w:tcPr>
          <w:p>
            <w:pPr>
              <w:jc w:val="both"/>
              <w:spacing w:after="0" w:line="240" w:lineRule="auto"/>
              <w:rPr>
                <w:rFonts w:ascii="Times New Roman" w:hAnsi="Times New Roman"/>
                <w:b/>
                <w:bCs/>
                <w:sz w:val="24"/>
                <w:szCs w:val="24"/>
              </w:rPr>
            </w:pPr>
            <w:r>
              <w:rPr>
                <w:rFonts w:ascii="Times New Roman" w:hAnsi="Times New Roman" w:eastAsia="Times New Roman"/>
                <w:b/>
                <w:bCs/>
                <w:sz w:val="24"/>
                <w:szCs w:val="24"/>
              </w:rPr>
              <w:t xml:space="preserve">Из них: достигли возраста 18 лет по состоянию на 01.01.2026</w:t>
            </w:r>
            <w:r>
              <w:rPr>
                <w:rFonts w:ascii="Times New Roman" w:hAnsi="Times New Roman"/>
                <w:b/>
                <w:bCs/>
                <w:sz w:val="24"/>
                <w:szCs w:val="24"/>
              </w:rPr>
            </w:r>
            <w:r>
              <w:rPr>
                <w:rFonts w:ascii="Times New Roman" w:hAnsi="Times New Roman"/>
                <w:b/>
                <w:bCs/>
                <w:sz w:val="24"/>
                <w:szCs w:val="24"/>
              </w:rPr>
            </w:r>
          </w:p>
        </w:tc>
      </w:tr>
      <w:tr>
        <w:tblPrEx/>
        <w:trPr>
          <w:jc w:val="center"/>
          <w:trHeight w:val="243"/>
        </w:trPr>
        <w:tc>
          <w:tcPr>
            <w:tcW w:w="1835" w:type="pct"/>
            <w:textDirection w:val="lrTb"/>
            <w:noWrap w:val="false"/>
          </w:tcPr>
          <w:p>
            <w:pPr>
              <w:spacing w:after="0" w:line="240" w:lineRule="auto"/>
              <w:rPr>
                <w:rFonts w:ascii="Times New Roman" w:hAnsi="Times New Roman"/>
                <w:sz w:val="24"/>
                <w:szCs w:val="24"/>
              </w:rPr>
            </w:pPr>
            <w:r>
              <w:rPr>
                <w:rFonts w:ascii="Times New Roman" w:hAnsi="Times New Roman" w:eastAsia="Times New Roman"/>
                <w:sz w:val="24"/>
                <w:szCs w:val="24"/>
              </w:rPr>
              <w:t xml:space="preserve">городской округ Вичуга</w:t>
            </w:r>
            <w:r>
              <w:rPr>
                <w:rFonts w:ascii="Times New Roman" w:hAnsi="Times New Roman"/>
                <w:sz w:val="24"/>
                <w:szCs w:val="24"/>
              </w:rPr>
            </w:r>
            <w:r>
              <w:rPr>
                <w:rFonts w:ascii="Times New Roman" w:hAnsi="Times New Roman"/>
                <w:sz w:val="24"/>
                <w:szCs w:val="24"/>
              </w:rPr>
            </w:r>
          </w:p>
        </w:tc>
        <w:tc>
          <w:tcPr>
            <w:tcW w:w="772" w:type="pct"/>
            <w:textDirection w:val="lrTb"/>
            <w:noWrap w:val="false"/>
          </w:tcPr>
          <w:p>
            <w:pPr>
              <w:jc w:val="center"/>
              <w:spacing w:after="0" w:line="240" w:lineRule="auto"/>
              <w:rPr>
                <w:rFonts w:ascii="Times New Roman" w:hAnsi="Times New Roman"/>
                <w:sz w:val="24"/>
                <w:szCs w:val="24"/>
              </w:rPr>
            </w:pPr>
            <w:r>
              <w:rPr>
                <w:rFonts w:ascii="Times New Roman" w:hAnsi="Times New Roman" w:eastAsia="Times New Roman"/>
                <w:sz w:val="24"/>
                <w:szCs w:val="24"/>
              </w:rPr>
              <w:t xml:space="preserve">87</w:t>
            </w:r>
            <w:r>
              <w:rPr>
                <w:rFonts w:ascii="Times New Roman" w:hAnsi="Times New Roman"/>
                <w:sz w:val="24"/>
                <w:szCs w:val="24"/>
              </w:rPr>
            </w:r>
            <w:r>
              <w:rPr>
                <w:rFonts w:ascii="Times New Roman" w:hAnsi="Times New Roman"/>
                <w:sz w:val="24"/>
                <w:szCs w:val="24"/>
              </w:rPr>
            </w:r>
          </w:p>
        </w:tc>
        <w:tc>
          <w:tcPr>
            <w:tcW w:w="843" w:type="pct"/>
            <w:textDirection w:val="lrTb"/>
            <w:noWrap w:val="false"/>
          </w:tcPr>
          <w:p>
            <w:pPr>
              <w:jc w:val="center"/>
              <w:spacing w:after="0" w:line="240" w:lineRule="auto"/>
              <w:rPr>
                <w:rFonts w:ascii="Times New Roman" w:hAnsi="Times New Roman"/>
                <w:sz w:val="24"/>
                <w:szCs w:val="24"/>
              </w:rPr>
            </w:pPr>
            <w:r>
              <w:rPr>
                <w:rFonts w:ascii="Times New Roman" w:hAnsi="Times New Roman" w:eastAsia="Times New Roman"/>
                <w:sz w:val="24"/>
                <w:szCs w:val="24"/>
              </w:rPr>
              <w:t xml:space="preserve">65</w:t>
            </w:r>
            <w:r>
              <w:rPr>
                <w:rFonts w:ascii="Times New Roman" w:hAnsi="Times New Roman"/>
                <w:sz w:val="24"/>
                <w:szCs w:val="24"/>
              </w:rPr>
            </w:r>
            <w:r>
              <w:rPr>
                <w:rFonts w:ascii="Times New Roman" w:hAnsi="Times New Roman"/>
                <w:sz w:val="24"/>
                <w:szCs w:val="24"/>
              </w:rPr>
            </w:r>
          </w:p>
        </w:tc>
        <w:tc>
          <w:tcPr>
            <w:tcW w:w="771" w:type="pct"/>
            <w:textDirection w:val="lrTb"/>
            <w:noWrap w:val="false"/>
          </w:tcPr>
          <w:p>
            <w:pPr>
              <w:jc w:val="center"/>
              <w:spacing w:after="0" w:line="240" w:lineRule="auto"/>
              <w:rPr>
                <w:rFonts w:ascii="Times New Roman" w:hAnsi="Times New Roman"/>
                <w:sz w:val="24"/>
                <w:szCs w:val="24"/>
              </w:rPr>
            </w:pPr>
            <w:r>
              <w:rPr>
                <w:rFonts w:ascii="Times New Roman" w:hAnsi="Times New Roman" w:eastAsia="Times New Roman"/>
                <w:sz w:val="24"/>
                <w:szCs w:val="24"/>
              </w:rPr>
              <w:t xml:space="preserve">83</w:t>
            </w:r>
            <w:r>
              <w:rPr>
                <w:rFonts w:ascii="Times New Roman" w:hAnsi="Times New Roman"/>
                <w:sz w:val="24"/>
                <w:szCs w:val="24"/>
              </w:rPr>
            </w:r>
            <w:r>
              <w:rPr>
                <w:rFonts w:ascii="Times New Roman" w:hAnsi="Times New Roman"/>
                <w:sz w:val="24"/>
                <w:szCs w:val="24"/>
              </w:rPr>
            </w:r>
          </w:p>
        </w:tc>
        <w:tc>
          <w:tcPr>
            <w:tcW w:w="780" w:type="pct"/>
            <w:textDirection w:val="lrTb"/>
            <w:noWrap w:val="false"/>
          </w:tcPr>
          <w:p>
            <w:pPr>
              <w:jc w:val="center"/>
              <w:spacing w:after="0" w:line="240" w:lineRule="auto"/>
              <w:rPr>
                <w:rFonts w:ascii="Times New Roman" w:hAnsi="Times New Roman"/>
                <w:sz w:val="24"/>
                <w:szCs w:val="24"/>
              </w:rPr>
            </w:pPr>
            <w:r>
              <w:rPr>
                <w:rFonts w:ascii="Times New Roman" w:hAnsi="Times New Roman" w:eastAsia="Times New Roman"/>
                <w:sz w:val="24"/>
                <w:szCs w:val="24"/>
              </w:rPr>
              <w:t xml:space="preserve">62</w:t>
            </w:r>
            <w:r>
              <w:rPr>
                <w:rFonts w:ascii="Times New Roman" w:hAnsi="Times New Roman"/>
                <w:sz w:val="24"/>
                <w:szCs w:val="24"/>
              </w:rPr>
            </w:r>
            <w:r>
              <w:rPr>
                <w:rFonts w:ascii="Times New Roman" w:hAnsi="Times New Roman"/>
                <w:sz w:val="24"/>
                <w:szCs w:val="24"/>
              </w:rPr>
            </w:r>
          </w:p>
        </w:tc>
      </w:tr>
      <w:tr>
        <w:tblPrEx/>
        <w:trPr>
          <w:jc w:val="center"/>
          <w:trHeight w:val="315"/>
        </w:trPr>
        <w:tc>
          <w:tcPr>
            <w:tcW w:w="1835" w:type="pct"/>
            <w:textDirection w:val="lrTb"/>
            <w:noWrap w:val="false"/>
          </w:tcPr>
          <w:p>
            <w:pPr>
              <w:spacing w:after="0" w:line="240" w:lineRule="auto"/>
              <w:rPr>
                <w:rFonts w:ascii="Times New Roman" w:hAnsi="Times New Roman"/>
                <w:sz w:val="24"/>
                <w:szCs w:val="24"/>
              </w:rPr>
            </w:pPr>
            <w:r>
              <w:rPr>
                <w:rFonts w:ascii="Times New Roman" w:hAnsi="Times New Roman" w:eastAsia="Times New Roman"/>
                <w:sz w:val="24"/>
                <w:szCs w:val="24"/>
              </w:rPr>
              <w:t xml:space="preserve">городской округ Иваново</w:t>
            </w:r>
            <w:r>
              <w:rPr>
                <w:rFonts w:ascii="Times New Roman" w:hAnsi="Times New Roman"/>
                <w:sz w:val="24"/>
                <w:szCs w:val="24"/>
              </w:rPr>
            </w:r>
            <w:r>
              <w:rPr>
                <w:rFonts w:ascii="Times New Roman" w:hAnsi="Times New Roman"/>
                <w:sz w:val="24"/>
                <w:szCs w:val="24"/>
              </w:rPr>
            </w:r>
          </w:p>
        </w:tc>
        <w:tc>
          <w:tcPr>
            <w:tcW w:w="772" w:type="pct"/>
            <w:textDirection w:val="lrTb"/>
            <w:noWrap w:val="false"/>
          </w:tcPr>
          <w:p>
            <w:pPr>
              <w:jc w:val="center"/>
              <w:spacing w:after="0" w:line="240" w:lineRule="auto"/>
              <w:rPr>
                <w:rFonts w:ascii="Times New Roman" w:hAnsi="Times New Roman"/>
                <w:sz w:val="24"/>
                <w:szCs w:val="24"/>
              </w:rPr>
            </w:pPr>
            <w:r>
              <w:rPr>
                <w:rFonts w:ascii="Times New Roman" w:hAnsi="Times New Roman" w:eastAsia="Times New Roman"/>
                <w:sz w:val="24"/>
                <w:szCs w:val="24"/>
              </w:rPr>
              <w:t xml:space="preserve">396</w:t>
            </w:r>
            <w:r>
              <w:rPr>
                <w:rFonts w:ascii="Times New Roman" w:hAnsi="Times New Roman"/>
                <w:sz w:val="24"/>
                <w:szCs w:val="24"/>
              </w:rPr>
            </w:r>
            <w:r>
              <w:rPr>
                <w:rFonts w:ascii="Times New Roman" w:hAnsi="Times New Roman"/>
                <w:sz w:val="24"/>
                <w:szCs w:val="24"/>
              </w:rPr>
            </w:r>
          </w:p>
        </w:tc>
        <w:tc>
          <w:tcPr>
            <w:tcW w:w="843" w:type="pct"/>
            <w:textDirection w:val="lrTb"/>
            <w:noWrap w:val="false"/>
          </w:tcPr>
          <w:p>
            <w:pPr>
              <w:jc w:val="center"/>
              <w:spacing w:after="0" w:line="240" w:lineRule="auto"/>
              <w:rPr>
                <w:rFonts w:ascii="Times New Roman" w:hAnsi="Times New Roman"/>
                <w:sz w:val="24"/>
                <w:szCs w:val="24"/>
              </w:rPr>
            </w:pPr>
            <w:r>
              <w:rPr>
                <w:rFonts w:ascii="Times New Roman" w:hAnsi="Times New Roman" w:eastAsia="Times New Roman"/>
                <w:sz w:val="24"/>
                <w:szCs w:val="24"/>
              </w:rPr>
              <w:t xml:space="preserve">331</w:t>
            </w:r>
            <w:r>
              <w:rPr>
                <w:rFonts w:ascii="Times New Roman" w:hAnsi="Times New Roman"/>
                <w:sz w:val="24"/>
                <w:szCs w:val="24"/>
              </w:rPr>
            </w:r>
            <w:r>
              <w:rPr>
                <w:rFonts w:ascii="Times New Roman" w:hAnsi="Times New Roman"/>
                <w:sz w:val="24"/>
                <w:szCs w:val="24"/>
              </w:rPr>
            </w:r>
          </w:p>
        </w:tc>
        <w:tc>
          <w:tcPr>
            <w:tcW w:w="771" w:type="pct"/>
            <w:textDirection w:val="lrTb"/>
            <w:noWrap w:val="false"/>
          </w:tcPr>
          <w:p>
            <w:pPr>
              <w:jc w:val="center"/>
              <w:spacing w:after="0" w:line="240" w:lineRule="auto"/>
              <w:rPr>
                <w:rFonts w:ascii="Times New Roman" w:hAnsi="Times New Roman"/>
                <w:sz w:val="24"/>
                <w:szCs w:val="24"/>
              </w:rPr>
            </w:pPr>
            <w:r>
              <w:rPr>
                <w:rFonts w:ascii="Times New Roman" w:hAnsi="Times New Roman" w:eastAsia="Times New Roman"/>
                <w:sz w:val="24"/>
                <w:szCs w:val="24"/>
              </w:rPr>
              <w:t xml:space="preserve">390</w:t>
            </w:r>
            <w:r>
              <w:rPr>
                <w:rFonts w:ascii="Times New Roman" w:hAnsi="Times New Roman"/>
                <w:sz w:val="24"/>
                <w:szCs w:val="24"/>
              </w:rPr>
            </w:r>
            <w:r>
              <w:rPr>
                <w:rFonts w:ascii="Times New Roman" w:hAnsi="Times New Roman"/>
                <w:sz w:val="24"/>
                <w:szCs w:val="24"/>
              </w:rPr>
            </w:r>
          </w:p>
        </w:tc>
        <w:tc>
          <w:tcPr>
            <w:tcW w:w="780" w:type="pct"/>
            <w:textDirection w:val="lrTb"/>
            <w:noWrap w:val="false"/>
          </w:tcPr>
          <w:p>
            <w:pPr>
              <w:jc w:val="center"/>
              <w:spacing w:after="0" w:line="240" w:lineRule="auto"/>
              <w:rPr>
                <w:rFonts w:ascii="Times New Roman" w:hAnsi="Times New Roman"/>
                <w:sz w:val="24"/>
                <w:szCs w:val="24"/>
              </w:rPr>
            </w:pPr>
            <w:r>
              <w:rPr>
                <w:rFonts w:ascii="Times New Roman" w:hAnsi="Times New Roman" w:eastAsia="Times New Roman"/>
                <w:sz w:val="24"/>
                <w:szCs w:val="24"/>
              </w:rPr>
              <w:t xml:space="preserve">327</w:t>
            </w:r>
            <w:r>
              <w:rPr>
                <w:rFonts w:ascii="Times New Roman" w:hAnsi="Times New Roman"/>
                <w:sz w:val="24"/>
                <w:szCs w:val="24"/>
              </w:rPr>
            </w:r>
            <w:r>
              <w:rPr>
                <w:rFonts w:ascii="Times New Roman" w:hAnsi="Times New Roman"/>
                <w:sz w:val="24"/>
                <w:szCs w:val="24"/>
              </w:rPr>
            </w:r>
          </w:p>
        </w:tc>
      </w:tr>
      <w:tr>
        <w:tblPrEx/>
        <w:trPr>
          <w:jc w:val="center"/>
        </w:trPr>
        <w:tc>
          <w:tcPr>
            <w:tcW w:w="1835" w:type="pct"/>
            <w:textDirection w:val="lrTb"/>
            <w:noWrap w:val="false"/>
          </w:tcPr>
          <w:p>
            <w:pPr>
              <w:spacing w:after="0" w:line="240" w:lineRule="auto"/>
              <w:rPr>
                <w:rFonts w:ascii="Times New Roman" w:hAnsi="Times New Roman"/>
                <w:sz w:val="24"/>
                <w:szCs w:val="24"/>
              </w:rPr>
            </w:pPr>
            <w:r>
              <w:rPr>
                <w:rFonts w:ascii="Times New Roman" w:hAnsi="Times New Roman" w:eastAsia="Times New Roman"/>
                <w:sz w:val="24"/>
                <w:szCs w:val="24"/>
              </w:rPr>
              <w:t xml:space="preserve">городской округ Кинешма</w:t>
            </w:r>
            <w:r>
              <w:rPr>
                <w:rFonts w:ascii="Times New Roman" w:hAnsi="Times New Roman"/>
                <w:sz w:val="24"/>
                <w:szCs w:val="24"/>
              </w:rPr>
            </w:r>
            <w:r>
              <w:rPr>
                <w:rFonts w:ascii="Times New Roman" w:hAnsi="Times New Roman"/>
                <w:sz w:val="24"/>
                <w:szCs w:val="24"/>
              </w:rPr>
            </w:r>
          </w:p>
        </w:tc>
        <w:tc>
          <w:tcPr>
            <w:tcW w:w="772" w:type="pct"/>
            <w:textDirection w:val="lrTb"/>
            <w:noWrap w:val="false"/>
          </w:tcPr>
          <w:p>
            <w:pPr>
              <w:jc w:val="center"/>
              <w:spacing w:after="0" w:line="240" w:lineRule="auto"/>
              <w:rPr>
                <w:rFonts w:ascii="Times New Roman" w:hAnsi="Times New Roman"/>
                <w:sz w:val="24"/>
                <w:szCs w:val="24"/>
              </w:rPr>
            </w:pPr>
            <w:r>
              <w:rPr>
                <w:rFonts w:ascii="Times New Roman" w:hAnsi="Times New Roman" w:eastAsia="Times New Roman"/>
                <w:sz w:val="24"/>
                <w:szCs w:val="24"/>
              </w:rPr>
              <w:t xml:space="preserve">127</w:t>
            </w:r>
            <w:r>
              <w:rPr>
                <w:rFonts w:ascii="Times New Roman" w:hAnsi="Times New Roman"/>
                <w:sz w:val="24"/>
                <w:szCs w:val="24"/>
              </w:rPr>
            </w:r>
            <w:r>
              <w:rPr>
                <w:rFonts w:ascii="Times New Roman" w:hAnsi="Times New Roman"/>
                <w:sz w:val="24"/>
                <w:szCs w:val="24"/>
              </w:rPr>
            </w:r>
          </w:p>
        </w:tc>
        <w:tc>
          <w:tcPr>
            <w:tcW w:w="843" w:type="pct"/>
            <w:textDirection w:val="lrTb"/>
            <w:noWrap w:val="false"/>
          </w:tcPr>
          <w:p>
            <w:pPr>
              <w:jc w:val="center"/>
              <w:spacing w:after="0" w:line="240" w:lineRule="auto"/>
              <w:rPr>
                <w:rFonts w:ascii="Times New Roman" w:hAnsi="Times New Roman"/>
                <w:sz w:val="24"/>
                <w:szCs w:val="24"/>
              </w:rPr>
            </w:pPr>
            <w:r>
              <w:rPr>
                <w:rFonts w:ascii="Times New Roman" w:hAnsi="Times New Roman" w:eastAsia="Times New Roman"/>
                <w:sz w:val="24"/>
                <w:szCs w:val="24"/>
              </w:rPr>
              <w:t xml:space="preserve">87</w:t>
            </w:r>
            <w:r>
              <w:rPr>
                <w:rFonts w:ascii="Times New Roman" w:hAnsi="Times New Roman"/>
                <w:sz w:val="24"/>
                <w:szCs w:val="24"/>
              </w:rPr>
            </w:r>
            <w:r>
              <w:rPr>
                <w:rFonts w:ascii="Times New Roman" w:hAnsi="Times New Roman"/>
                <w:sz w:val="24"/>
                <w:szCs w:val="24"/>
              </w:rPr>
            </w:r>
          </w:p>
        </w:tc>
        <w:tc>
          <w:tcPr>
            <w:tcW w:w="771" w:type="pct"/>
            <w:textDirection w:val="lrTb"/>
            <w:noWrap w:val="false"/>
          </w:tcPr>
          <w:p>
            <w:pPr>
              <w:jc w:val="center"/>
              <w:spacing w:after="0" w:line="240" w:lineRule="auto"/>
              <w:rPr>
                <w:rFonts w:ascii="Times New Roman" w:hAnsi="Times New Roman"/>
                <w:sz w:val="24"/>
                <w:szCs w:val="24"/>
              </w:rPr>
            </w:pPr>
            <w:r>
              <w:rPr>
                <w:rFonts w:ascii="Times New Roman" w:hAnsi="Times New Roman" w:eastAsia="Times New Roman"/>
                <w:sz w:val="24"/>
                <w:szCs w:val="24"/>
              </w:rPr>
              <w:t xml:space="preserve">115</w:t>
            </w:r>
            <w:r>
              <w:rPr>
                <w:rFonts w:ascii="Times New Roman" w:hAnsi="Times New Roman"/>
                <w:sz w:val="24"/>
                <w:szCs w:val="24"/>
              </w:rPr>
            </w:r>
            <w:r>
              <w:rPr>
                <w:rFonts w:ascii="Times New Roman" w:hAnsi="Times New Roman"/>
                <w:sz w:val="24"/>
                <w:szCs w:val="24"/>
              </w:rPr>
            </w:r>
          </w:p>
        </w:tc>
        <w:tc>
          <w:tcPr>
            <w:tcW w:w="780" w:type="pct"/>
            <w:textDirection w:val="lrTb"/>
            <w:noWrap w:val="false"/>
          </w:tcPr>
          <w:p>
            <w:pPr>
              <w:jc w:val="center"/>
              <w:spacing w:after="0" w:line="240" w:lineRule="auto"/>
              <w:rPr>
                <w:rFonts w:ascii="Times New Roman" w:hAnsi="Times New Roman"/>
                <w:sz w:val="24"/>
                <w:szCs w:val="24"/>
              </w:rPr>
            </w:pPr>
            <w:r>
              <w:rPr>
                <w:rFonts w:ascii="Times New Roman" w:hAnsi="Times New Roman" w:eastAsia="Times New Roman"/>
                <w:sz w:val="24"/>
                <w:szCs w:val="24"/>
              </w:rPr>
              <w:t xml:space="preserve">82</w:t>
            </w:r>
            <w:r>
              <w:rPr>
                <w:rFonts w:ascii="Times New Roman" w:hAnsi="Times New Roman"/>
                <w:sz w:val="24"/>
                <w:szCs w:val="24"/>
              </w:rPr>
            </w:r>
            <w:r>
              <w:rPr>
                <w:rFonts w:ascii="Times New Roman" w:hAnsi="Times New Roman"/>
                <w:sz w:val="24"/>
                <w:szCs w:val="24"/>
              </w:rPr>
            </w:r>
          </w:p>
        </w:tc>
      </w:tr>
      <w:tr>
        <w:tblPrEx/>
        <w:trPr>
          <w:jc w:val="center"/>
        </w:trPr>
        <w:tc>
          <w:tcPr>
            <w:tcW w:w="1835" w:type="pct"/>
            <w:textDirection w:val="lrTb"/>
            <w:noWrap w:val="false"/>
          </w:tcPr>
          <w:p>
            <w:pPr>
              <w:spacing w:after="0" w:line="240" w:lineRule="auto"/>
              <w:rPr>
                <w:rFonts w:ascii="Times New Roman" w:hAnsi="Times New Roman"/>
                <w:sz w:val="24"/>
                <w:szCs w:val="24"/>
              </w:rPr>
            </w:pPr>
            <w:r>
              <w:rPr>
                <w:rFonts w:ascii="Times New Roman" w:hAnsi="Times New Roman" w:eastAsia="Times New Roman"/>
                <w:sz w:val="24"/>
                <w:szCs w:val="24"/>
              </w:rPr>
              <w:t xml:space="preserve">городской округ Кохма</w:t>
            </w:r>
            <w:r>
              <w:rPr>
                <w:rFonts w:ascii="Times New Roman" w:hAnsi="Times New Roman"/>
                <w:sz w:val="24"/>
                <w:szCs w:val="24"/>
              </w:rPr>
            </w:r>
            <w:r>
              <w:rPr>
                <w:rFonts w:ascii="Times New Roman" w:hAnsi="Times New Roman"/>
                <w:sz w:val="24"/>
                <w:szCs w:val="24"/>
              </w:rPr>
            </w:r>
          </w:p>
        </w:tc>
        <w:tc>
          <w:tcPr>
            <w:tcW w:w="772" w:type="pct"/>
            <w:textDirection w:val="lrTb"/>
            <w:noWrap w:val="false"/>
          </w:tcPr>
          <w:p>
            <w:pPr>
              <w:jc w:val="center"/>
              <w:spacing w:after="0" w:line="240" w:lineRule="auto"/>
              <w:rPr>
                <w:rFonts w:ascii="Times New Roman" w:hAnsi="Times New Roman"/>
                <w:sz w:val="24"/>
                <w:szCs w:val="24"/>
              </w:rPr>
            </w:pPr>
            <w:r>
              <w:rPr>
                <w:rFonts w:ascii="Times New Roman" w:hAnsi="Times New Roman" w:eastAsia="Times New Roman"/>
                <w:sz w:val="24"/>
                <w:szCs w:val="24"/>
              </w:rPr>
              <w:t xml:space="preserve">29</w:t>
            </w:r>
            <w:r>
              <w:rPr>
                <w:rFonts w:ascii="Times New Roman" w:hAnsi="Times New Roman"/>
                <w:sz w:val="24"/>
                <w:szCs w:val="24"/>
              </w:rPr>
            </w:r>
            <w:r>
              <w:rPr>
                <w:rFonts w:ascii="Times New Roman" w:hAnsi="Times New Roman"/>
                <w:sz w:val="24"/>
                <w:szCs w:val="24"/>
              </w:rPr>
            </w:r>
          </w:p>
        </w:tc>
        <w:tc>
          <w:tcPr>
            <w:tcW w:w="843" w:type="pct"/>
            <w:textDirection w:val="lrTb"/>
            <w:noWrap w:val="false"/>
          </w:tcPr>
          <w:p>
            <w:pPr>
              <w:jc w:val="center"/>
              <w:spacing w:after="0" w:line="240" w:lineRule="auto"/>
              <w:rPr>
                <w:rFonts w:ascii="Times New Roman" w:hAnsi="Times New Roman"/>
                <w:sz w:val="24"/>
                <w:szCs w:val="24"/>
              </w:rPr>
            </w:pPr>
            <w:r>
              <w:rPr>
                <w:rFonts w:ascii="Times New Roman" w:hAnsi="Times New Roman" w:eastAsia="Times New Roman"/>
                <w:sz w:val="24"/>
                <w:szCs w:val="24"/>
              </w:rPr>
              <w:t xml:space="preserve">21</w:t>
            </w:r>
            <w:r>
              <w:rPr>
                <w:rFonts w:ascii="Times New Roman" w:hAnsi="Times New Roman"/>
                <w:sz w:val="24"/>
                <w:szCs w:val="24"/>
              </w:rPr>
            </w:r>
            <w:r>
              <w:rPr>
                <w:rFonts w:ascii="Times New Roman" w:hAnsi="Times New Roman"/>
                <w:sz w:val="24"/>
                <w:szCs w:val="24"/>
              </w:rPr>
            </w:r>
          </w:p>
        </w:tc>
        <w:tc>
          <w:tcPr>
            <w:tcW w:w="771" w:type="pct"/>
            <w:textDirection w:val="lrTb"/>
            <w:noWrap w:val="false"/>
          </w:tcPr>
          <w:p>
            <w:pPr>
              <w:jc w:val="center"/>
              <w:spacing w:after="0" w:line="240" w:lineRule="auto"/>
              <w:rPr>
                <w:rFonts w:ascii="Times New Roman" w:hAnsi="Times New Roman"/>
                <w:sz w:val="24"/>
                <w:szCs w:val="24"/>
              </w:rPr>
            </w:pPr>
            <w:r>
              <w:rPr>
                <w:rFonts w:ascii="Times New Roman" w:hAnsi="Times New Roman" w:eastAsia="Times New Roman"/>
                <w:sz w:val="24"/>
                <w:szCs w:val="24"/>
              </w:rPr>
              <w:t xml:space="preserve">28</w:t>
            </w:r>
            <w:r>
              <w:rPr>
                <w:rFonts w:ascii="Times New Roman" w:hAnsi="Times New Roman"/>
                <w:sz w:val="24"/>
                <w:szCs w:val="24"/>
              </w:rPr>
            </w:r>
            <w:r>
              <w:rPr>
                <w:rFonts w:ascii="Times New Roman" w:hAnsi="Times New Roman"/>
                <w:sz w:val="24"/>
                <w:szCs w:val="24"/>
              </w:rPr>
            </w:r>
          </w:p>
        </w:tc>
        <w:tc>
          <w:tcPr>
            <w:tcW w:w="780" w:type="pct"/>
            <w:textDirection w:val="lrTb"/>
            <w:noWrap w:val="false"/>
          </w:tcPr>
          <w:p>
            <w:pPr>
              <w:jc w:val="center"/>
              <w:spacing w:after="0" w:line="240" w:lineRule="auto"/>
              <w:rPr>
                <w:rFonts w:ascii="Times New Roman" w:hAnsi="Times New Roman"/>
                <w:sz w:val="24"/>
                <w:szCs w:val="24"/>
              </w:rPr>
            </w:pPr>
            <w:r>
              <w:rPr>
                <w:rFonts w:ascii="Times New Roman" w:hAnsi="Times New Roman" w:eastAsia="Times New Roman"/>
                <w:sz w:val="24"/>
                <w:szCs w:val="24"/>
              </w:rPr>
              <w:t xml:space="preserve">16</w:t>
            </w:r>
            <w:r>
              <w:rPr>
                <w:rFonts w:ascii="Times New Roman" w:hAnsi="Times New Roman"/>
                <w:sz w:val="24"/>
                <w:szCs w:val="24"/>
              </w:rPr>
            </w:r>
            <w:r>
              <w:rPr>
                <w:rFonts w:ascii="Times New Roman" w:hAnsi="Times New Roman"/>
                <w:sz w:val="24"/>
                <w:szCs w:val="24"/>
              </w:rPr>
            </w:r>
          </w:p>
        </w:tc>
      </w:tr>
      <w:tr>
        <w:tblPrEx/>
        <w:trPr>
          <w:jc w:val="center"/>
        </w:trPr>
        <w:tc>
          <w:tcPr>
            <w:tcW w:w="1835" w:type="pct"/>
            <w:textDirection w:val="lrTb"/>
            <w:noWrap w:val="false"/>
          </w:tcPr>
          <w:p>
            <w:pPr>
              <w:spacing w:after="0" w:line="240" w:lineRule="auto"/>
              <w:rPr>
                <w:rFonts w:ascii="Times New Roman" w:hAnsi="Times New Roman"/>
                <w:sz w:val="24"/>
                <w:szCs w:val="24"/>
              </w:rPr>
            </w:pPr>
            <w:r>
              <w:rPr>
                <w:rFonts w:ascii="Times New Roman" w:hAnsi="Times New Roman" w:eastAsia="Times New Roman"/>
                <w:sz w:val="24"/>
                <w:szCs w:val="24"/>
              </w:rPr>
              <w:t xml:space="preserve">городской округ Тейково</w:t>
            </w:r>
            <w:r>
              <w:rPr>
                <w:rFonts w:ascii="Times New Roman" w:hAnsi="Times New Roman"/>
                <w:sz w:val="24"/>
                <w:szCs w:val="24"/>
              </w:rPr>
            </w:r>
            <w:r>
              <w:rPr>
                <w:rFonts w:ascii="Times New Roman" w:hAnsi="Times New Roman"/>
                <w:sz w:val="24"/>
                <w:szCs w:val="24"/>
              </w:rPr>
            </w:r>
          </w:p>
        </w:tc>
        <w:tc>
          <w:tcPr>
            <w:tcW w:w="772" w:type="pct"/>
            <w:textDirection w:val="lrTb"/>
            <w:noWrap w:val="false"/>
          </w:tcPr>
          <w:p>
            <w:pPr>
              <w:jc w:val="center"/>
              <w:spacing w:after="0" w:line="240" w:lineRule="auto"/>
              <w:rPr>
                <w:rFonts w:ascii="Times New Roman" w:hAnsi="Times New Roman"/>
                <w:sz w:val="24"/>
                <w:szCs w:val="24"/>
              </w:rPr>
            </w:pPr>
            <w:r>
              <w:rPr>
                <w:rFonts w:ascii="Times New Roman" w:hAnsi="Times New Roman" w:eastAsia="Times New Roman"/>
                <w:sz w:val="24"/>
                <w:szCs w:val="24"/>
              </w:rPr>
              <w:t xml:space="preserve">53</w:t>
            </w:r>
            <w:r>
              <w:rPr>
                <w:rFonts w:ascii="Times New Roman" w:hAnsi="Times New Roman"/>
                <w:sz w:val="24"/>
                <w:szCs w:val="24"/>
              </w:rPr>
            </w:r>
            <w:r>
              <w:rPr>
                <w:rFonts w:ascii="Times New Roman" w:hAnsi="Times New Roman"/>
                <w:sz w:val="24"/>
                <w:szCs w:val="24"/>
              </w:rPr>
            </w:r>
          </w:p>
        </w:tc>
        <w:tc>
          <w:tcPr>
            <w:tcW w:w="843" w:type="pct"/>
            <w:textDirection w:val="lrTb"/>
            <w:noWrap w:val="false"/>
          </w:tcPr>
          <w:p>
            <w:pPr>
              <w:jc w:val="center"/>
              <w:spacing w:after="0" w:line="240" w:lineRule="auto"/>
              <w:rPr>
                <w:rFonts w:ascii="Times New Roman" w:hAnsi="Times New Roman"/>
                <w:sz w:val="24"/>
                <w:szCs w:val="24"/>
              </w:rPr>
            </w:pPr>
            <w:r>
              <w:rPr>
                <w:rFonts w:ascii="Times New Roman" w:hAnsi="Times New Roman" w:eastAsia="Times New Roman"/>
                <w:sz w:val="24"/>
                <w:szCs w:val="24"/>
              </w:rPr>
              <w:t xml:space="preserve">40</w:t>
            </w:r>
            <w:r>
              <w:rPr>
                <w:rFonts w:ascii="Times New Roman" w:hAnsi="Times New Roman"/>
                <w:sz w:val="24"/>
                <w:szCs w:val="24"/>
              </w:rPr>
            </w:r>
            <w:r>
              <w:rPr>
                <w:rFonts w:ascii="Times New Roman" w:hAnsi="Times New Roman"/>
                <w:sz w:val="24"/>
                <w:szCs w:val="24"/>
              </w:rPr>
            </w:r>
          </w:p>
        </w:tc>
        <w:tc>
          <w:tcPr>
            <w:tcW w:w="771" w:type="pct"/>
            <w:textDirection w:val="lrTb"/>
            <w:noWrap w:val="false"/>
          </w:tcPr>
          <w:p>
            <w:pPr>
              <w:jc w:val="center"/>
              <w:spacing w:after="0" w:line="240" w:lineRule="auto"/>
              <w:rPr>
                <w:rFonts w:ascii="Times New Roman" w:hAnsi="Times New Roman"/>
                <w:sz w:val="24"/>
                <w:szCs w:val="24"/>
              </w:rPr>
            </w:pPr>
            <w:r>
              <w:rPr>
                <w:rFonts w:ascii="Times New Roman" w:hAnsi="Times New Roman" w:eastAsia="Times New Roman"/>
                <w:sz w:val="24"/>
                <w:szCs w:val="24"/>
              </w:rPr>
              <w:t xml:space="preserve">48</w:t>
            </w:r>
            <w:r>
              <w:rPr>
                <w:rFonts w:ascii="Times New Roman" w:hAnsi="Times New Roman"/>
                <w:sz w:val="24"/>
                <w:szCs w:val="24"/>
              </w:rPr>
            </w:r>
            <w:r>
              <w:rPr>
                <w:rFonts w:ascii="Times New Roman" w:hAnsi="Times New Roman"/>
                <w:sz w:val="24"/>
                <w:szCs w:val="24"/>
              </w:rPr>
            </w:r>
          </w:p>
        </w:tc>
        <w:tc>
          <w:tcPr>
            <w:tcW w:w="780" w:type="pct"/>
            <w:textDirection w:val="lrTb"/>
            <w:noWrap w:val="false"/>
          </w:tcPr>
          <w:p>
            <w:pPr>
              <w:jc w:val="center"/>
              <w:spacing w:after="0" w:line="240" w:lineRule="auto"/>
              <w:rPr>
                <w:rFonts w:ascii="Times New Roman" w:hAnsi="Times New Roman"/>
                <w:sz w:val="24"/>
                <w:szCs w:val="24"/>
              </w:rPr>
            </w:pPr>
            <w:r>
              <w:rPr>
                <w:rFonts w:ascii="Times New Roman" w:hAnsi="Times New Roman" w:eastAsia="Times New Roman"/>
                <w:sz w:val="24"/>
                <w:szCs w:val="24"/>
              </w:rPr>
              <w:t xml:space="preserve">37</w:t>
            </w:r>
            <w:r>
              <w:rPr>
                <w:rFonts w:ascii="Times New Roman" w:hAnsi="Times New Roman"/>
                <w:sz w:val="24"/>
                <w:szCs w:val="24"/>
              </w:rPr>
            </w:r>
            <w:r>
              <w:rPr>
                <w:rFonts w:ascii="Times New Roman" w:hAnsi="Times New Roman"/>
                <w:sz w:val="24"/>
                <w:szCs w:val="24"/>
              </w:rPr>
            </w:r>
          </w:p>
        </w:tc>
      </w:tr>
      <w:tr>
        <w:tblPrEx/>
        <w:trPr>
          <w:jc w:val="center"/>
        </w:trPr>
        <w:tc>
          <w:tcPr>
            <w:tcW w:w="1835" w:type="pct"/>
            <w:textDirection w:val="lrTb"/>
            <w:noWrap w:val="false"/>
          </w:tcPr>
          <w:p>
            <w:pPr>
              <w:spacing w:after="0" w:line="240" w:lineRule="auto"/>
              <w:rPr>
                <w:rFonts w:ascii="Times New Roman" w:hAnsi="Times New Roman"/>
                <w:sz w:val="24"/>
                <w:szCs w:val="24"/>
              </w:rPr>
            </w:pPr>
            <w:r>
              <w:rPr>
                <w:rFonts w:ascii="Times New Roman" w:hAnsi="Times New Roman" w:eastAsia="Times New Roman"/>
                <w:sz w:val="24"/>
                <w:szCs w:val="24"/>
              </w:rPr>
              <w:t xml:space="preserve">городской округ Шуя</w:t>
            </w:r>
            <w:r>
              <w:rPr>
                <w:rFonts w:ascii="Times New Roman" w:hAnsi="Times New Roman"/>
                <w:sz w:val="24"/>
                <w:szCs w:val="24"/>
              </w:rPr>
            </w:r>
            <w:r>
              <w:rPr>
                <w:rFonts w:ascii="Times New Roman" w:hAnsi="Times New Roman"/>
                <w:sz w:val="24"/>
                <w:szCs w:val="24"/>
              </w:rPr>
            </w:r>
          </w:p>
        </w:tc>
        <w:tc>
          <w:tcPr>
            <w:tcW w:w="772" w:type="pct"/>
            <w:textDirection w:val="lrTb"/>
            <w:noWrap w:val="false"/>
          </w:tcPr>
          <w:p>
            <w:pPr>
              <w:jc w:val="center"/>
              <w:spacing w:after="0" w:line="240" w:lineRule="auto"/>
              <w:rPr>
                <w:rFonts w:ascii="Times New Roman" w:hAnsi="Times New Roman"/>
                <w:sz w:val="24"/>
                <w:szCs w:val="24"/>
              </w:rPr>
            </w:pPr>
            <w:r>
              <w:rPr>
                <w:rFonts w:ascii="Times New Roman" w:hAnsi="Times New Roman" w:eastAsia="Times New Roman"/>
                <w:sz w:val="24"/>
                <w:szCs w:val="24"/>
              </w:rPr>
              <w:t xml:space="preserve">128</w:t>
            </w:r>
            <w:r>
              <w:rPr>
                <w:rFonts w:ascii="Times New Roman" w:hAnsi="Times New Roman"/>
                <w:sz w:val="24"/>
                <w:szCs w:val="24"/>
              </w:rPr>
            </w:r>
            <w:r>
              <w:rPr>
                <w:rFonts w:ascii="Times New Roman" w:hAnsi="Times New Roman"/>
                <w:sz w:val="24"/>
                <w:szCs w:val="24"/>
              </w:rPr>
            </w:r>
          </w:p>
        </w:tc>
        <w:tc>
          <w:tcPr>
            <w:tcW w:w="843" w:type="pct"/>
            <w:textDirection w:val="lrTb"/>
            <w:noWrap w:val="false"/>
          </w:tcPr>
          <w:p>
            <w:pPr>
              <w:jc w:val="center"/>
              <w:spacing w:after="0" w:line="240" w:lineRule="auto"/>
              <w:rPr>
                <w:rFonts w:ascii="Times New Roman" w:hAnsi="Times New Roman"/>
                <w:sz w:val="24"/>
                <w:szCs w:val="24"/>
              </w:rPr>
            </w:pPr>
            <w:r>
              <w:rPr>
                <w:rFonts w:ascii="Times New Roman" w:hAnsi="Times New Roman" w:eastAsia="Times New Roman"/>
                <w:sz w:val="24"/>
                <w:szCs w:val="24"/>
              </w:rPr>
              <w:t xml:space="preserve">86</w:t>
            </w:r>
            <w:r>
              <w:rPr>
                <w:rFonts w:ascii="Times New Roman" w:hAnsi="Times New Roman"/>
                <w:sz w:val="24"/>
                <w:szCs w:val="24"/>
              </w:rPr>
            </w:r>
            <w:r>
              <w:rPr>
                <w:rFonts w:ascii="Times New Roman" w:hAnsi="Times New Roman"/>
                <w:sz w:val="24"/>
                <w:szCs w:val="24"/>
              </w:rPr>
            </w:r>
          </w:p>
        </w:tc>
        <w:tc>
          <w:tcPr>
            <w:tcW w:w="771" w:type="pct"/>
            <w:textDirection w:val="lrTb"/>
            <w:noWrap w:val="false"/>
          </w:tcPr>
          <w:p>
            <w:pPr>
              <w:jc w:val="center"/>
              <w:spacing w:after="0" w:line="240" w:lineRule="auto"/>
              <w:rPr>
                <w:rFonts w:ascii="Times New Roman" w:hAnsi="Times New Roman"/>
                <w:sz w:val="24"/>
                <w:szCs w:val="24"/>
              </w:rPr>
            </w:pPr>
            <w:r>
              <w:rPr>
                <w:rFonts w:ascii="Times New Roman" w:hAnsi="Times New Roman" w:eastAsia="Times New Roman"/>
                <w:sz w:val="24"/>
                <w:szCs w:val="24"/>
              </w:rPr>
              <w:t xml:space="preserve">117</w:t>
            </w:r>
            <w:r>
              <w:rPr>
                <w:rFonts w:ascii="Times New Roman" w:hAnsi="Times New Roman"/>
                <w:sz w:val="24"/>
                <w:szCs w:val="24"/>
              </w:rPr>
            </w:r>
            <w:r>
              <w:rPr>
                <w:rFonts w:ascii="Times New Roman" w:hAnsi="Times New Roman"/>
                <w:sz w:val="24"/>
                <w:szCs w:val="24"/>
              </w:rPr>
            </w:r>
          </w:p>
        </w:tc>
        <w:tc>
          <w:tcPr>
            <w:tcW w:w="780" w:type="pct"/>
            <w:textDirection w:val="lrTb"/>
            <w:noWrap w:val="false"/>
          </w:tcPr>
          <w:p>
            <w:pPr>
              <w:jc w:val="center"/>
              <w:spacing w:after="0" w:line="240" w:lineRule="auto"/>
              <w:rPr>
                <w:rFonts w:ascii="Times New Roman" w:hAnsi="Times New Roman"/>
                <w:sz w:val="24"/>
                <w:szCs w:val="24"/>
              </w:rPr>
            </w:pPr>
            <w:r>
              <w:rPr>
                <w:rFonts w:ascii="Times New Roman" w:hAnsi="Times New Roman" w:eastAsia="Times New Roman"/>
                <w:sz w:val="24"/>
                <w:szCs w:val="24"/>
              </w:rPr>
              <w:t xml:space="preserve">84</w:t>
            </w:r>
            <w:r>
              <w:rPr>
                <w:rFonts w:ascii="Times New Roman" w:hAnsi="Times New Roman"/>
                <w:sz w:val="24"/>
                <w:szCs w:val="24"/>
              </w:rPr>
            </w:r>
            <w:r>
              <w:rPr>
                <w:rFonts w:ascii="Times New Roman" w:hAnsi="Times New Roman"/>
                <w:sz w:val="24"/>
                <w:szCs w:val="24"/>
              </w:rPr>
            </w:r>
          </w:p>
        </w:tc>
      </w:tr>
      <w:tr>
        <w:tblPrEx/>
        <w:trPr>
          <w:jc w:val="center"/>
        </w:trPr>
        <w:tc>
          <w:tcPr>
            <w:tcW w:w="1835" w:type="pct"/>
            <w:textDirection w:val="lrTb"/>
            <w:noWrap w:val="false"/>
          </w:tcPr>
          <w:p>
            <w:pPr>
              <w:spacing w:after="0" w:line="240" w:lineRule="auto"/>
              <w:rPr>
                <w:rFonts w:ascii="Times New Roman" w:hAnsi="Times New Roman"/>
                <w:sz w:val="24"/>
                <w:szCs w:val="24"/>
              </w:rPr>
            </w:pPr>
            <w:r>
              <w:rPr>
                <w:rFonts w:ascii="Times New Roman" w:hAnsi="Times New Roman" w:eastAsia="Times New Roman"/>
                <w:sz w:val="24"/>
                <w:szCs w:val="24"/>
              </w:rPr>
              <w:t xml:space="preserve">Верхнеландеховский</w:t>
            </w:r>
            <w:r>
              <w:rPr>
                <w:rFonts w:ascii="Times New Roman" w:hAnsi="Times New Roman" w:eastAsia="Times New Roman"/>
                <w:sz w:val="24"/>
                <w:szCs w:val="24"/>
              </w:rPr>
              <w:t xml:space="preserve"> муниципальный район</w:t>
            </w:r>
            <w:r>
              <w:rPr>
                <w:rFonts w:ascii="Times New Roman" w:hAnsi="Times New Roman"/>
                <w:sz w:val="24"/>
                <w:szCs w:val="24"/>
              </w:rPr>
            </w:r>
            <w:r>
              <w:rPr>
                <w:rFonts w:ascii="Times New Roman" w:hAnsi="Times New Roman"/>
                <w:sz w:val="24"/>
                <w:szCs w:val="24"/>
              </w:rPr>
            </w:r>
          </w:p>
        </w:tc>
        <w:tc>
          <w:tcPr>
            <w:tcW w:w="772" w:type="pct"/>
            <w:textDirection w:val="lrTb"/>
            <w:noWrap w:val="false"/>
          </w:tcPr>
          <w:p>
            <w:pPr>
              <w:jc w:val="center"/>
              <w:spacing w:after="0" w:line="240" w:lineRule="auto"/>
              <w:rPr>
                <w:rFonts w:ascii="Times New Roman" w:hAnsi="Times New Roman"/>
                <w:sz w:val="24"/>
                <w:szCs w:val="24"/>
              </w:rPr>
            </w:pPr>
            <w:r>
              <w:rPr>
                <w:rFonts w:ascii="Times New Roman" w:hAnsi="Times New Roman" w:eastAsia="Times New Roman"/>
                <w:sz w:val="24"/>
                <w:szCs w:val="24"/>
              </w:rPr>
              <w:t xml:space="preserve">11</w:t>
            </w:r>
            <w:r>
              <w:rPr>
                <w:rFonts w:ascii="Times New Roman" w:hAnsi="Times New Roman"/>
                <w:sz w:val="24"/>
                <w:szCs w:val="24"/>
              </w:rPr>
            </w:r>
            <w:r>
              <w:rPr>
                <w:rFonts w:ascii="Times New Roman" w:hAnsi="Times New Roman"/>
                <w:sz w:val="24"/>
                <w:szCs w:val="24"/>
              </w:rPr>
            </w:r>
          </w:p>
        </w:tc>
        <w:tc>
          <w:tcPr>
            <w:tcW w:w="843" w:type="pct"/>
            <w:textDirection w:val="lrTb"/>
            <w:noWrap w:val="false"/>
          </w:tcPr>
          <w:p>
            <w:pPr>
              <w:jc w:val="center"/>
              <w:spacing w:after="0" w:line="240" w:lineRule="auto"/>
              <w:rPr>
                <w:rFonts w:ascii="Times New Roman" w:hAnsi="Times New Roman"/>
                <w:sz w:val="24"/>
                <w:szCs w:val="24"/>
              </w:rPr>
            </w:pPr>
            <w:r>
              <w:rPr>
                <w:rFonts w:ascii="Times New Roman" w:hAnsi="Times New Roman" w:eastAsia="Times New Roman"/>
                <w:sz w:val="24"/>
                <w:szCs w:val="24"/>
              </w:rPr>
              <w:t xml:space="preserve">9</w:t>
            </w:r>
            <w:r>
              <w:rPr>
                <w:rFonts w:ascii="Times New Roman" w:hAnsi="Times New Roman"/>
                <w:sz w:val="24"/>
                <w:szCs w:val="24"/>
              </w:rPr>
            </w:r>
            <w:r>
              <w:rPr>
                <w:rFonts w:ascii="Times New Roman" w:hAnsi="Times New Roman"/>
                <w:sz w:val="24"/>
                <w:szCs w:val="24"/>
              </w:rPr>
            </w:r>
          </w:p>
        </w:tc>
        <w:tc>
          <w:tcPr>
            <w:tcW w:w="771" w:type="pct"/>
            <w:textDirection w:val="lrTb"/>
            <w:noWrap w:val="false"/>
          </w:tcPr>
          <w:p>
            <w:pPr>
              <w:jc w:val="center"/>
              <w:spacing w:after="0" w:line="240" w:lineRule="auto"/>
              <w:rPr>
                <w:rFonts w:ascii="Times New Roman" w:hAnsi="Times New Roman"/>
                <w:sz w:val="24"/>
                <w:szCs w:val="24"/>
              </w:rPr>
            </w:pPr>
            <w:r>
              <w:rPr>
                <w:rFonts w:ascii="Times New Roman" w:hAnsi="Times New Roman" w:eastAsia="Times New Roman"/>
                <w:sz w:val="24"/>
                <w:szCs w:val="24"/>
              </w:rPr>
              <w:t xml:space="preserve">10</w:t>
            </w:r>
            <w:r>
              <w:rPr>
                <w:rFonts w:ascii="Times New Roman" w:hAnsi="Times New Roman"/>
                <w:sz w:val="24"/>
                <w:szCs w:val="24"/>
              </w:rPr>
            </w:r>
            <w:r>
              <w:rPr>
                <w:rFonts w:ascii="Times New Roman" w:hAnsi="Times New Roman"/>
                <w:sz w:val="24"/>
                <w:szCs w:val="24"/>
              </w:rPr>
            </w:r>
          </w:p>
        </w:tc>
        <w:tc>
          <w:tcPr>
            <w:tcW w:w="780" w:type="pct"/>
            <w:textDirection w:val="lrTb"/>
            <w:noWrap w:val="false"/>
          </w:tcPr>
          <w:p>
            <w:pPr>
              <w:jc w:val="center"/>
              <w:spacing w:after="0" w:line="240" w:lineRule="auto"/>
              <w:rPr>
                <w:rFonts w:ascii="Times New Roman" w:hAnsi="Times New Roman"/>
                <w:sz w:val="24"/>
                <w:szCs w:val="24"/>
              </w:rPr>
            </w:pPr>
            <w:r>
              <w:rPr>
                <w:rFonts w:ascii="Times New Roman" w:hAnsi="Times New Roman" w:eastAsia="Times New Roman"/>
                <w:sz w:val="24"/>
                <w:szCs w:val="24"/>
              </w:rPr>
              <w:t xml:space="preserve">8</w:t>
            </w:r>
            <w:r>
              <w:rPr>
                <w:rFonts w:ascii="Times New Roman" w:hAnsi="Times New Roman"/>
                <w:sz w:val="24"/>
                <w:szCs w:val="24"/>
              </w:rPr>
            </w:r>
            <w:r>
              <w:rPr>
                <w:rFonts w:ascii="Times New Roman" w:hAnsi="Times New Roman"/>
                <w:sz w:val="24"/>
                <w:szCs w:val="24"/>
              </w:rPr>
            </w:r>
          </w:p>
        </w:tc>
      </w:tr>
      <w:tr>
        <w:tblPrEx/>
        <w:trPr>
          <w:jc w:val="center"/>
        </w:trPr>
        <w:tc>
          <w:tcPr>
            <w:tcW w:w="1835" w:type="pct"/>
            <w:textDirection w:val="lrTb"/>
            <w:noWrap w:val="false"/>
          </w:tcPr>
          <w:p>
            <w:pPr>
              <w:spacing w:after="0" w:line="240" w:lineRule="auto"/>
              <w:rPr>
                <w:rFonts w:ascii="Times New Roman" w:hAnsi="Times New Roman"/>
                <w:sz w:val="24"/>
                <w:szCs w:val="24"/>
              </w:rPr>
            </w:pPr>
            <w:r>
              <w:rPr>
                <w:rFonts w:ascii="Times New Roman" w:hAnsi="Times New Roman" w:eastAsia="Times New Roman"/>
                <w:sz w:val="24"/>
                <w:szCs w:val="24"/>
              </w:rPr>
              <w:t xml:space="preserve">Вичугский</w:t>
            </w:r>
            <w:r>
              <w:rPr>
                <w:rFonts w:ascii="Times New Roman" w:hAnsi="Times New Roman" w:eastAsia="Times New Roman"/>
                <w:sz w:val="24"/>
                <w:szCs w:val="24"/>
              </w:rPr>
              <w:t xml:space="preserve"> муниципальный район </w:t>
            </w:r>
            <w:r>
              <w:rPr>
                <w:rFonts w:ascii="Times New Roman" w:hAnsi="Times New Roman"/>
                <w:sz w:val="24"/>
                <w:szCs w:val="24"/>
              </w:rPr>
            </w:r>
            <w:r>
              <w:rPr>
                <w:rFonts w:ascii="Times New Roman" w:hAnsi="Times New Roman"/>
                <w:sz w:val="24"/>
                <w:szCs w:val="24"/>
              </w:rPr>
            </w:r>
          </w:p>
        </w:tc>
        <w:tc>
          <w:tcPr>
            <w:tcW w:w="772" w:type="pct"/>
            <w:textDirection w:val="lrTb"/>
            <w:noWrap w:val="false"/>
          </w:tcPr>
          <w:p>
            <w:pPr>
              <w:jc w:val="center"/>
              <w:spacing w:after="0" w:line="240" w:lineRule="auto"/>
              <w:rPr>
                <w:rFonts w:ascii="Times New Roman" w:hAnsi="Times New Roman"/>
                <w:sz w:val="24"/>
                <w:szCs w:val="24"/>
              </w:rPr>
            </w:pPr>
            <w:r>
              <w:rPr>
                <w:rFonts w:ascii="Times New Roman" w:hAnsi="Times New Roman" w:eastAsia="Times New Roman"/>
                <w:sz w:val="24"/>
                <w:szCs w:val="24"/>
              </w:rPr>
              <w:t xml:space="preserve">83</w:t>
            </w:r>
            <w:r>
              <w:rPr>
                <w:rFonts w:ascii="Times New Roman" w:hAnsi="Times New Roman"/>
                <w:sz w:val="24"/>
                <w:szCs w:val="24"/>
              </w:rPr>
            </w:r>
            <w:r>
              <w:rPr>
                <w:rFonts w:ascii="Times New Roman" w:hAnsi="Times New Roman"/>
                <w:sz w:val="24"/>
                <w:szCs w:val="24"/>
              </w:rPr>
            </w:r>
          </w:p>
        </w:tc>
        <w:tc>
          <w:tcPr>
            <w:tcW w:w="843" w:type="pct"/>
            <w:textDirection w:val="lrTb"/>
            <w:noWrap w:val="false"/>
          </w:tcPr>
          <w:p>
            <w:pPr>
              <w:jc w:val="center"/>
              <w:spacing w:after="0" w:line="240" w:lineRule="auto"/>
              <w:rPr>
                <w:rFonts w:ascii="Times New Roman" w:hAnsi="Times New Roman"/>
                <w:sz w:val="24"/>
                <w:szCs w:val="24"/>
              </w:rPr>
            </w:pPr>
            <w:r>
              <w:rPr>
                <w:rFonts w:ascii="Times New Roman" w:hAnsi="Times New Roman" w:eastAsia="Times New Roman"/>
                <w:sz w:val="24"/>
                <w:szCs w:val="24"/>
              </w:rPr>
              <w:t xml:space="preserve">65</w:t>
            </w:r>
            <w:r>
              <w:rPr>
                <w:rFonts w:ascii="Times New Roman" w:hAnsi="Times New Roman"/>
                <w:sz w:val="24"/>
                <w:szCs w:val="24"/>
              </w:rPr>
            </w:r>
            <w:r>
              <w:rPr>
                <w:rFonts w:ascii="Times New Roman" w:hAnsi="Times New Roman"/>
                <w:sz w:val="24"/>
                <w:szCs w:val="24"/>
              </w:rPr>
            </w:r>
          </w:p>
        </w:tc>
        <w:tc>
          <w:tcPr>
            <w:tcW w:w="771" w:type="pct"/>
            <w:textDirection w:val="lrTb"/>
            <w:noWrap w:val="false"/>
          </w:tcPr>
          <w:p>
            <w:pPr>
              <w:jc w:val="center"/>
              <w:spacing w:after="0" w:line="240" w:lineRule="auto"/>
              <w:rPr>
                <w:rFonts w:ascii="Times New Roman" w:hAnsi="Times New Roman"/>
                <w:sz w:val="24"/>
                <w:szCs w:val="24"/>
              </w:rPr>
            </w:pPr>
            <w:r>
              <w:rPr>
                <w:rFonts w:ascii="Times New Roman" w:hAnsi="Times New Roman" w:eastAsia="Times New Roman"/>
                <w:sz w:val="24"/>
                <w:szCs w:val="24"/>
              </w:rPr>
              <w:t xml:space="preserve">72</w:t>
            </w:r>
            <w:r>
              <w:rPr>
                <w:rFonts w:ascii="Times New Roman" w:hAnsi="Times New Roman"/>
                <w:sz w:val="24"/>
                <w:szCs w:val="24"/>
              </w:rPr>
            </w:r>
            <w:r>
              <w:rPr>
                <w:rFonts w:ascii="Times New Roman" w:hAnsi="Times New Roman"/>
                <w:sz w:val="24"/>
                <w:szCs w:val="24"/>
              </w:rPr>
            </w:r>
          </w:p>
        </w:tc>
        <w:tc>
          <w:tcPr>
            <w:tcW w:w="780" w:type="pct"/>
            <w:textDirection w:val="lrTb"/>
            <w:noWrap w:val="false"/>
          </w:tcPr>
          <w:p>
            <w:pPr>
              <w:jc w:val="center"/>
              <w:spacing w:after="0" w:line="240" w:lineRule="auto"/>
              <w:rPr>
                <w:rFonts w:ascii="Times New Roman" w:hAnsi="Times New Roman"/>
                <w:sz w:val="24"/>
                <w:szCs w:val="24"/>
              </w:rPr>
            </w:pPr>
            <w:r>
              <w:rPr>
                <w:rFonts w:ascii="Times New Roman" w:hAnsi="Times New Roman" w:eastAsia="Times New Roman"/>
                <w:sz w:val="24"/>
                <w:szCs w:val="24"/>
              </w:rPr>
              <w:t xml:space="preserve">60</w:t>
            </w:r>
            <w:r>
              <w:rPr>
                <w:rFonts w:ascii="Times New Roman" w:hAnsi="Times New Roman"/>
                <w:sz w:val="24"/>
                <w:szCs w:val="24"/>
              </w:rPr>
            </w:r>
            <w:r>
              <w:rPr>
                <w:rFonts w:ascii="Times New Roman" w:hAnsi="Times New Roman"/>
                <w:sz w:val="24"/>
                <w:szCs w:val="24"/>
              </w:rPr>
            </w:r>
          </w:p>
        </w:tc>
      </w:tr>
      <w:tr>
        <w:tblPrEx/>
        <w:trPr>
          <w:jc w:val="center"/>
        </w:trPr>
        <w:tc>
          <w:tcPr>
            <w:tcW w:w="1835" w:type="pct"/>
            <w:textDirection w:val="lrTb"/>
            <w:noWrap w:val="false"/>
          </w:tcPr>
          <w:p>
            <w:pPr>
              <w:spacing w:after="0" w:line="240" w:lineRule="auto"/>
              <w:rPr>
                <w:rFonts w:ascii="Times New Roman" w:hAnsi="Times New Roman"/>
                <w:sz w:val="24"/>
                <w:szCs w:val="24"/>
              </w:rPr>
            </w:pPr>
            <w:r>
              <w:rPr>
                <w:rFonts w:ascii="Times New Roman" w:hAnsi="Times New Roman" w:eastAsia="Times New Roman"/>
                <w:sz w:val="24"/>
                <w:szCs w:val="24"/>
              </w:rPr>
              <w:t xml:space="preserve">Гаврилово-Посадский</w:t>
            </w:r>
            <w:r>
              <w:rPr>
                <w:rFonts w:ascii="Times New Roman" w:hAnsi="Times New Roman" w:eastAsia="Times New Roman"/>
                <w:sz w:val="24"/>
                <w:szCs w:val="24"/>
              </w:rPr>
              <w:t xml:space="preserve"> </w:t>
            </w:r>
            <w:r>
              <w:rPr>
                <w:rFonts w:ascii="Times New Roman" w:hAnsi="Times New Roman" w:eastAsia="Times New Roman"/>
                <w:sz w:val="24"/>
                <w:szCs w:val="24"/>
              </w:rPr>
              <w:t xml:space="preserve">муниципальный район </w:t>
            </w:r>
            <w:r>
              <w:rPr>
                <w:rFonts w:ascii="Times New Roman" w:hAnsi="Times New Roman"/>
                <w:sz w:val="24"/>
                <w:szCs w:val="24"/>
              </w:rPr>
            </w:r>
            <w:r>
              <w:rPr>
                <w:rFonts w:ascii="Times New Roman" w:hAnsi="Times New Roman"/>
                <w:sz w:val="24"/>
                <w:szCs w:val="24"/>
              </w:rPr>
            </w:r>
          </w:p>
        </w:tc>
        <w:tc>
          <w:tcPr>
            <w:tcW w:w="772" w:type="pct"/>
            <w:textDirection w:val="lrTb"/>
            <w:noWrap w:val="false"/>
          </w:tcPr>
          <w:p>
            <w:pPr>
              <w:jc w:val="center"/>
              <w:spacing w:after="0" w:line="240" w:lineRule="auto"/>
              <w:rPr>
                <w:rFonts w:ascii="Times New Roman" w:hAnsi="Times New Roman"/>
                <w:sz w:val="24"/>
                <w:szCs w:val="24"/>
              </w:rPr>
            </w:pPr>
            <w:r>
              <w:rPr>
                <w:rFonts w:ascii="Times New Roman" w:hAnsi="Times New Roman" w:eastAsia="Times New Roman"/>
                <w:sz w:val="24"/>
                <w:szCs w:val="24"/>
              </w:rPr>
              <w:t xml:space="preserve">40</w:t>
            </w:r>
            <w:r>
              <w:rPr>
                <w:rFonts w:ascii="Times New Roman" w:hAnsi="Times New Roman"/>
                <w:sz w:val="24"/>
                <w:szCs w:val="24"/>
              </w:rPr>
            </w:r>
            <w:r>
              <w:rPr>
                <w:rFonts w:ascii="Times New Roman" w:hAnsi="Times New Roman"/>
                <w:sz w:val="24"/>
                <w:szCs w:val="24"/>
              </w:rPr>
            </w:r>
          </w:p>
        </w:tc>
        <w:tc>
          <w:tcPr>
            <w:tcW w:w="843" w:type="pct"/>
            <w:textDirection w:val="lrTb"/>
            <w:noWrap w:val="false"/>
          </w:tcPr>
          <w:p>
            <w:pPr>
              <w:jc w:val="center"/>
              <w:spacing w:after="0" w:line="240" w:lineRule="auto"/>
              <w:rPr>
                <w:rFonts w:ascii="Times New Roman" w:hAnsi="Times New Roman"/>
                <w:sz w:val="24"/>
                <w:szCs w:val="24"/>
              </w:rPr>
            </w:pPr>
            <w:r>
              <w:rPr>
                <w:rFonts w:ascii="Times New Roman" w:hAnsi="Times New Roman" w:eastAsia="Times New Roman"/>
                <w:sz w:val="24"/>
                <w:szCs w:val="24"/>
              </w:rPr>
              <w:t xml:space="preserve">29</w:t>
            </w:r>
            <w:r>
              <w:rPr>
                <w:rFonts w:ascii="Times New Roman" w:hAnsi="Times New Roman"/>
                <w:sz w:val="24"/>
                <w:szCs w:val="24"/>
              </w:rPr>
            </w:r>
            <w:r>
              <w:rPr>
                <w:rFonts w:ascii="Times New Roman" w:hAnsi="Times New Roman"/>
                <w:sz w:val="24"/>
                <w:szCs w:val="24"/>
              </w:rPr>
            </w:r>
          </w:p>
        </w:tc>
        <w:tc>
          <w:tcPr>
            <w:tcW w:w="771" w:type="pct"/>
            <w:textDirection w:val="lrTb"/>
            <w:noWrap w:val="false"/>
          </w:tcPr>
          <w:p>
            <w:pPr>
              <w:jc w:val="center"/>
              <w:spacing w:after="0" w:line="240" w:lineRule="auto"/>
              <w:rPr>
                <w:rFonts w:ascii="Times New Roman" w:hAnsi="Times New Roman"/>
                <w:sz w:val="24"/>
                <w:szCs w:val="24"/>
              </w:rPr>
            </w:pPr>
            <w:r>
              <w:rPr>
                <w:rFonts w:ascii="Times New Roman" w:hAnsi="Times New Roman" w:eastAsia="Times New Roman"/>
                <w:sz w:val="24"/>
                <w:szCs w:val="24"/>
              </w:rPr>
              <w:t xml:space="preserve">38</w:t>
            </w:r>
            <w:r>
              <w:rPr>
                <w:rFonts w:ascii="Times New Roman" w:hAnsi="Times New Roman"/>
                <w:sz w:val="24"/>
                <w:szCs w:val="24"/>
              </w:rPr>
            </w:r>
            <w:r>
              <w:rPr>
                <w:rFonts w:ascii="Times New Roman" w:hAnsi="Times New Roman"/>
                <w:sz w:val="24"/>
                <w:szCs w:val="24"/>
              </w:rPr>
            </w:r>
          </w:p>
        </w:tc>
        <w:tc>
          <w:tcPr>
            <w:tcW w:w="780" w:type="pct"/>
            <w:textDirection w:val="lrTb"/>
            <w:noWrap w:val="false"/>
          </w:tcPr>
          <w:p>
            <w:pPr>
              <w:jc w:val="center"/>
              <w:spacing w:after="0" w:line="240" w:lineRule="auto"/>
              <w:rPr>
                <w:rFonts w:ascii="Times New Roman" w:hAnsi="Times New Roman"/>
                <w:sz w:val="24"/>
                <w:szCs w:val="24"/>
              </w:rPr>
            </w:pPr>
            <w:r>
              <w:rPr>
                <w:rFonts w:ascii="Times New Roman" w:hAnsi="Times New Roman" w:eastAsia="Times New Roman"/>
                <w:sz w:val="24"/>
                <w:szCs w:val="24"/>
              </w:rPr>
              <w:t xml:space="preserve">26</w:t>
            </w:r>
            <w:r>
              <w:rPr>
                <w:rFonts w:ascii="Times New Roman" w:hAnsi="Times New Roman"/>
                <w:sz w:val="24"/>
                <w:szCs w:val="24"/>
              </w:rPr>
            </w:r>
            <w:r>
              <w:rPr>
                <w:rFonts w:ascii="Times New Roman" w:hAnsi="Times New Roman"/>
                <w:sz w:val="24"/>
                <w:szCs w:val="24"/>
              </w:rPr>
            </w:r>
          </w:p>
        </w:tc>
      </w:tr>
      <w:tr>
        <w:tblPrEx/>
        <w:trPr>
          <w:jc w:val="center"/>
        </w:trPr>
        <w:tc>
          <w:tcPr>
            <w:tcW w:w="1835" w:type="pct"/>
            <w:textDirection w:val="lrTb"/>
            <w:noWrap w:val="false"/>
          </w:tcPr>
          <w:p>
            <w:pPr>
              <w:spacing w:after="0" w:line="240" w:lineRule="auto"/>
              <w:rPr>
                <w:rFonts w:ascii="Times New Roman" w:hAnsi="Times New Roman"/>
                <w:sz w:val="24"/>
                <w:szCs w:val="24"/>
              </w:rPr>
            </w:pPr>
            <w:r>
              <w:rPr>
                <w:rFonts w:ascii="Times New Roman" w:hAnsi="Times New Roman" w:eastAsia="Times New Roman"/>
                <w:sz w:val="24"/>
                <w:szCs w:val="24"/>
              </w:rPr>
              <w:t xml:space="preserve">Заволжский муниципальный район </w:t>
            </w:r>
            <w:r>
              <w:rPr>
                <w:rFonts w:ascii="Times New Roman" w:hAnsi="Times New Roman"/>
                <w:sz w:val="24"/>
                <w:szCs w:val="24"/>
              </w:rPr>
            </w:r>
            <w:r>
              <w:rPr>
                <w:rFonts w:ascii="Times New Roman" w:hAnsi="Times New Roman"/>
                <w:sz w:val="24"/>
                <w:szCs w:val="24"/>
              </w:rPr>
            </w:r>
          </w:p>
        </w:tc>
        <w:tc>
          <w:tcPr>
            <w:tcW w:w="772" w:type="pct"/>
            <w:textDirection w:val="lrTb"/>
            <w:noWrap w:val="false"/>
          </w:tcPr>
          <w:p>
            <w:pPr>
              <w:jc w:val="center"/>
              <w:spacing w:after="0" w:line="240" w:lineRule="auto"/>
              <w:rPr>
                <w:rFonts w:ascii="Times New Roman" w:hAnsi="Times New Roman"/>
                <w:sz w:val="24"/>
                <w:szCs w:val="24"/>
              </w:rPr>
            </w:pPr>
            <w:r>
              <w:rPr>
                <w:rFonts w:ascii="Times New Roman" w:hAnsi="Times New Roman" w:eastAsia="Times New Roman"/>
                <w:sz w:val="24"/>
                <w:szCs w:val="24"/>
              </w:rPr>
              <w:t xml:space="preserve">76</w:t>
            </w:r>
            <w:r>
              <w:rPr>
                <w:rFonts w:ascii="Times New Roman" w:hAnsi="Times New Roman"/>
                <w:sz w:val="24"/>
                <w:szCs w:val="24"/>
              </w:rPr>
            </w:r>
            <w:r>
              <w:rPr>
                <w:rFonts w:ascii="Times New Roman" w:hAnsi="Times New Roman"/>
                <w:sz w:val="24"/>
                <w:szCs w:val="24"/>
              </w:rPr>
            </w:r>
          </w:p>
        </w:tc>
        <w:tc>
          <w:tcPr>
            <w:tcW w:w="843" w:type="pct"/>
            <w:textDirection w:val="lrTb"/>
            <w:noWrap w:val="false"/>
          </w:tcPr>
          <w:p>
            <w:pPr>
              <w:jc w:val="center"/>
              <w:spacing w:after="0" w:line="240" w:lineRule="auto"/>
              <w:rPr>
                <w:rFonts w:ascii="Times New Roman" w:hAnsi="Times New Roman"/>
                <w:sz w:val="24"/>
                <w:szCs w:val="24"/>
              </w:rPr>
            </w:pPr>
            <w:r>
              <w:rPr>
                <w:rFonts w:ascii="Times New Roman" w:hAnsi="Times New Roman" w:eastAsia="Times New Roman"/>
                <w:sz w:val="24"/>
                <w:szCs w:val="24"/>
              </w:rPr>
              <w:t xml:space="preserve">54</w:t>
            </w:r>
            <w:r>
              <w:rPr>
                <w:rFonts w:ascii="Times New Roman" w:hAnsi="Times New Roman"/>
                <w:sz w:val="24"/>
                <w:szCs w:val="24"/>
              </w:rPr>
            </w:r>
            <w:r>
              <w:rPr>
                <w:rFonts w:ascii="Times New Roman" w:hAnsi="Times New Roman"/>
                <w:sz w:val="24"/>
                <w:szCs w:val="24"/>
              </w:rPr>
            </w:r>
          </w:p>
        </w:tc>
        <w:tc>
          <w:tcPr>
            <w:tcW w:w="771" w:type="pct"/>
            <w:textDirection w:val="lrTb"/>
            <w:noWrap w:val="false"/>
          </w:tcPr>
          <w:p>
            <w:pPr>
              <w:jc w:val="center"/>
              <w:spacing w:after="0" w:line="240" w:lineRule="auto"/>
              <w:rPr>
                <w:rFonts w:ascii="Times New Roman" w:hAnsi="Times New Roman"/>
                <w:sz w:val="24"/>
                <w:szCs w:val="24"/>
              </w:rPr>
            </w:pPr>
            <w:r>
              <w:rPr>
                <w:rFonts w:ascii="Times New Roman" w:hAnsi="Times New Roman" w:eastAsia="Times New Roman"/>
                <w:sz w:val="24"/>
                <w:szCs w:val="24"/>
              </w:rPr>
              <w:t xml:space="preserve">68</w:t>
            </w:r>
            <w:r>
              <w:rPr>
                <w:rFonts w:ascii="Times New Roman" w:hAnsi="Times New Roman"/>
                <w:sz w:val="24"/>
                <w:szCs w:val="24"/>
              </w:rPr>
            </w:r>
            <w:r>
              <w:rPr>
                <w:rFonts w:ascii="Times New Roman" w:hAnsi="Times New Roman"/>
                <w:sz w:val="24"/>
                <w:szCs w:val="24"/>
              </w:rPr>
            </w:r>
          </w:p>
        </w:tc>
        <w:tc>
          <w:tcPr>
            <w:tcW w:w="780" w:type="pct"/>
            <w:textDirection w:val="lrTb"/>
            <w:noWrap w:val="false"/>
          </w:tcPr>
          <w:p>
            <w:pPr>
              <w:jc w:val="center"/>
              <w:spacing w:after="0" w:line="240" w:lineRule="auto"/>
              <w:rPr>
                <w:rFonts w:ascii="Times New Roman" w:hAnsi="Times New Roman"/>
                <w:sz w:val="24"/>
                <w:szCs w:val="24"/>
              </w:rPr>
            </w:pPr>
            <w:r>
              <w:rPr>
                <w:rFonts w:ascii="Times New Roman" w:hAnsi="Times New Roman" w:eastAsia="Times New Roman"/>
                <w:sz w:val="24"/>
                <w:szCs w:val="24"/>
              </w:rPr>
              <w:t xml:space="preserve">54</w:t>
            </w:r>
            <w:r>
              <w:rPr>
                <w:rFonts w:ascii="Times New Roman" w:hAnsi="Times New Roman"/>
                <w:sz w:val="24"/>
                <w:szCs w:val="24"/>
              </w:rPr>
            </w:r>
            <w:r>
              <w:rPr>
                <w:rFonts w:ascii="Times New Roman" w:hAnsi="Times New Roman"/>
                <w:sz w:val="24"/>
                <w:szCs w:val="24"/>
              </w:rPr>
            </w:r>
          </w:p>
        </w:tc>
      </w:tr>
      <w:tr>
        <w:tblPrEx/>
        <w:trPr>
          <w:jc w:val="center"/>
          <w:trHeight w:val="297"/>
        </w:trPr>
        <w:tc>
          <w:tcPr>
            <w:tcW w:w="1835" w:type="pct"/>
            <w:textDirection w:val="lrTb"/>
            <w:noWrap w:val="false"/>
          </w:tcPr>
          <w:p>
            <w:pPr>
              <w:spacing w:after="0" w:line="240" w:lineRule="auto"/>
              <w:rPr>
                <w:rFonts w:ascii="Times New Roman" w:hAnsi="Times New Roman"/>
                <w:sz w:val="24"/>
                <w:szCs w:val="24"/>
              </w:rPr>
            </w:pPr>
            <w:r>
              <w:rPr>
                <w:rFonts w:ascii="Times New Roman" w:hAnsi="Times New Roman" w:eastAsia="Times New Roman"/>
                <w:sz w:val="24"/>
                <w:szCs w:val="24"/>
              </w:rPr>
              <w:t xml:space="preserve">Ивановский муниципальный район </w:t>
            </w:r>
            <w:r>
              <w:rPr>
                <w:rFonts w:ascii="Times New Roman" w:hAnsi="Times New Roman"/>
                <w:sz w:val="24"/>
                <w:szCs w:val="24"/>
              </w:rPr>
            </w:r>
            <w:r>
              <w:rPr>
                <w:rFonts w:ascii="Times New Roman" w:hAnsi="Times New Roman"/>
                <w:sz w:val="24"/>
                <w:szCs w:val="24"/>
              </w:rPr>
            </w:r>
          </w:p>
        </w:tc>
        <w:tc>
          <w:tcPr>
            <w:tcW w:w="772" w:type="pct"/>
            <w:textDirection w:val="lrTb"/>
            <w:noWrap w:val="false"/>
          </w:tcPr>
          <w:p>
            <w:pPr>
              <w:jc w:val="center"/>
              <w:spacing w:after="0" w:line="240" w:lineRule="auto"/>
              <w:rPr>
                <w:rFonts w:ascii="Times New Roman" w:hAnsi="Times New Roman"/>
                <w:sz w:val="24"/>
                <w:szCs w:val="24"/>
              </w:rPr>
            </w:pPr>
            <w:r>
              <w:rPr>
                <w:rFonts w:ascii="Times New Roman" w:hAnsi="Times New Roman" w:eastAsia="Times New Roman"/>
                <w:sz w:val="24"/>
                <w:szCs w:val="24"/>
              </w:rPr>
              <w:t xml:space="preserve">83</w:t>
            </w:r>
            <w:r>
              <w:rPr>
                <w:rFonts w:ascii="Times New Roman" w:hAnsi="Times New Roman"/>
                <w:sz w:val="24"/>
                <w:szCs w:val="24"/>
              </w:rPr>
            </w:r>
            <w:r>
              <w:rPr>
                <w:rFonts w:ascii="Times New Roman" w:hAnsi="Times New Roman"/>
                <w:sz w:val="24"/>
                <w:szCs w:val="24"/>
              </w:rPr>
            </w:r>
          </w:p>
        </w:tc>
        <w:tc>
          <w:tcPr>
            <w:tcW w:w="843" w:type="pct"/>
            <w:textDirection w:val="lrTb"/>
            <w:noWrap w:val="false"/>
          </w:tcPr>
          <w:p>
            <w:pPr>
              <w:jc w:val="center"/>
              <w:spacing w:after="0" w:line="240" w:lineRule="auto"/>
              <w:rPr>
                <w:rFonts w:ascii="Times New Roman" w:hAnsi="Times New Roman"/>
                <w:sz w:val="24"/>
                <w:szCs w:val="24"/>
              </w:rPr>
            </w:pPr>
            <w:r>
              <w:rPr>
                <w:rFonts w:ascii="Times New Roman" w:hAnsi="Times New Roman" w:eastAsia="Times New Roman"/>
                <w:sz w:val="24"/>
                <w:szCs w:val="24"/>
              </w:rPr>
              <w:t xml:space="preserve">72</w:t>
            </w:r>
            <w:r>
              <w:rPr>
                <w:rFonts w:ascii="Times New Roman" w:hAnsi="Times New Roman"/>
                <w:sz w:val="24"/>
                <w:szCs w:val="24"/>
              </w:rPr>
            </w:r>
            <w:r>
              <w:rPr>
                <w:rFonts w:ascii="Times New Roman" w:hAnsi="Times New Roman"/>
                <w:sz w:val="24"/>
                <w:szCs w:val="24"/>
              </w:rPr>
            </w:r>
          </w:p>
        </w:tc>
        <w:tc>
          <w:tcPr>
            <w:tcW w:w="771" w:type="pct"/>
            <w:textDirection w:val="lrTb"/>
            <w:noWrap w:val="false"/>
          </w:tcPr>
          <w:p>
            <w:pPr>
              <w:jc w:val="center"/>
              <w:spacing w:after="0" w:line="240" w:lineRule="auto"/>
              <w:rPr>
                <w:rFonts w:ascii="Times New Roman" w:hAnsi="Times New Roman"/>
                <w:sz w:val="24"/>
                <w:szCs w:val="24"/>
              </w:rPr>
            </w:pPr>
            <w:r>
              <w:rPr>
                <w:rFonts w:ascii="Times New Roman" w:hAnsi="Times New Roman" w:eastAsia="Times New Roman"/>
                <w:sz w:val="24"/>
                <w:szCs w:val="24"/>
              </w:rPr>
              <w:t xml:space="preserve">72</w:t>
            </w:r>
            <w:r>
              <w:rPr>
                <w:rFonts w:ascii="Times New Roman" w:hAnsi="Times New Roman"/>
                <w:sz w:val="24"/>
                <w:szCs w:val="24"/>
              </w:rPr>
            </w:r>
            <w:r>
              <w:rPr>
                <w:rFonts w:ascii="Times New Roman" w:hAnsi="Times New Roman"/>
                <w:sz w:val="24"/>
                <w:szCs w:val="24"/>
              </w:rPr>
            </w:r>
          </w:p>
        </w:tc>
        <w:tc>
          <w:tcPr>
            <w:tcW w:w="780" w:type="pct"/>
            <w:textDirection w:val="lrTb"/>
            <w:noWrap w:val="false"/>
          </w:tcPr>
          <w:p>
            <w:pPr>
              <w:jc w:val="center"/>
              <w:spacing w:after="0" w:line="240" w:lineRule="auto"/>
              <w:rPr>
                <w:rFonts w:ascii="Times New Roman" w:hAnsi="Times New Roman"/>
                <w:sz w:val="24"/>
                <w:szCs w:val="24"/>
              </w:rPr>
            </w:pPr>
            <w:r>
              <w:rPr>
                <w:rFonts w:ascii="Times New Roman" w:hAnsi="Times New Roman" w:eastAsia="Times New Roman"/>
                <w:sz w:val="24"/>
                <w:szCs w:val="24"/>
              </w:rPr>
              <w:t xml:space="preserve">64</w:t>
            </w:r>
            <w:r>
              <w:rPr>
                <w:rFonts w:ascii="Times New Roman" w:hAnsi="Times New Roman"/>
                <w:sz w:val="24"/>
                <w:szCs w:val="24"/>
              </w:rPr>
            </w:r>
            <w:r>
              <w:rPr>
                <w:rFonts w:ascii="Times New Roman" w:hAnsi="Times New Roman"/>
                <w:sz w:val="24"/>
                <w:szCs w:val="24"/>
              </w:rPr>
            </w:r>
          </w:p>
        </w:tc>
      </w:tr>
      <w:tr>
        <w:tblPrEx/>
        <w:trPr>
          <w:jc w:val="center"/>
          <w:trHeight w:val="273"/>
        </w:trPr>
        <w:tc>
          <w:tcPr>
            <w:tcW w:w="1835" w:type="pct"/>
            <w:textDirection w:val="lrTb"/>
            <w:noWrap w:val="false"/>
          </w:tcPr>
          <w:p>
            <w:pPr>
              <w:spacing w:after="0" w:line="240" w:lineRule="auto"/>
              <w:rPr>
                <w:rFonts w:ascii="Times New Roman" w:hAnsi="Times New Roman"/>
                <w:sz w:val="24"/>
                <w:szCs w:val="24"/>
              </w:rPr>
            </w:pPr>
            <w:r>
              <w:rPr>
                <w:rFonts w:ascii="Times New Roman" w:hAnsi="Times New Roman" w:eastAsia="Times New Roman"/>
                <w:sz w:val="24"/>
                <w:szCs w:val="24"/>
              </w:rPr>
              <w:t xml:space="preserve">Ильинский муниципальный район</w:t>
            </w:r>
            <w:r>
              <w:rPr>
                <w:rFonts w:ascii="Times New Roman" w:hAnsi="Times New Roman"/>
                <w:sz w:val="24"/>
                <w:szCs w:val="24"/>
              </w:rPr>
            </w:r>
            <w:r>
              <w:rPr>
                <w:rFonts w:ascii="Times New Roman" w:hAnsi="Times New Roman"/>
                <w:sz w:val="24"/>
                <w:szCs w:val="24"/>
              </w:rPr>
            </w:r>
          </w:p>
        </w:tc>
        <w:tc>
          <w:tcPr>
            <w:tcW w:w="772" w:type="pct"/>
            <w:textDirection w:val="lrTb"/>
            <w:noWrap w:val="false"/>
          </w:tcPr>
          <w:p>
            <w:pPr>
              <w:jc w:val="center"/>
              <w:spacing w:after="0" w:line="240" w:lineRule="auto"/>
              <w:rPr>
                <w:rFonts w:ascii="Times New Roman" w:hAnsi="Times New Roman"/>
                <w:sz w:val="24"/>
                <w:szCs w:val="24"/>
              </w:rPr>
            </w:pPr>
            <w:r>
              <w:rPr>
                <w:rFonts w:ascii="Times New Roman" w:hAnsi="Times New Roman" w:eastAsia="Times New Roman"/>
                <w:sz w:val="24"/>
                <w:szCs w:val="24"/>
              </w:rPr>
              <w:t xml:space="preserve">31</w:t>
            </w:r>
            <w:r>
              <w:rPr>
                <w:rFonts w:ascii="Times New Roman" w:hAnsi="Times New Roman"/>
                <w:sz w:val="24"/>
                <w:szCs w:val="24"/>
              </w:rPr>
            </w:r>
            <w:r>
              <w:rPr>
                <w:rFonts w:ascii="Times New Roman" w:hAnsi="Times New Roman"/>
                <w:sz w:val="24"/>
                <w:szCs w:val="24"/>
              </w:rPr>
            </w:r>
          </w:p>
        </w:tc>
        <w:tc>
          <w:tcPr>
            <w:tcW w:w="843" w:type="pct"/>
            <w:textDirection w:val="lrTb"/>
            <w:noWrap w:val="false"/>
          </w:tcPr>
          <w:p>
            <w:pPr>
              <w:jc w:val="center"/>
              <w:spacing w:after="0" w:line="240" w:lineRule="auto"/>
              <w:rPr>
                <w:rFonts w:ascii="Times New Roman" w:hAnsi="Times New Roman"/>
                <w:sz w:val="24"/>
                <w:szCs w:val="24"/>
              </w:rPr>
            </w:pPr>
            <w:r>
              <w:rPr>
                <w:rFonts w:ascii="Times New Roman" w:hAnsi="Times New Roman" w:eastAsia="Times New Roman"/>
                <w:sz w:val="24"/>
                <w:szCs w:val="24"/>
              </w:rPr>
              <w:t xml:space="preserve">25</w:t>
            </w:r>
            <w:r>
              <w:rPr>
                <w:rFonts w:ascii="Times New Roman" w:hAnsi="Times New Roman"/>
                <w:sz w:val="24"/>
                <w:szCs w:val="24"/>
              </w:rPr>
            </w:r>
            <w:r>
              <w:rPr>
                <w:rFonts w:ascii="Times New Roman" w:hAnsi="Times New Roman"/>
                <w:sz w:val="24"/>
                <w:szCs w:val="24"/>
              </w:rPr>
            </w:r>
          </w:p>
        </w:tc>
        <w:tc>
          <w:tcPr>
            <w:tcW w:w="771" w:type="pct"/>
            <w:textDirection w:val="lrTb"/>
            <w:noWrap w:val="false"/>
          </w:tcPr>
          <w:p>
            <w:pPr>
              <w:jc w:val="center"/>
              <w:spacing w:after="0" w:line="240" w:lineRule="auto"/>
              <w:rPr>
                <w:rFonts w:ascii="Times New Roman" w:hAnsi="Times New Roman"/>
                <w:sz w:val="24"/>
                <w:szCs w:val="24"/>
              </w:rPr>
            </w:pPr>
            <w:r>
              <w:rPr>
                <w:rFonts w:ascii="Times New Roman" w:hAnsi="Times New Roman" w:eastAsia="Times New Roman"/>
                <w:sz w:val="24"/>
                <w:szCs w:val="24"/>
              </w:rPr>
              <w:t xml:space="preserve">34</w:t>
            </w:r>
            <w:r>
              <w:rPr>
                <w:rFonts w:ascii="Times New Roman" w:hAnsi="Times New Roman"/>
                <w:sz w:val="24"/>
                <w:szCs w:val="24"/>
              </w:rPr>
            </w:r>
            <w:r>
              <w:rPr>
                <w:rFonts w:ascii="Times New Roman" w:hAnsi="Times New Roman"/>
                <w:sz w:val="24"/>
                <w:szCs w:val="24"/>
              </w:rPr>
            </w:r>
          </w:p>
        </w:tc>
        <w:tc>
          <w:tcPr>
            <w:tcW w:w="780" w:type="pct"/>
            <w:textDirection w:val="lrTb"/>
            <w:noWrap w:val="false"/>
          </w:tcPr>
          <w:p>
            <w:pPr>
              <w:jc w:val="center"/>
              <w:spacing w:after="0" w:line="240" w:lineRule="auto"/>
              <w:rPr>
                <w:rFonts w:ascii="Times New Roman" w:hAnsi="Times New Roman"/>
                <w:sz w:val="24"/>
                <w:szCs w:val="24"/>
              </w:rPr>
            </w:pPr>
            <w:r>
              <w:rPr>
                <w:rFonts w:ascii="Times New Roman" w:hAnsi="Times New Roman" w:eastAsia="Times New Roman"/>
                <w:sz w:val="24"/>
                <w:szCs w:val="24"/>
              </w:rPr>
              <w:t xml:space="preserve">28</w:t>
            </w:r>
            <w:r>
              <w:rPr>
                <w:rFonts w:ascii="Times New Roman" w:hAnsi="Times New Roman"/>
                <w:sz w:val="24"/>
                <w:szCs w:val="24"/>
              </w:rPr>
            </w:r>
            <w:r>
              <w:rPr>
                <w:rFonts w:ascii="Times New Roman" w:hAnsi="Times New Roman"/>
                <w:sz w:val="24"/>
                <w:szCs w:val="24"/>
              </w:rPr>
            </w:r>
          </w:p>
        </w:tc>
      </w:tr>
      <w:tr>
        <w:tblPrEx/>
        <w:trPr>
          <w:jc w:val="center"/>
        </w:trPr>
        <w:tc>
          <w:tcPr>
            <w:tcW w:w="1835" w:type="pct"/>
            <w:textDirection w:val="lrTb"/>
            <w:noWrap w:val="false"/>
          </w:tcPr>
          <w:p>
            <w:pPr>
              <w:spacing w:after="0" w:line="240" w:lineRule="auto"/>
              <w:rPr>
                <w:rFonts w:ascii="Times New Roman" w:hAnsi="Times New Roman"/>
                <w:sz w:val="24"/>
                <w:szCs w:val="24"/>
              </w:rPr>
            </w:pPr>
            <w:r>
              <w:rPr>
                <w:rFonts w:ascii="Times New Roman" w:hAnsi="Times New Roman" w:eastAsia="Times New Roman"/>
                <w:sz w:val="24"/>
                <w:szCs w:val="24"/>
              </w:rPr>
              <w:t xml:space="preserve">Кинешемский муниципальный район </w:t>
            </w:r>
            <w:r>
              <w:rPr>
                <w:rFonts w:ascii="Times New Roman" w:hAnsi="Times New Roman"/>
                <w:sz w:val="24"/>
                <w:szCs w:val="24"/>
              </w:rPr>
            </w:r>
            <w:r>
              <w:rPr>
                <w:rFonts w:ascii="Times New Roman" w:hAnsi="Times New Roman"/>
                <w:sz w:val="24"/>
                <w:szCs w:val="24"/>
              </w:rPr>
            </w:r>
          </w:p>
        </w:tc>
        <w:tc>
          <w:tcPr>
            <w:tcW w:w="772" w:type="pct"/>
            <w:textDirection w:val="lrTb"/>
            <w:noWrap w:val="false"/>
          </w:tcPr>
          <w:p>
            <w:pPr>
              <w:jc w:val="center"/>
              <w:spacing w:after="0" w:line="240" w:lineRule="auto"/>
              <w:rPr>
                <w:rFonts w:ascii="Times New Roman" w:hAnsi="Times New Roman"/>
                <w:sz w:val="24"/>
                <w:szCs w:val="24"/>
              </w:rPr>
            </w:pPr>
            <w:r>
              <w:rPr>
                <w:rFonts w:ascii="Times New Roman" w:hAnsi="Times New Roman" w:eastAsia="Times New Roman"/>
                <w:sz w:val="24"/>
                <w:szCs w:val="24"/>
              </w:rPr>
              <w:t xml:space="preserve">63</w:t>
            </w:r>
            <w:r>
              <w:rPr>
                <w:rFonts w:ascii="Times New Roman" w:hAnsi="Times New Roman"/>
                <w:sz w:val="24"/>
                <w:szCs w:val="24"/>
              </w:rPr>
            </w:r>
            <w:r>
              <w:rPr>
                <w:rFonts w:ascii="Times New Roman" w:hAnsi="Times New Roman"/>
                <w:sz w:val="24"/>
                <w:szCs w:val="24"/>
              </w:rPr>
            </w:r>
          </w:p>
        </w:tc>
        <w:tc>
          <w:tcPr>
            <w:tcW w:w="843" w:type="pct"/>
            <w:textDirection w:val="lrTb"/>
            <w:noWrap w:val="false"/>
          </w:tcPr>
          <w:p>
            <w:pPr>
              <w:jc w:val="center"/>
              <w:spacing w:after="0" w:line="240" w:lineRule="auto"/>
              <w:rPr>
                <w:rFonts w:ascii="Times New Roman" w:hAnsi="Times New Roman"/>
                <w:sz w:val="24"/>
                <w:szCs w:val="24"/>
              </w:rPr>
            </w:pPr>
            <w:r>
              <w:rPr>
                <w:rFonts w:ascii="Times New Roman" w:hAnsi="Times New Roman" w:eastAsia="Times New Roman"/>
                <w:sz w:val="24"/>
                <w:szCs w:val="24"/>
              </w:rPr>
              <w:t xml:space="preserve">53</w:t>
            </w:r>
            <w:r>
              <w:rPr>
                <w:rFonts w:ascii="Times New Roman" w:hAnsi="Times New Roman"/>
                <w:sz w:val="24"/>
                <w:szCs w:val="24"/>
              </w:rPr>
            </w:r>
            <w:r>
              <w:rPr>
                <w:rFonts w:ascii="Times New Roman" w:hAnsi="Times New Roman"/>
                <w:sz w:val="24"/>
                <w:szCs w:val="24"/>
              </w:rPr>
            </w:r>
          </w:p>
        </w:tc>
        <w:tc>
          <w:tcPr>
            <w:tcW w:w="771" w:type="pct"/>
            <w:textDirection w:val="lrTb"/>
            <w:noWrap w:val="false"/>
          </w:tcPr>
          <w:p>
            <w:pPr>
              <w:jc w:val="center"/>
              <w:spacing w:after="0" w:line="240" w:lineRule="auto"/>
              <w:rPr>
                <w:rFonts w:ascii="Times New Roman" w:hAnsi="Times New Roman"/>
                <w:sz w:val="24"/>
                <w:szCs w:val="24"/>
              </w:rPr>
            </w:pPr>
            <w:r>
              <w:rPr>
                <w:rFonts w:ascii="Times New Roman" w:hAnsi="Times New Roman" w:eastAsia="Times New Roman"/>
                <w:sz w:val="24"/>
                <w:szCs w:val="24"/>
              </w:rPr>
              <w:t xml:space="preserve">58</w:t>
            </w:r>
            <w:r>
              <w:rPr>
                <w:rFonts w:ascii="Times New Roman" w:hAnsi="Times New Roman"/>
                <w:sz w:val="24"/>
                <w:szCs w:val="24"/>
              </w:rPr>
            </w:r>
            <w:r>
              <w:rPr>
                <w:rFonts w:ascii="Times New Roman" w:hAnsi="Times New Roman"/>
                <w:sz w:val="24"/>
                <w:szCs w:val="24"/>
              </w:rPr>
            </w:r>
          </w:p>
        </w:tc>
        <w:tc>
          <w:tcPr>
            <w:tcW w:w="780" w:type="pct"/>
            <w:textDirection w:val="lrTb"/>
            <w:noWrap w:val="false"/>
          </w:tcPr>
          <w:p>
            <w:pPr>
              <w:jc w:val="center"/>
              <w:spacing w:after="0" w:line="240" w:lineRule="auto"/>
              <w:rPr>
                <w:rFonts w:ascii="Times New Roman" w:hAnsi="Times New Roman"/>
                <w:sz w:val="24"/>
                <w:szCs w:val="24"/>
              </w:rPr>
            </w:pPr>
            <w:r>
              <w:rPr>
                <w:rFonts w:ascii="Times New Roman" w:hAnsi="Times New Roman" w:eastAsia="Times New Roman"/>
                <w:sz w:val="24"/>
                <w:szCs w:val="24"/>
              </w:rPr>
              <w:t xml:space="preserve">52</w:t>
            </w:r>
            <w:r>
              <w:rPr>
                <w:rFonts w:ascii="Times New Roman" w:hAnsi="Times New Roman"/>
                <w:sz w:val="24"/>
                <w:szCs w:val="24"/>
              </w:rPr>
            </w:r>
            <w:r>
              <w:rPr>
                <w:rFonts w:ascii="Times New Roman" w:hAnsi="Times New Roman"/>
                <w:sz w:val="24"/>
                <w:szCs w:val="24"/>
              </w:rPr>
            </w:r>
          </w:p>
        </w:tc>
      </w:tr>
      <w:tr>
        <w:tblPrEx/>
        <w:trPr>
          <w:jc w:val="center"/>
        </w:trPr>
        <w:tc>
          <w:tcPr>
            <w:tcW w:w="1835" w:type="pct"/>
            <w:textDirection w:val="lrTb"/>
            <w:noWrap w:val="false"/>
          </w:tcPr>
          <w:p>
            <w:pPr>
              <w:spacing w:after="0" w:line="240" w:lineRule="auto"/>
              <w:rPr>
                <w:rFonts w:ascii="Times New Roman" w:hAnsi="Times New Roman"/>
                <w:sz w:val="24"/>
                <w:szCs w:val="24"/>
              </w:rPr>
            </w:pPr>
            <w:r>
              <w:rPr>
                <w:rFonts w:ascii="Times New Roman" w:hAnsi="Times New Roman" w:eastAsia="Times New Roman"/>
                <w:sz w:val="24"/>
                <w:szCs w:val="24"/>
              </w:rPr>
              <w:t xml:space="preserve">Комсомольский муниципальный район </w:t>
            </w:r>
            <w:r>
              <w:rPr>
                <w:rFonts w:ascii="Times New Roman" w:hAnsi="Times New Roman"/>
                <w:sz w:val="24"/>
                <w:szCs w:val="24"/>
              </w:rPr>
            </w:r>
            <w:r>
              <w:rPr>
                <w:rFonts w:ascii="Times New Roman" w:hAnsi="Times New Roman"/>
                <w:sz w:val="24"/>
                <w:szCs w:val="24"/>
              </w:rPr>
            </w:r>
          </w:p>
        </w:tc>
        <w:tc>
          <w:tcPr>
            <w:tcW w:w="772" w:type="pct"/>
            <w:textDirection w:val="lrTb"/>
            <w:noWrap w:val="false"/>
          </w:tcPr>
          <w:p>
            <w:pPr>
              <w:jc w:val="center"/>
              <w:spacing w:after="0" w:line="240" w:lineRule="auto"/>
              <w:rPr>
                <w:rFonts w:ascii="Times New Roman" w:hAnsi="Times New Roman"/>
                <w:sz w:val="24"/>
                <w:szCs w:val="24"/>
              </w:rPr>
            </w:pPr>
            <w:r>
              <w:rPr>
                <w:rFonts w:ascii="Times New Roman" w:hAnsi="Times New Roman" w:eastAsia="Times New Roman"/>
                <w:sz w:val="24"/>
                <w:szCs w:val="24"/>
              </w:rPr>
              <w:t xml:space="preserve">53</w:t>
            </w:r>
            <w:r>
              <w:rPr>
                <w:rFonts w:ascii="Times New Roman" w:hAnsi="Times New Roman"/>
                <w:sz w:val="24"/>
                <w:szCs w:val="24"/>
              </w:rPr>
            </w:r>
            <w:r>
              <w:rPr>
                <w:rFonts w:ascii="Times New Roman" w:hAnsi="Times New Roman"/>
                <w:sz w:val="24"/>
                <w:szCs w:val="24"/>
              </w:rPr>
            </w:r>
          </w:p>
        </w:tc>
        <w:tc>
          <w:tcPr>
            <w:tcW w:w="843" w:type="pct"/>
            <w:textDirection w:val="lrTb"/>
            <w:noWrap w:val="false"/>
          </w:tcPr>
          <w:p>
            <w:pPr>
              <w:jc w:val="center"/>
              <w:spacing w:after="0" w:line="240" w:lineRule="auto"/>
              <w:rPr>
                <w:rFonts w:ascii="Times New Roman" w:hAnsi="Times New Roman"/>
                <w:sz w:val="24"/>
                <w:szCs w:val="24"/>
              </w:rPr>
            </w:pPr>
            <w:r>
              <w:rPr>
                <w:rFonts w:ascii="Times New Roman" w:hAnsi="Times New Roman" w:eastAsia="Times New Roman"/>
                <w:sz w:val="24"/>
                <w:szCs w:val="24"/>
              </w:rPr>
              <w:t xml:space="preserve">35</w:t>
            </w:r>
            <w:r>
              <w:rPr>
                <w:rFonts w:ascii="Times New Roman" w:hAnsi="Times New Roman"/>
                <w:sz w:val="24"/>
                <w:szCs w:val="24"/>
              </w:rPr>
            </w:r>
            <w:r>
              <w:rPr>
                <w:rFonts w:ascii="Times New Roman" w:hAnsi="Times New Roman"/>
                <w:sz w:val="24"/>
                <w:szCs w:val="24"/>
              </w:rPr>
            </w:r>
          </w:p>
        </w:tc>
        <w:tc>
          <w:tcPr>
            <w:tcW w:w="771" w:type="pct"/>
            <w:textDirection w:val="lrTb"/>
            <w:noWrap w:val="false"/>
          </w:tcPr>
          <w:p>
            <w:pPr>
              <w:jc w:val="center"/>
              <w:spacing w:after="0" w:line="240" w:lineRule="auto"/>
              <w:rPr>
                <w:rFonts w:ascii="Times New Roman" w:hAnsi="Times New Roman"/>
                <w:sz w:val="24"/>
                <w:szCs w:val="24"/>
              </w:rPr>
            </w:pPr>
            <w:r>
              <w:rPr>
                <w:rFonts w:ascii="Times New Roman" w:hAnsi="Times New Roman" w:eastAsia="Times New Roman"/>
                <w:sz w:val="24"/>
                <w:szCs w:val="24"/>
              </w:rPr>
              <w:t xml:space="preserve">47</w:t>
            </w:r>
            <w:r>
              <w:rPr>
                <w:rFonts w:ascii="Times New Roman" w:hAnsi="Times New Roman"/>
                <w:sz w:val="24"/>
                <w:szCs w:val="24"/>
              </w:rPr>
            </w:r>
            <w:r>
              <w:rPr>
                <w:rFonts w:ascii="Times New Roman" w:hAnsi="Times New Roman"/>
                <w:sz w:val="24"/>
                <w:szCs w:val="24"/>
              </w:rPr>
            </w:r>
          </w:p>
        </w:tc>
        <w:tc>
          <w:tcPr>
            <w:tcW w:w="780" w:type="pct"/>
            <w:textDirection w:val="lrTb"/>
            <w:noWrap w:val="false"/>
          </w:tcPr>
          <w:p>
            <w:pPr>
              <w:jc w:val="center"/>
              <w:spacing w:after="0" w:line="240" w:lineRule="auto"/>
              <w:rPr>
                <w:rFonts w:ascii="Times New Roman" w:hAnsi="Times New Roman"/>
                <w:sz w:val="24"/>
                <w:szCs w:val="24"/>
              </w:rPr>
            </w:pPr>
            <w:r>
              <w:rPr>
                <w:rFonts w:ascii="Times New Roman" w:hAnsi="Times New Roman" w:eastAsia="Times New Roman"/>
                <w:sz w:val="24"/>
                <w:szCs w:val="24"/>
              </w:rPr>
              <w:t xml:space="preserve">34</w:t>
            </w:r>
            <w:r>
              <w:rPr>
                <w:rFonts w:ascii="Times New Roman" w:hAnsi="Times New Roman"/>
                <w:sz w:val="24"/>
                <w:szCs w:val="24"/>
              </w:rPr>
            </w:r>
            <w:r>
              <w:rPr>
                <w:rFonts w:ascii="Times New Roman" w:hAnsi="Times New Roman"/>
                <w:sz w:val="24"/>
                <w:szCs w:val="24"/>
              </w:rPr>
            </w:r>
          </w:p>
        </w:tc>
      </w:tr>
      <w:tr>
        <w:tblPrEx/>
        <w:trPr>
          <w:jc w:val="center"/>
        </w:trPr>
        <w:tc>
          <w:tcPr>
            <w:tcW w:w="1835" w:type="pct"/>
            <w:textDirection w:val="lrTb"/>
            <w:noWrap w:val="false"/>
          </w:tcPr>
          <w:p>
            <w:pPr>
              <w:spacing w:after="0" w:line="240" w:lineRule="auto"/>
              <w:rPr>
                <w:rFonts w:ascii="Times New Roman" w:hAnsi="Times New Roman"/>
                <w:sz w:val="24"/>
                <w:szCs w:val="24"/>
              </w:rPr>
            </w:pPr>
            <w:r>
              <w:rPr>
                <w:rFonts w:ascii="Times New Roman" w:hAnsi="Times New Roman" w:eastAsia="Times New Roman"/>
                <w:sz w:val="24"/>
                <w:szCs w:val="24"/>
              </w:rPr>
              <w:t xml:space="preserve">Лежневский</w:t>
            </w:r>
            <w:r>
              <w:rPr>
                <w:rFonts w:ascii="Times New Roman" w:hAnsi="Times New Roman" w:eastAsia="Times New Roman"/>
                <w:sz w:val="24"/>
                <w:szCs w:val="24"/>
              </w:rPr>
              <w:t xml:space="preserve"> муниципальный район </w:t>
            </w:r>
            <w:r>
              <w:rPr>
                <w:rFonts w:ascii="Times New Roman" w:hAnsi="Times New Roman"/>
                <w:sz w:val="24"/>
                <w:szCs w:val="24"/>
              </w:rPr>
            </w:r>
            <w:r>
              <w:rPr>
                <w:rFonts w:ascii="Times New Roman" w:hAnsi="Times New Roman"/>
                <w:sz w:val="24"/>
                <w:szCs w:val="24"/>
              </w:rPr>
            </w:r>
          </w:p>
        </w:tc>
        <w:tc>
          <w:tcPr>
            <w:tcW w:w="772" w:type="pct"/>
            <w:textDirection w:val="lrTb"/>
            <w:noWrap w:val="false"/>
          </w:tcPr>
          <w:p>
            <w:pPr>
              <w:jc w:val="center"/>
              <w:spacing w:after="0" w:line="240" w:lineRule="auto"/>
              <w:rPr>
                <w:rFonts w:ascii="Times New Roman" w:hAnsi="Times New Roman"/>
                <w:sz w:val="24"/>
                <w:szCs w:val="24"/>
              </w:rPr>
            </w:pPr>
            <w:r>
              <w:rPr>
                <w:rFonts w:ascii="Times New Roman" w:hAnsi="Times New Roman" w:eastAsia="Times New Roman"/>
                <w:sz w:val="24"/>
                <w:szCs w:val="24"/>
              </w:rPr>
              <w:t xml:space="preserve">73</w:t>
            </w:r>
            <w:r>
              <w:rPr>
                <w:rFonts w:ascii="Times New Roman" w:hAnsi="Times New Roman"/>
                <w:sz w:val="24"/>
                <w:szCs w:val="24"/>
              </w:rPr>
            </w:r>
            <w:r>
              <w:rPr>
                <w:rFonts w:ascii="Times New Roman" w:hAnsi="Times New Roman"/>
                <w:sz w:val="24"/>
                <w:szCs w:val="24"/>
              </w:rPr>
            </w:r>
          </w:p>
        </w:tc>
        <w:tc>
          <w:tcPr>
            <w:tcW w:w="843" w:type="pct"/>
            <w:textDirection w:val="lrTb"/>
            <w:noWrap w:val="false"/>
          </w:tcPr>
          <w:p>
            <w:pPr>
              <w:jc w:val="center"/>
              <w:spacing w:after="0" w:line="240" w:lineRule="auto"/>
              <w:rPr>
                <w:rFonts w:ascii="Times New Roman" w:hAnsi="Times New Roman"/>
                <w:sz w:val="24"/>
                <w:szCs w:val="24"/>
              </w:rPr>
            </w:pPr>
            <w:r>
              <w:rPr>
                <w:rFonts w:ascii="Times New Roman" w:hAnsi="Times New Roman" w:eastAsia="Times New Roman"/>
                <w:sz w:val="24"/>
                <w:szCs w:val="24"/>
              </w:rPr>
              <w:t xml:space="preserve">60</w:t>
            </w:r>
            <w:r>
              <w:rPr>
                <w:rFonts w:ascii="Times New Roman" w:hAnsi="Times New Roman"/>
                <w:sz w:val="24"/>
                <w:szCs w:val="24"/>
              </w:rPr>
            </w:r>
            <w:r>
              <w:rPr>
                <w:rFonts w:ascii="Times New Roman" w:hAnsi="Times New Roman"/>
                <w:sz w:val="24"/>
                <w:szCs w:val="24"/>
              </w:rPr>
            </w:r>
          </w:p>
        </w:tc>
        <w:tc>
          <w:tcPr>
            <w:tcW w:w="771" w:type="pct"/>
            <w:textDirection w:val="lrTb"/>
            <w:noWrap w:val="false"/>
          </w:tcPr>
          <w:p>
            <w:pPr>
              <w:jc w:val="center"/>
              <w:spacing w:after="0" w:line="240" w:lineRule="auto"/>
              <w:rPr>
                <w:rFonts w:ascii="Times New Roman" w:hAnsi="Times New Roman"/>
                <w:sz w:val="24"/>
                <w:szCs w:val="24"/>
              </w:rPr>
            </w:pPr>
            <w:r>
              <w:rPr>
                <w:rFonts w:ascii="Times New Roman" w:hAnsi="Times New Roman" w:eastAsia="Times New Roman"/>
                <w:sz w:val="24"/>
                <w:szCs w:val="24"/>
              </w:rPr>
              <w:t xml:space="preserve">68</w:t>
            </w:r>
            <w:r>
              <w:rPr>
                <w:rFonts w:ascii="Times New Roman" w:hAnsi="Times New Roman"/>
                <w:sz w:val="24"/>
                <w:szCs w:val="24"/>
              </w:rPr>
            </w:r>
            <w:r>
              <w:rPr>
                <w:rFonts w:ascii="Times New Roman" w:hAnsi="Times New Roman"/>
                <w:sz w:val="24"/>
                <w:szCs w:val="24"/>
              </w:rPr>
            </w:r>
          </w:p>
        </w:tc>
        <w:tc>
          <w:tcPr>
            <w:tcW w:w="780" w:type="pct"/>
            <w:textDirection w:val="lrTb"/>
            <w:noWrap w:val="false"/>
          </w:tcPr>
          <w:p>
            <w:pPr>
              <w:jc w:val="center"/>
              <w:spacing w:after="0" w:line="240" w:lineRule="auto"/>
              <w:rPr>
                <w:rFonts w:ascii="Times New Roman" w:hAnsi="Times New Roman"/>
                <w:sz w:val="24"/>
                <w:szCs w:val="24"/>
              </w:rPr>
            </w:pPr>
            <w:r>
              <w:rPr>
                <w:rFonts w:ascii="Times New Roman" w:hAnsi="Times New Roman" w:eastAsia="Times New Roman"/>
                <w:sz w:val="24"/>
                <w:szCs w:val="24"/>
              </w:rPr>
              <w:t xml:space="preserve">62</w:t>
            </w:r>
            <w:r>
              <w:rPr>
                <w:rFonts w:ascii="Times New Roman" w:hAnsi="Times New Roman"/>
                <w:sz w:val="24"/>
                <w:szCs w:val="24"/>
              </w:rPr>
            </w:r>
            <w:r>
              <w:rPr>
                <w:rFonts w:ascii="Times New Roman" w:hAnsi="Times New Roman"/>
                <w:sz w:val="24"/>
                <w:szCs w:val="24"/>
              </w:rPr>
            </w:r>
          </w:p>
        </w:tc>
      </w:tr>
      <w:tr>
        <w:tblPrEx/>
        <w:trPr>
          <w:jc w:val="center"/>
        </w:trPr>
        <w:tc>
          <w:tcPr>
            <w:tcW w:w="1835" w:type="pct"/>
            <w:textDirection w:val="lrTb"/>
            <w:noWrap w:val="false"/>
          </w:tcPr>
          <w:p>
            <w:pPr>
              <w:spacing w:after="0" w:line="240" w:lineRule="auto"/>
              <w:rPr>
                <w:rFonts w:ascii="Times New Roman" w:hAnsi="Times New Roman"/>
                <w:sz w:val="24"/>
                <w:szCs w:val="24"/>
              </w:rPr>
            </w:pPr>
            <w:r>
              <w:rPr>
                <w:rFonts w:ascii="Times New Roman" w:hAnsi="Times New Roman" w:eastAsia="Times New Roman"/>
                <w:sz w:val="24"/>
                <w:szCs w:val="24"/>
              </w:rPr>
              <w:t xml:space="preserve">Лухский</w:t>
            </w:r>
            <w:r>
              <w:rPr>
                <w:rFonts w:ascii="Times New Roman" w:hAnsi="Times New Roman" w:eastAsia="Times New Roman"/>
                <w:sz w:val="24"/>
                <w:szCs w:val="24"/>
              </w:rPr>
              <w:t xml:space="preserve"> муниципальный район</w:t>
            </w:r>
            <w:r>
              <w:rPr>
                <w:rFonts w:ascii="Times New Roman" w:hAnsi="Times New Roman"/>
                <w:sz w:val="24"/>
                <w:szCs w:val="24"/>
              </w:rPr>
            </w:r>
            <w:r>
              <w:rPr>
                <w:rFonts w:ascii="Times New Roman" w:hAnsi="Times New Roman"/>
                <w:sz w:val="24"/>
                <w:szCs w:val="24"/>
              </w:rPr>
            </w:r>
          </w:p>
        </w:tc>
        <w:tc>
          <w:tcPr>
            <w:tcW w:w="772" w:type="pct"/>
            <w:textDirection w:val="lrTb"/>
            <w:noWrap w:val="false"/>
          </w:tcPr>
          <w:p>
            <w:pPr>
              <w:jc w:val="center"/>
              <w:spacing w:after="0" w:line="240" w:lineRule="auto"/>
              <w:rPr>
                <w:rFonts w:ascii="Times New Roman" w:hAnsi="Times New Roman"/>
                <w:sz w:val="24"/>
                <w:szCs w:val="24"/>
              </w:rPr>
            </w:pPr>
            <w:r>
              <w:rPr>
                <w:rFonts w:ascii="Times New Roman" w:hAnsi="Times New Roman" w:eastAsia="Times New Roman"/>
                <w:sz w:val="24"/>
                <w:szCs w:val="24"/>
              </w:rPr>
              <w:t xml:space="preserve">15</w:t>
            </w:r>
            <w:r>
              <w:rPr>
                <w:rFonts w:ascii="Times New Roman" w:hAnsi="Times New Roman"/>
                <w:sz w:val="24"/>
                <w:szCs w:val="24"/>
              </w:rPr>
            </w:r>
            <w:r>
              <w:rPr>
                <w:rFonts w:ascii="Times New Roman" w:hAnsi="Times New Roman"/>
                <w:sz w:val="24"/>
                <w:szCs w:val="24"/>
              </w:rPr>
            </w:r>
          </w:p>
        </w:tc>
        <w:tc>
          <w:tcPr>
            <w:tcW w:w="843" w:type="pct"/>
            <w:textDirection w:val="lrTb"/>
            <w:noWrap w:val="false"/>
          </w:tcPr>
          <w:p>
            <w:pPr>
              <w:jc w:val="center"/>
              <w:spacing w:after="0" w:line="240" w:lineRule="auto"/>
              <w:rPr>
                <w:rFonts w:ascii="Times New Roman" w:hAnsi="Times New Roman"/>
                <w:sz w:val="24"/>
                <w:szCs w:val="24"/>
              </w:rPr>
            </w:pPr>
            <w:r>
              <w:rPr>
                <w:rFonts w:ascii="Times New Roman" w:hAnsi="Times New Roman" w:eastAsia="Times New Roman"/>
                <w:sz w:val="24"/>
                <w:szCs w:val="24"/>
              </w:rPr>
              <w:t xml:space="preserve">11</w:t>
            </w:r>
            <w:r>
              <w:rPr>
                <w:rFonts w:ascii="Times New Roman" w:hAnsi="Times New Roman"/>
                <w:sz w:val="24"/>
                <w:szCs w:val="24"/>
              </w:rPr>
            </w:r>
            <w:r>
              <w:rPr>
                <w:rFonts w:ascii="Times New Roman" w:hAnsi="Times New Roman"/>
                <w:sz w:val="24"/>
                <w:szCs w:val="24"/>
              </w:rPr>
            </w:r>
          </w:p>
        </w:tc>
        <w:tc>
          <w:tcPr>
            <w:tcW w:w="771" w:type="pct"/>
            <w:textDirection w:val="lrTb"/>
            <w:noWrap w:val="false"/>
          </w:tcPr>
          <w:p>
            <w:pPr>
              <w:jc w:val="center"/>
              <w:spacing w:after="0" w:line="240" w:lineRule="auto"/>
              <w:rPr>
                <w:rFonts w:ascii="Times New Roman" w:hAnsi="Times New Roman"/>
                <w:sz w:val="24"/>
                <w:szCs w:val="24"/>
              </w:rPr>
            </w:pPr>
            <w:r>
              <w:rPr>
                <w:rFonts w:ascii="Times New Roman" w:hAnsi="Times New Roman" w:eastAsia="Times New Roman"/>
                <w:sz w:val="24"/>
                <w:szCs w:val="24"/>
              </w:rPr>
              <w:t xml:space="preserve">16</w:t>
            </w:r>
            <w:r>
              <w:rPr>
                <w:rFonts w:ascii="Times New Roman" w:hAnsi="Times New Roman"/>
                <w:sz w:val="24"/>
                <w:szCs w:val="24"/>
              </w:rPr>
            </w:r>
            <w:r>
              <w:rPr>
                <w:rFonts w:ascii="Times New Roman" w:hAnsi="Times New Roman"/>
                <w:sz w:val="24"/>
                <w:szCs w:val="24"/>
              </w:rPr>
            </w:r>
          </w:p>
        </w:tc>
        <w:tc>
          <w:tcPr>
            <w:tcW w:w="780" w:type="pct"/>
            <w:textDirection w:val="lrTb"/>
            <w:noWrap w:val="false"/>
          </w:tcPr>
          <w:p>
            <w:pPr>
              <w:jc w:val="center"/>
              <w:spacing w:after="0" w:line="240" w:lineRule="auto"/>
              <w:rPr>
                <w:rFonts w:ascii="Times New Roman" w:hAnsi="Times New Roman"/>
                <w:sz w:val="24"/>
                <w:szCs w:val="24"/>
              </w:rPr>
            </w:pPr>
            <w:r>
              <w:rPr>
                <w:rFonts w:ascii="Times New Roman" w:hAnsi="Times New Roman" w:eastAsia="Times New Roman"/>
                <w:sz w:val="24"/>
                <w:szCs w:val="24"/>
              </w:rPr>
              <w:t xml:space="preserve">10</w:t>
            </w:r>
            <w:r>
              <w:rPr>
                <w:rFonts w:ascii="Times New Roman" w:hAnsi="Times New Roman"/>
                <w:sz w:val="24"/>
                <w:szCs w:val="24"/>
              </w:rPr>
            </w:r>
            <w:r>
              <w:rPr>
                <w:rFonts w:ascii="Times New Roman" w:hAnsi="Times New Roman"/>
                <w:sz w:val="24"/>
                <w:szCs w:val="24"/>
              </w:rPr>
            </w:r>
          </w:p>
        </w:tc>
      </w:tr>
      <w:tr>
        <w:tblPrEx/>
        <w:trPr>
          <w:jc w:val="center"/>
        </w:trPr>
        <w:tc>
          <w:tcPr>
            <w:tcW w:w="1835" w:type="pct"/>
            <w:textDirection w:val="lrTb"/>
            <w:noWrap w:val="false"/>
          </w:tcPr>
          <w:p>
            <w:pPr>
              <w:spacing w:after="0" w:line="240" w:lineRule="auto"/>
              <w:rPr>
                <w:rFonts w:ascii="Times New Roman" w:hAnsi="Times New Roman"/>
                <w:sz w:val="24"/>
                <w:szCs w:val="24"/>
              </w:rPr>
            </w:pPr>
            <w:r>
              <w:rPr>
                <w:rFonts w:ascii="Times New Roman" w:hAnsi="Times New Roman" w:eastAsia="Times New Roman"/>
                <w:sz w:val="24"/>
                <w:szCs w:val="24"/>
              </w:rPr>
              <w:t xml:space="preserve">Палехский муниципальный район</w:t>
            </w:r>
            <w:r>
              <w:rPr>
                <w:rFonts w:ascii="Times New Roman" w:hAnsi="Times New Roman"/>
                <w:sz w:val="24"/>
                <w:szCs w:val="24"/>
              </w:rPr>
            </w:r>
            <w:r>
              <w:rPr>
                <w:rFonts w:ascii="Times New Roman" w:hAnsi="Times New Roman"/>
                <w:sz w:val="24"/>
                <w:szCs w:val="24"/>
              </w:rPr>
            </w:r>
          </w:p>
        </w:tc>
        <w:tc>
          <w:tcPr>
            <w:tcW w:w="772" w:type="pct"/>
            <w:textDirection w:val="lrTb"/>
            <w:noWrap w:val="false"/>
          </w:tcPr>
          <w:p>
            <w:pPr>
              <w:jc w:val="center"/>
              <w:spacing w:after="0" w:line="240" w:lineRule="auto"/>
              <w:rPr>
                <w:rFonts w:ascii="Times New Roman" w:hAnsi="Times New Roman"/>
                <w:sz w:val="24"/>
                <w:szCs w:val="24"/>
              </w:rPr>
            </w:pPr>
            <w:r>
              <w:rPr>
                <w:rFonts w:ascii="Times New Roman" w:hAnsi="Times New Roman" w:eastAsia="Times New Roman"/>
                <w:sz w:val="24"/>
                <w:szCs w:val="24"/>
              </w:rPr>
              <w:t xml:space="preserve">30</w:t>
            </w:r>
            <w:r>
              <w:rPr>
                <w:rFonts w:ascii="Times New Roman" w:hAnsi="Times New Roman"/>
                <w:sz w:val="24"/>
                <w:szCs w:val="24"/>
              </w:rPr>
            </w:r>
            <w:r>
              <w:rPr>
                <w:rFonts w:ascii="Times New Roman" w:hAnsi="Times New Roman"/>
                <w:sz w:val="24"/>
                <w:szCs w:val="24"/>
              </w:rPr>
            </w:r>
          </w:p>
        </w:tc>
        <w:tc>
          <w:tcPr>
            <w:tcW w:w="843" w:type="pct"/>
            <w:textDirection w:val="lrTb"/>
            <w:noWrap w:val="false"/>
          </w:tcPr>
          <w:p>
            <w:pPr>
              <w:jc w:val="center"/>
              <w:spacing w:after="0" w:line="240" w:lineRule="auto"/>
              <w:rPr>
                <w:rFonts w:ascii="Times New Roman" w:hAnsi="Times New Roman"/>
                <w:sz w:val="24"/>
                <w:szCs w:val="24"/>
              </w:rPr>
            </w:pPr>
            <w:r>
              <w:rPr>
                <w:rFonts w:ascii="Times New Roman" w:hAnsi="Times New Roman" w:eastAsia="Times New Roman"/>
                <w:sz w:val="24"/>
                <w:szCs w:val="24"/>
              </w:rPr>
              <w:t xml:space="preserve">26</w:t>
            </w:r>
            <w:r>
              <w:rPr>
                <w:rFonts w:ascii="Times New Roman" w:hAnsi="Times New Roman"/>
                <w:sz w:val="24"/>
                <w:szCs w:val="24"/>
              </w:rPr>
            </w:r>
            <w:r>
              <w:rPr>
                <w:rFonts w:ascii="Times New Roman" w:hAnsi="Times New Roman"/>
                <w:sz w:val="24"/>
                <w:szCs w:val="24"/>
              </w:rPr>
            </w:r>
          </w:p>
        </w:tc>
        <w:tc>
          <w:tcPr>
            <w:tcW w:w="771" w:type="pct"/>
            <w:textDirection w:val="lrTb"/>
            <w:noWrap w:val="false"/>
          </w:tcPr>
          <w:p>
            <w:pPr>
              <w:jc w:val="center"/>
              <w:spacing w:after="0" w:line="240" w:lineRule="auto"/>
              <w:rPr>
                <w:rFonts w:ascii="Times New Roman" w:hAnsi="Times New Roman"/>
                <w:sz w:val="24"/>
                <w:szCs w:val="24"/>
              </w:rPr>
            </w:pPr>
            <w:r>
              <w:rPr>
                <w:rFonts w:ascii="Times New Roman" w:hAnsi="Times New Roman" w:eastAsia="Times New Roman"/>
                <w:sz w:val="24"/>
                <w:szCs w:val="24"/>
              </w:rPr>
              <w:t xml:space="preserve">29</w:t>
            </w:r>
            <w:r>
              <w:rPr>
                <w:rFonts w:ascii="Times New Roman" w:hAnsi="Times New Roman"/>
                <w:sz w:val="24"/>
                <w:szCs w:val="24"/>
              </w:rPr>
            </w:r>
            <w:r>
              <w:rPr>
                <w:rFonts w:ascii="Times New Roman" w:hAnsi="Times New Roman"/>
                <w:sz w:val="24"/>
                <w:szCs w:val="24"/>
              </w:rPr>
            </w:r>
          </w:p>
        </w:tc>
        <w:tc>
          <w:tcPr>
            <w:tcW w:w="780" w:type="pct"/>
            <w:textDirection w:val="lrTb"/>
            <w:noWrap w:val="false"/>
          </w:tcPr>
          <w:p>
            <w:pPr>
              <w:jc w:val="center"/>
              <w:spacing w:after="0" w:line="240" w:lineRule="auto"/>
              <w:rPr>
                <w:rFonts w:ascii="Times New Roman" w:hAnsi="Times New Roman"/>
                <w:sz w:val="24"/>
                <w:szCs w:val="24"/>
              </w:rPr>
            </w:pPr>
            <w:r>
              <w:rPr>
                <w:rFonts w:ascii="Times New Roman" w:hAnsi="Times New Roman" w:eastAsia="Times New Roman"/>
                <w:sz w:val="24"/>
                <w:szCs w:val="24"/>
              </w:rPr>
              <w:t xml:space="preserve">23</w:t>
            </w:r>
            <w:r>
              <w:rPr>
                <w:rFonts w:ascii="Times New Roman" w:hAnsi="Times New Roman"/>
                <w:sz w:val="24"/>
                <w:szCs w:val="24"/>
              </w:rPr>
            </w:r>
            <w:r>
              <w:rPr>
                <w:rFonts w:ascii="Times New Roman" w:hAnsi="Times New Roman"/>
                <w:sz w:val="24"/>
                <w:szCs w:val="24"/>
              </w:rPr>
            </w:r>
          </w:p>
        </w:tc>
      </w:tr>
      <w:tr>
        <w:tblPrEx/>
        <w:trPr>
          <w:jc w:val="center"/>
        </w:trPr>
        <w:tc>
          <w:tcPr>
            <w:tcW w:w="1835" w:type="pct"/>
            <w:textDirection w:val="lrTb"/>
            <w:noWrap w:val="false"/>
          </w:tcPr>
          <w:p>
            <w:pPr>
              <w:spacing w:after="0" w:line="240" w:lineRule="auto"/>
              <w:rPr>
                <w:rFonts w:ascii="Times New Roman" w:hAnsi="Times New Roman"/>
                <w:sz w:val="24"/>
                <w:szCs w:val="24"/>
              </w:rPr>
            </w:pPr>
            <w:r>
              <w:rPr>
                <w:rFonts w:ascii="Times New Roman" w:hAnsi="Times New Roman" w:eastAsia="Times New Roman"/>
                <w:sz w:val="24"/>
                <w:szCs w:val="24"/>
              </w:rPr>
              <w:t xml:space="preserve">Пестяковский</w:t>
            </w:r>
            <w:r>
              <w:rPr>
                <w:rFonts w:ascii="Times New Roman" w:hAnsi="Times New Roman" w:eastAsia="Times New Roman"/>
                <w:sz w:val="24"/>
                <w:szCs w:val="24"/>
              </w:rPr>
              <w:t xml:space="preserve"> муниципальный район</w:t>
            </w:r>
            <w:r>
              <w:rPr>
                <w:rFonts w:ascii="Times New Roman" w:hAnsi="Times New Roman"/>
                <w:sz w:val="24"/>
                <w:szCs w:val="24"/>
              </w:rPr>
            </w:r>
            <w:r>
              <w:rPr>
                <w:rFonts w:ascii="Times New Roman" w:hAnsi="Times New Roman"/>
                <w:sz w:val="24"/>
                <w:szCs w:val="24"/>
              </w:rPr>
            </w:r>
          </w:p>
        </w:tc>
        <w:tc>
          <w:tcPr>
            <w:tcW w:w="772" w:type="pct"/>
            <w:textDirection w:val="lrTb"/>
            <w:noWrap w:val="false"/>
          </w:tcPr>
          <w:p>
            <w:pPr>
              <w:jc w:val="center"/>
              <w:spacing w:after="0" w:line="240" w:lineRule="auto"/>
              <w:rPr>
                <w:rFonts w:ascii="Times New Roman" w:hAnsi="Times New Roman"/>
                <w:sz w:val="24"/>
                <w:szCs w:val="24"/>
              </w:rPr>
            </w:pPr>
            <w:r>
              <w:rPr>
                <w:rFonts w:ascii="Times New Roman" w:hAnsi="Times New Roman" w:eastAsia="Times New Roman"/>
                <w:sz w:val="24"/>
                <w:szCs w:val="24"/>
              </w:rPr>
              <w:t xml:space="preserve">14</w:t>
            </w:r>
            <w:r>
              <w:rPr>
                <w:rFonts w:ascii="Times New Roman" w:hAnsi="Times New Roman"/>
                <w:sz w:val="24"/>
                <w:szCs w:val="24"/>
              </w:rPr>
            </w:r>
            <w:r>
              <w:rPr>
                <w:rFonts w:ascii="Times New Roman" w:hAnsi="Times New Roman"/>
                <w:sz w:val="24"/>
                <w:szCs w:val="24"/>
              </w:rPr>
            </w:r>
          </w:p>
        </w:tc>
        <w:tc>
          <w:tcPr>
            <w:tcW w:w="843" w:type="pct"/>
            <w:textDirection w:val="lrTb"/>
            <w:noWrap w:val="false"/>
          </w:tcPr>
          <w:p>
            <w:pPr>
              <w:jc w:val="center"/>
              <w:spacing w:after="0" w:line="240" w:lineRule="auto"/>
              <w:rPr>
                <w:rFonts w:ascii="Times New Roman" w:hAnsi="Times New Roman"/>
                <w:sz w:val="24"/>
                <w:szCs w:val="24"/>
              </w:rPr>
            </w:pPr>
            <w:r>
              <w:rPr>
                <w:rFonts w:ascii="Times New Roman" w:hAnsi="Times New Roman" w:eastAsia="Times New Roman"/>
                <w:sz w:val="24"/>
                <w:szCs w:val="24"/>
              </w:rPr>
              <w:t xml:space="preserve">11</w:t>
            </w:r>
            <w:r>
              <w:rPr>
                <w:rFonts w:ascii="Times New Roman" w:hAnsi="Times New Roman"/>
                <w:sz w:val="24"/>
                <w:szCs w:val="24"/>
              </w:rPr>
            </w:r>
            <w:r>
              <w:rPr>
                <w:rFonts w:ascii="Times New Roman" w:hAnsi="Times New Roman"/>
                <w:sz w:val="24"/>
                <w:szCs w:val="24"/>
              </w:rPr>
            </w:r>
          </w:p>
        </w:tc>
        <w:tc>
          <w:tcPr>
            <w:tcW w:w="771" w:type="pct"/>
            <w:textDirection w:val="lrTb"/>
            <w:noWrap w:val="false"/>
          </w:tcPr>
          <w:p>
            <w:pPr>
              <w:jc w:val="center"/>
              <w:spacing w:after="0" w:line="240" w:lineRule="auto"/>
              <w:rPr>
                <w:rFonts w:ascii="Times New Roman" w:hAnsi="Times New Roman"/>
                <w:sz w:val="24"/>
                <w:szCs w:val="24"/>
              </w:rPr>
            </w:pPr>
            <w:r>
              <w:rPr>
                <w:rFonts w:ascii="Times New Roman" w:hAnsi="Times New Roman" w:eastAsia="Times New Roman"/>
                <w:sz w:val="24"/>
                <w:szCs w:val="24"/>
              </w:rPr>
              <w:t xml:space="preserve">14</w:t>
            </w:r>
            <w:r>
              <w:rPr>
                <w:rFonts w:ascii="Times New Roman" w:hAnsi="Times New Roman"/>
                <w:sz w:val="24"/>
                <w:szCs w:val="24"/>
              </w:rPr>
            </w:r>
            <w:r>
              <w:rPr>
                <w:rFonts w:ascii="Times New Roman" w:hAnsi="Times New Roman"/>
                <w:sz w:val="24"/>
                <w:szCs w:val="24"/>
              </w:rPr>
            </w:r>
          </w:p>
        </w:tc>
        <w:tc>
          <w:tcPr>
            <w:tcW w:w="780" w:type="pct"/>
            <w:textDirection w:val="lrTb"/>
            <w:noWrap w:val="false"/>
          </w:tcPr>
          <w:p>
            <w:pPr>
              <w:jc w:val="center"/>
              <w:spacing w:after="0" w:line="240" w:lineRule="auto"/>
              <w:rPr>
                <w:rFonts w:ascii="Times New Roman" w:hAnsi="Times New Roman"/>
                <w:sz w:val="24"/>
                <w:szCs w:val="24"/>
              </w:rPr>
            </w:pPr>
            <w:r>
              <w:rPr>
                <w:rFonts w:ascii="Times New Roman" w:hAnsi="Times New Roman" w:eastAsia="Times New Roman"/>
                <w:sz w:val="24"/>
                <w:szCs w:val="24"/>
              </w:rPr>
              <w:t xml:space="preserve">10</w:t>
            </w:r>
            <w:r>
              <w:rPr>
                <w:rFonts w:ascii="Times New Roman" w:hAnsi="Times New Roman"/>
                <w:sz w:val="24"/>
                <w:szCs w:val="24"/>
              </w:rPr>
            </w:r>
            <w:r>
              <w:rPr>
                <w:rFonts w:ascii="Times New Roman" w:hAnsi="Times New Roman"/>
                <w:sz w:val="24"/>
                <w:szCs w:val="24"/>
              </w:rPr>
            </w:r>
          </w:p>
        </w:tc>
      </w:tr>
      <w:tr>
        <w:tblPrEx/>
        <w:trPr>
          <w:jc w:val="center"/>
        </w:trPr>
        <w:tc>
          <w:tcPr>
            <w:tcW w:w="1835" w:type="pct"/>
            <w:textDirection w:val="lrTb"/>
            <w:noWrap w:val="false"/>
          </w:tcPr>
          <w:p>
            <w:pPr>
              <w:spacing w:after="0" w:line="240" w:lineRule="auto"/>
              <w:rPr>
                <w:rFonts w:ascii="Times New Roman" w:hAnsi="Times New Roman"/>
                <w:sz w:val="24"/>
                <w:szCs w:val="24"/>
              </w:rPr>
            </w:pPr>
            <w:r>
              <w:rPr>
                <w:rFonts w:ascii="Times New Roman" w:hAnsi="Times New Roman" w:eastAsia="Times New Roman"/>
                <w:sz w:val="24"/>
                <w:szCs w:val="24"/>
              </w:rPr>
              <w:t xml:space="preserve">Приволжский муниципальный район </w:t>
            </w:r>
            <w:r>
              <w:rPr>
                <w:rFonts w:ascii="Times New Roman" w:hAnsi="Times New Roman"/>
                <w:sz w:val="24"/>
                <w:szCs w:val="24"/>
              </w:rPr>
            </w:r>
            <w:r>
              <w:rPr>
                <w:rFonts w:ascii="Times New Roman" w:hAnsi="Times New Roman"/>
                <w:sz w:val="24"/>
                <w:szCs w:val="24"/>
              </w:rPr>
            </w:r>
          </w:p>
        </w:tc>
        <w:tc>
          <w:tcPr>
            <w:tcW w:w="772" w:type="pct"/>
            <w:textDirection w:val="lrTb"/>
            <w:noWrap w:val="false"/>
          </w:tcPr>
          <w:p>
            <w:pPr>
              <w:jc w:val="center"/>
              <w:spacing w:after="0" w:line="240" w:lineRule="auto"/>
              <w:rPr>
                <w:rFonts w:ascii="Times New Roman" w:hAnsi="Times New Roman"/>
                <w:sz w:val="24"/>
                <w:szCs w:val="24"/>
              </w:rPr>
            </w:pPr>
            <w:r>
              <w:rPr>
                <w:rFonts w:ascii="Times New Roman" w:hAnsi="Times New Roman" w:eastAsia="Times New Roman"/>
                <w:sz w:val="24"/>
                <w:szCs w:val="24"/>
              </w:rPr>
              <w:t xml:space="preserve">88</w:t>
            </w:r>
            <w:r>
              <w:rPr>
                <w:rFonts w:ascii="Times New Roman" w:hAnsi="Times New Roman"/>
                <w:sz w:val="24"/>
                <w:szCs w:val="24"/>
              </w:rPr>
            </w:r>
            <w:r>
              <w:rPr>
                <w:rFonts w:ascii="Times New Roman" w:hAnsi="Times New Roman"/>
                <w:sz w:val="24"/>
                <w:szCs w:val="24"/>
              </w:rPr>
            </w:r>
          </w:p>
        </w:tc>
        <w:tc>
          <w:tcPr>
            <w:tcW w:w="843" w:type="pct"/>
            <w:textDirection w:val="lrTb"/>
            <w:noWrap w:val="false"/>
          </w:tcPr>
          <w:p>
            <w:pPr>
              <w:jc w:val="center"/>
              <w:spacing w:after="0" w:line="240" w:lineRule="auto"/>
              <w:rPr>
                <w:rFonts w:ascii="Times New Roman" w:hAnsi="Times New Roman"/>
                <w:sz w:val="24"/>
                <w:szCs w:val="24"/>
              </w:rPr>
            </w:pPr>
            <w:r>
              <w:rPr>
                <w:rFonts w:ascii="Times New Roman" w:hAnsi="Times New Roman" w:eastAsia="Times New Roman"/>
                <w:sz w:val="24"/>
                <w:szCs w:val="24"/>
              </w:rPr>
              <w:t xml:space="preserve">70</w:t>
            </w:r>
            <w:r>
              <w:rPr>
                <w:rFonts w:ascii="Times New Roman" w:hAnsi="Times New Roman"/>
                <w:sz w:val="24"/>
                <w:szCs w:val="24"/>
              </w:rPr>
            </w:r>
            <w:r>
              <w:rPr>
                <w:rFonts w:ascii="Times New Roman" w:hAnsi="Times New Roman"/>
                <w:sz w:val="24"/>
                <w:szCs w:val="24"/>
              </w:rPr>
            </w:r>
          </w:p>
        </w:tc>
        <w:tc>
          <w:tcPr>
            <w:tcW w:w="771" w:type="pct"/>
            <w:textDirection w:val="lrTb"/>
            <w:noWrap w:val="false"/>
          </w:tcPr>
          <w:p>
            <w:pPr>
              <w:jc w:val="center"/>
              <w:spacing w:after="0" w:line="240" w:lineRule="auto"/>
              <w:rPr>
                <w:rFonts w:ascii="Times New Roman" w:hAnsi="Times New Roman"/>
                <w:sz w:val="24"/>
                <w:szCs w:val="24"/>
              </w:rPr>
            </w:pPr>
            <w:r>
              <w:rPr>
                <w:rFonts w:ascii="Times New Roman" w:hAnsi="Times New Roman" w:eastAsia="Times New Roman"/>
                <w:sz w:val="24"/>
                <w:szCs w:val="24"/>
              </w:rPr>
              <w:t xml:space="preserve">90</w:t>
            </w:r>
            <w:r>
              <w:rPr>
                <w:rFonts w:ascii="Times New Roman" w:hAnsi="Times New Roman"/>
                <w:sz w:val="24"/>
                <w:szCs w:val="24"/>
              </w:rPr>
            </w:r>
            <w:r>
              <w:rPr>
                <w:rFonts w:ascii="Times New Roman" w:hAnsi="Times New Roman"/>
                <w:sz w:val="24"/>
                <w:szCs w:val="24"/>
              </w:rPr>
            </w:r>
          </w:p>
        </w:tc>
        <w:tc>
          <w:tcPr>
            <w:tcW w:w="780" w:type="pct"/>
            <w:textDirection w:val="lrTb"/>
            <w:noWrap w:val="false"/>
          </w:tcPr>
          <w:p>
            <w:pPr>
              <w:jc w:val="center"/>
              <w:spacing w:after="0" w:line="240" w:lineRule="auto"/>
              <w:rPr>
                <w:rFonts w:ascii="Times New Roman" w:hAnsi="Times New Roman"/>
                <w:sz w:val="24"/>
                <w:szCs w:val="24"/>
              </w:rPr>
            </w:pPr>
            <w:r>
              <w:rPr>
                <w:rFonts w:ascii="Times New Roman" w:hAnsi="Times New Roman" w:eastAsia="Times New Roman"/>
                <w:sz w:val="24"/>
                <w:szCs w:val="24"/>
              </w:rPr>
              <w:t xml:space="preserve">69</w:t>
            </w:r>
            <w:r>
              <w:rPr>
                <w:rFonts w:ascii="Times New Roman" w:hAnsi="Times New Roman"/>
                <w:sz w:val="24"/>
                <w:szCs w:val="24"/>
              </w:rPr>
            </w:r>
            <w:r>
              <w:rPr>
                <w:rFonts w:ascii="Times New Roman" w:hAnsi="Times New Roman"/>
                <w:sz w:val="24"/>
                <w:szCs w:val="24"/>
              </w:rPr>
            </w:r>
          </w:p>
        </w:tc>
      </w:tr>
      <w:tr>
        <w:tblPrEx/>
        <w:trPr>
          <w:jc w:val="center"/>
        </w:trPr>
        <w:tc>
          <w:tcPr>
            <w:tcW w:w="1835" w:type="pct"/>
            <w:textDirection w:val="lrTb"/>
            <w:noWrap w:val="false"/>
          </w:tcPr>
          <w:p>
            <w:pPr>
              <w:spacing w:after="0" w:line="240" w:lineRule="auto"/>
              <w:rPr>
                <w:rFonts w:ascii="Times New Roman" w:hAnsi="Times New Roman"/>
                <w:sz w:val="24"/>
                <w:szCs w:val="24"/>
              </w:rPr>
            </w:pPr>
            <w:r>
              <w:rPr>
                <w:rFonts w:ascii="Times New Roman" w:hAnsi="Times New Roman" w:eastAsia="Times New Roman"/>
                <w:sz w:val="24"/>
                <w:szCs w:val="24"/>
              </w:rPr>
              <w:t xml:space="preserve">Пучежский</w:t>
            </w:r>
            <w:r>
              <w:rPr>
                <w:rFonts w:ascii="Times New Roman" w:hAnsi="Times New Roman" w:eastAsia="Times New Roman"/>
                <w:sz w:val="24"/>
                <w:szCs w:val="24"/>
              </w:rPr>
              <w:t xml:space="preserve"> муниципальный район </w:t>
            </w:r>
            <w:r>
              <w:rPr>
                <w:rFonts w:ascii="Times New Roman" w:hAnsi="Times New Roman"/>
                <w:sz w:val="24"/>
                <w:szCs w:val="24"/>
              </w:rPr>
            </w:r>
            <w:r>
              <w:rPr>
                <w:rFonts w:ascii="Times New Roman" w:hAnsi="Times New Roman"/>
                <w:sz w:val="24"/>
                <w:szCs w:val="24"/>
              </w:rPr>
            </w:r>
          </w:p>
        </w:tc>
        <w:tc>
          <w:tcPr>
            <w:tcW w:w="772" w:type="pct"/>
            <w:textDirection w:val="lrTb"/>
            <w:noWrap w:val="false"/>
          </w:tcPr>
          <w:p>
            <w:pPr>
              <w:jc w:val="center"/>
              <w:spacing w:after="0" w:line="240" w:lineRule="auto"/>
              <w:rPr>
                <w:rFonts w:ascii="Times New Roman" w:hAnsi="Times New Roman"/>
                <w:sz w:val="24"/>
                <w:szCs w:val="24"/>
              </w:rPr>
            </w:pPr>
            <w:r>
              <w:rPr>
                <w:rFonts w:ascii="Times New Roman" w:hAnsi="Times New Roman" w:eastAsia="Times New Roman"/>
                <w:sz w:val="24"/>
                <w:szCs w:val="24"/>
              </w:rPr>
              <w:t xml:space="preserve">39</w:t>
            </w:r>
            <w:r>
              <w:rPr>
                <w:rFonts w:ascii="Times New Roman" w:hAnsi="Times New Roman"/>
                <w:sz w:val="24"/>
                <w:szCs w:val="24"/>
              </w:rPr>
            </w:r>
            <w:r>
              <w:rPr>
                <w:rFonts w:ascii="Times New Roman" w:hAnsi="Times New Roman"/>
                <w:sz w:val="24"/>
                <w:szCs w:val="24"/>
              </w:rPr>
            </w:r>
          </w:p>
        </w:tc>
        <w:tc>
          <w:tcPr>
            <w:tcW w:w="843" w:type="pct"/>
            <w:textDirection w:val="lrTb"/>
            <w:noWrap w:val="false"/>
          </w:tcPr>
          <w:p>
            <w:pPr>
              <w:jc w:val="center"/>
              <w:spacing w:after="0" w:line="240" w:lineRule="auto"/>
              <w:rPr>
                <w:rFonts w:ascii="Times New Roman" w:hAnsi="Times New Roman"/>
                <w:sz w:val="24"/>
                <w:szCs w:val="24"/>
              </w:rPr>
            </w:pPr>
            <w:r>
              <w:rPr>
                <w:rFonts w:ascii="Times New Roman" w:hAnsi="Times New Roman" w:eastAsia="Times New Roman"/>
                <w:sz w:val="24"/>
                <w:szCs w:val="24"/>
              </w:rPr>
              <w:t xml:space="preserve">35</w:t>
            </w:r>
            <w:r>
              <w:rPr>
                <w:rFonts w:ascii="Times New Roman" w:hAnsi="Times New Roman"/>
                <w:sz w:val="24"/>
                <w:szCs w:val="24"/>
              </w:rPr>
            </w:r>
            <w:r>
              <w:rPr>
                <w:rFonts w:ascii="Times New Roman" w:hAnsi="Times New Roman"/>
                <w:sz w:val="24"/>
                <w:szCs w:val="24"/>
              </w:rPr>
            </w:r>
          </w:p>
        </w:tc>
        <w:tc>
          <w:tcPr>
            <w:tcW w:w="771" w:type="pct"/>
            <w:textDirection w:val="lrTb"/>
            <w:noWrap w:val="false"/>
          </w:tcPr>
          <w:p>
            <w:pPr>
              <w:jc w:val="center"/>
              <w:spacing w:after="0" w:line="240" w:lineRule="auto"/>
              <w:rPr>
                <w:rFonts w:ascii="Times New Roman" w:hAnsi="Times New Roman"/>
                <w:sz w:val="24"/>
                <w:szCs w:val="24"/>
              </w:rPr>
            </w:pPr>
            <w:r>
              <w:rPr>
                <w:rFonts w:ascii="Times New Roman" w:hAnsi="Times New Roman" w:eastAsia="Times New Roman"/>
                <w:sz w:val="24"/>
                <w:szCs w:val="24"/>
              </w:rPr>
              <w:t xml:space="preserve">33</w:t>
            </w:r>
            <w:r>
              <w:rPr>
                <w:rFonts w:ascii="Times New Roman" w:hAnsi="Times New Roman"/>
                <w:sz w:val="24"/>
                <w:szCs w:val="24"/>
              </w:rPr>
            </w:r>
            <w:r>
              <w:rPr>
                <w:rFonts w:ascii="Times New Roman" w:hAnsi="Times New Roman"/>
                <w:sz w:val="24"/>
                <w:szCs w:val="24"/>
              </w:rPr>
            </w:r>
          </w:p>
        </w:tc>
        <w:tc>
          <w:tcPr>
            <w:tcW w:w="780" w:type="pct"/>
            <w:textDirection w:val="lrTb"/>
            <w:noWrap w:val="false"/>
          </w:tcPr>
          <w:p>
            <w:pPr>
              <w:jc w:val="center"/>
              <w:spacing w:after="0" w:line="240" w:lineRule="auto"/>
              <w:rPr>
                <w:rFonts w:ascii="Times New Roman" w:hAnsi="Times New Roman"/>
                <w:sz w:val="24"/>
                <w:szCs w:val="24"/>
              </w:rPr>
            </w:pPr>
            <w:r>
              <w:rPr>
                <w:rFonts w:ascii="Times New Roman" w:hAnsi="Times New Roman" w:eastAsia="Times New Roman"/>
                <w:sz w:val="24"/>
                <w:szCs w:val="24"/>
              </w:rPr>
              <w:t xml:space="preserve">29</w:t>
            </w:r>
            <w:r>
              <w:rPr>
                <w:rFonts w:ascii="Times New Roman" w:hAnsi="Times New Roman"/>
                <w:sz w:val="24"/>
                <w:szCs w:val="24"/>
              </w:rPr>
            </w:r>
            <w:r>
              <w:rPr>
                <w:rFonts w:ascii="Times New Roman" w:hAnsi="Times New Roman"/>
                <w:sz w:val="24"/>
                <w:szCs w:val="24"/>
              </w:rPr>
            </w:r>
          </w:p>
        </w:tc>
      </w:tr>
      <w:tr>
        <w:tblPrEx/>
        <w:trPr>
          <w:jc w:val="center"/>
        </w:trPr>
        <w:tc>
          <w:tcPr>
            <w:tcW w:w="1835" w:type="pct"/>
            <w:textDirection w:val="lrTb"/>
            <w:noWrap w:val="false"/>
          </w:tcPr>
          <w:p>
            <w:pPr>
              <w:spacing w:after="0" w:line="240" w:lineRule="auto"/>
              <w:rPr>
                <w:rFonts w:ascii="Times New Roman" w:hAnsi="Times New Roman"/>
                <w:sz w:val="24"/>
                <w:szCs w:val="24"/>
              </w:rPr>
            </w:pPr>
            <w:r>
              <w:rPr>
                <w:rFonts w:ascii="Times New Roman" w:hAnsi="Times New Roman" w:eastAsia="Times New Roman"/>
                <w:sz w:val="24"/>
                <w:szCs w:val="24"/>
              </w:rPr>
              <w:t xml:space="preserve">Родниковский муниципальный район </w:t>
            </w:r>
            <w:r>
              <w:rPr>
                <w:rFonts w:ascii="Times New Roman" w:hAnsi="Times New Roman"/>
                <w:sz w:val="24"/>
                <w:szCs w:val="24"/>
              </w:rPr>
            </w:r>
            <w:r>
              <w:rPr>
                <w:rFonts w:ascii="Times New Roman" w:hAnsi="Times New Roman"/>
                <w:sz w:val="24"/>
                <w:szCs w:val="24"/>
              </w:rPr>
            </w:r>
          </w:p>
        </w:tc>
        <w:tc>
          <w:tcPr>
            <w:tcW w:w="772" w:type="pct"/>
            <w:textDirection w:val="lrTb"/>
            <w:noWrap w:val="false"/>
          </w:tcPr>
          <w:p>
            <w:pPr>
              <w:jc w:val="center"/>
              <w:spacing w:after="0" w:line="240" w:lineRule="auto"/>
              <w:tabs>
                <w:tab w:val="center" w:pos="1109" w:leader="none"/>
                <w:tab w:val="right" w:pos="2219" w:leader="none"/>
              </w:tabs>
              <w:rPr>
                <w:rFonts w:ascii="Times New Roman" w:hAnsi="Times New Roman"/>
                <w:sz w:val="24"/>
                <w:szCs w:val="24"/>
              </w:rPr>
            </w:pPr>
            <w:r>
              <w:rPr>
                <w:rFonts w:ascii="Times New Roman" w:hAnsi="Times New Roman" w:eastAsia="Times New Roman"/>
                <w:sz w:val="24"/>
                <w:szCs w:val="24"/>
              </w:rPr>
              <w:t xml:space="preserve">115</w:t>
            </w:r>
            <w:r>
              <w:rPr>
                <w:rFonts w:ascii="Times New Roman" w:hAnsi="Times New Roman"/>
                <w:sz w:val="24"/>
                <w:szCs w:val="24"/>
              </w:rPr>
            </w:r>
            <w:r>
              <w:rPr>
                <w:rFonts w:ascii="Times New Roman" w:hAnsi="Times New Roman"/>
                <w:sz w:val="24"/>
                <w:szCs w:val="24"/>
              </w:rPr>
            </w:r>
          </w:p>
        </w:tc>
        <w:tc>
          <w:tcPr>
            <w:tcW w:w="843" w:type="pct"/>
            <w:textDirection w:val="lrTb"/>
            <w:noWrap w:val="false"/>
          </w:tcPr>
          <w:p>
            <w:pPr>
              <w:jc w:val="center"/>
              <w:spacing w:after="0" w:line="240" w:lineRule="auto"/>
              <w:rPr>
                <w:rFonts w:ascii="Times New Roman" w:hAnsi="Times New Roman"/>
                <w:sz w:val="24"/>
                <w:szCs w:val="24"/>
              </w:rPr>
            </w:pPr>
            <w:r>
              <w:rPr>
                <w:rFonts w:ascii="Times New Roman" w:hAnsi="Times New Roman" w:eastAsia="Times New Roman"/>
                <w:sz w:val="24"/>
                <w:szCs w:val="24"/>
              </w:rPr>
              <w:t xml:space="preserve">94</w:t>
            </w:r>
            <w:r>
              <w:rPr>
                <w:rFonts w:ascii="Times New Roman" w:hAnsi="Times New Roman"/>
                <w:sz w:val="24"/>
                <w:szCs w:val="24"/>
              </w:rPr>
            </w:r>
            <w:r>
              <w:rPr>
                <w:rFonts w:ascii="Times New Roman" w:hAnsi="Times New Roman"/>
                <w:sz w:val="24"/>
                <w:szCs w:val="24"/>
              </w:rPr>
            </w:r>
          </w:p>
        </w:tc>
        <w:tc>
          <w:tcPr>
            <w:tcW w:w="771" w:type="pct"/>
            <w:textDirection w:val="lrTb"/>
            <w:noWrap w:val="false"/>
          </w:tcPr>
          <w:p>
            <w:pPr>
              <w:jc w:val="center"/>
              <w:spacing w:after="0" w:line="240" w:lineRule="auto"/>
              <w:rPr>
                <w:rFonts w:ascii="Times New Roman" w:hAnsi="Times New Roman"/>
                <w:sz w:val="24"/>
                <w:szCs w:val="24"/>
              </w:rPr>
            </w:pPr>
            <w:r>
              <w:rPr>
                <w:rFonts w:ascii="Times New Roman" w:hAnsi="Times New Roman" w:eastAsia="Times New Roman"/>
                <w:sz w:val="24"/>
                <w:szCs w:val="24"/>
              </w:rPr>
              <w:t xml:space="preserve">109</w:t>
            </w:r>
            <w:r>
              <w:rPr>
                <w:rFonts w:ascii="Times New Roman" w:hAnsi="Times New Roman"/>
                <w:sz w:val="24"/>
                <w:szCs w:val="24"/>
              </w:rPr>
            </w:r>
            <w:r>
              <w:rPr>
                <w:rFonts w:ascii="Times New Roman" w:hAnsi="Times New Roman"/>
                <w:sz w:val="24"/>
                <w:szCs w:val="24"/>
              </w:rPr>
            </w:r>
          </w:p>
        </w:tc>
        <w:tc>
          <w:tcPr>
            <w:tcW w:w="780" w:type="pct"/>
            <w:textDirection w:val="lrTb"/>
            <w:noWrap w:val="false"/>
          </w:tcPr>
          <w:p>
            <w:pPr>
              <w:jc w:val="center"/>
              <w:spacing w:after="0" w:line="240" w:lineRule="auto"/>
              <w:rPr>
                <w:rFonts w:ascii="Times New Roman" w:hAnsi="Times New Roman"/>
                <w:sz w:val="24"/>
                <w:szCs w:val="24"/>
              </w:rPr>
            </w:pPr>
            <w:r>
              <w:rPr>
                <w:rFonts w:ascii="Times New Roman" w:hAnsi="Times New Roman" w:eastAsia="Times New Roman"/>
                <w:sz w:val="24"/>
                <w:szCs w:val="24"/>
              </w:rPr>
              <w:t xml:space="preserve">91</w:t>
            </w:r>
            <w:r>
              <w:rPr>
                <w:rFonts w:ascii="Times New Roman" w:hAnsi="Times New Roman"/>
                <w:sz w:val="24"/>
                <w:szCs w:val="24"/>
              </w:rPr>
            </w:r>
            <w:r>
              <w:rPr>
                <w:rFonts w:ascii="Times New Roman" w:hAnsi="Times New Roman"/>
                <w:sz w:val="24"/>
                <w:szCs w:val="24"/>
              </w:rPr>
            </w:r>
          </w:p>
        </w:tc>
      </w:tr>
      <w:tr>
        <w:tblPrEx/>
        <w:trPr>
          <w:jc w:val="center"/>
        </w:trPr>
        <w:tc>
          <w:tcPr>
            <w:tcW w:w="1835" w:type="pct"/>
            <w:textDirection w:val="lrTb"/>
            <w:noWrap w:val="false"/>
          </w:tcPr>
          <w:p>
            <w:pPr>
              <w:spacing w:after="0" w:line="240" w:lineRule="auto"/>
              <w:rPr>
                <w:rFonts w:ascii="Times New Roman" w:hAnsi="Times New Roman"/>
                <w:sz w:val="24"/>
                <w:szCs w:val="24"/>
              </w:rPr>
            </w:pPr>
            <w:r>
              <w:rPr>
                <w:rFonts w:ascii="Times New Roman" w:hAnsi="Times New Roman" w:eastAsia="Times New Roman"/>
                <w:sz w:val="24"/>
                <w:szCs w:val="24"/>
              </w:rPr>
              <w:t xml:space="preserve">Савинский муниципальный район </w:t>
            </w:r>
            <w:r>
              <w:rPr>
                <w:rFonts w:ascii="Times New Roman" w:hAnsi="Times New Roman"/>
                <w:sz w:val="24"/>
                <w:szCs w:val="24"/>
              </w:rPr>
            </w:r>
            <w:r>
              <w:rPr>
                <w:rFonts w:ascii="Times New Roman" w:hAnsi="Times New Roman"/>
                <w:sz w:val="24"/>
                <w:szCs w:val="24"/>
              </w:rPr>
            </w:r>
          </w:p>
        </w:tc>
        <w:tc>
          <w:tcPr>
            <w:tcW w:w="772" w:type="pct"/>
            <w:textDirection w:val="lrTb"/>
            <w:noWrap w:val="false"/>
          </w:tcPr>
          <w:p>
            <w:pPr>
              <w:jc w:val="center"/>
              <w:spacing w:after="0" w:line="240" w:lineRule="auto"/>
              <w:rPr>
                <w:rFonts w:ascii="Times New Roman" w:hAnsi="Times New Roman"/>
                <w:sz w:val="24"/>
                <w:szCs w:val="24"/>
              </w:rPr>
            </w:pPr>
            <w:r>
              <w:rPr>
                <w:rFonts w:ascii="Times New Roman" w:hAnsi="Times New Roman" w:eastAsia="Times New Roman"/>
                <w:sz w:val="24"/>
                <w:szCs w:val="24"/>
              </w:rPr>
              <w:t xml:space="preserve">43</w:t>
            </w:r>
            <w:r>
              <w:rPr>
                <w:rFonts w:ascii="Times New Roman" w:hAnsi="Times New Roman"/>
                <w:sz w:val="24"/>
                <w:szCs w:val="24"/>
              </w:rPr>
            </w:r>
            <w:r>
              <w:rPr>
                <w:rFonts w:ascii="Times New Roman" w:hAnsi="Times New Roman"/>
                <w:sz w:val="24"/>
                <w:szCs w:val="24"/>
              </w:rPr>
            </w:r>
          </w:p>
        </w:tc>
        <w:tc>
          <w:tcPr>
            <w:tcW w:w="843" w:type="pct"/>
            <w:textDirection w:val="lrTb"/>
            <w:noWrap w:val="false"/>
          </w:tcPr>
          <w:p>
            <w:pPr>
              <w:jc w:val="center"/>
              <w:spacing w:after="0" w:line="240" w:lineRule="auto"/>
              <w:rPr>
                <w:rFonts w:ascii="Times New Roman" w:hAnsi="Times New Roman"/>
                <w:sz w:val="24"/>
                <w:szCs w:val="24"/>
              </w:rPr>
            </w:pPr>
            <w:r>
              <w:rPr>
                <w:rFonts w:ascii="Times New Roman" w:hAnsi="Times New Roman" w:eastAsia="Times New Roman"/>
                <w:sz w:val="24"/>
                <w:szCs w:val="24"/>
              </w:rPr>
              <w:t xml:space="preserve">33</w:t>
            </w:r>
            <w:r>
              <w:rPr>
                <w:rFonts w:ascii="Times New Roman" w:hAnsi="Times New Roman"/>
                <w:sz w:val="24"/>
                <w:szCs w:val="24"/>
              </w:rPr>
            </w:r>
            <w:r>
              <w:rPr>
                <w:rFonts w:ascii="Times New Roman" w:hAnsi="Times New Roman"/>
                <w:sz w:val="24"/>
                <w:szCs w:val="24"/>
              </w:rPr>
            </w:r>
          </w:p>
        </w:tc>
        <w:tc>
          <w:tcPr>
            <w:tcW w:w="771" w:type="pct"/>
            <w:textDirection w:val="lrTb"/>
            <w:noWrap w:val="false"/>
          </w:tcPr>
          <w:p>
            <w:pPr>
              <w:jc w:val="center"/>
              <w:spacing w:after="0" w:line="240" w:lineRule="auto"/>
              <w:rPr>
                <w:rFonts w:ascii="Times New Roman" w:hAnsi="Times New Roman"/>
                <w:sz w:val="24"/>
                <w:szCs w:val="24"/>
              </w:rPr>
            </w:pPr>
            <w:r>
              <w:rPr>
                <w:rFonts w:ascii="Times New Roman" w:hAnsi="Times New Roman" w:eastAsia="Times New Roman"/>
                <w:sz w:val="24"/>
                <w:szCs w:val="24"/>
              </w:rPr>
              <w:t xml:space="preserve">40</w:t>
            </w:r>
            <w:r>
              <w:rPr>
                <w:rFonts w:ascii="Times New Roman" w:hAnsi="Times New Roman"/>
                <w:sz w:val="24"/>
                <w:szCs w:val="24"/>
              </w:rPr>
            </w:r>
            <w:r>
              <w:rPr>
                <w:rFonts w:ascii="Times New Roman" w:hAnsi="Times New Roman"/>
                <w:sz w:val="24"/>
                <w:szCs w:val="24"/>
              </w:rPr>
            </w:r>
          </w:p>
        </w:tc>
        <w:tc>
          <w:tcPr>
            <w:tcW w:w="780" w:type="pct"/>
            <w:textDirection w:val="lrTb"/>
            <w:noWrap w:val="false"/>
          </w:tcPr>
          <w:p>
            <w:pPr>
              <w:jc w:val="center"/>
              <w:spacing w:after="0" w:line="240" w:lineRule="auto"/>
              <w:rPr>
                <w:rFonts w:ascii="Times New Roman" w:hAnsi="Times New Roman"/>
                <w:sz w:val="24"/>
                <w:szCs w:val="24"/>
              </w:rPr>
            </w:pPr>
            <w:r>
              <w:rPr>
                <w:rFonts w:ascii="Times New Roman" w:hAnsi="Times New Roman" w:eastAsia="Times New Roman"/>
                <w:sz w:val="24"/>
                <w:szCs w:val="24"/>
              </w:rPr>
              <w:t xml:space="preserve">31</w:t>
            </w:r>
            <w:r>
              <w:rPr>
                <w:rFonts w:ascii="Times New Roman" w:hAnsi="Times New Roman"/>
                <w:sz w:val="24"/>
                <w:szCs w:val="24"/>
              </w:rPr>
            </w:r>
            <w:r>
              <w:rPr>
                <w:rFonts w:ascii="Times New Roman" w:hAnsi="Times New Roman"/>
                <w:sz w:val="24"/>
                <w:szCs w:val="24"/>
              </w:rPr>
            </w:r>
          </w:p>
        </w:tc>
      </w:tr>
      <w:tr>
        <w:tblPrEx/>
        <w:trPr>
          <w:jc w:val="center"/>
        </w:trPr>
        <w:tc>
          <w:tcPr>
            <w:tcW w:w="1835" w:type="pct"/>
            <w:textDirection w:val="lrTb"/>
            <w:noWrap w:val="false"/>
          </w:tcPr>
          <w:p>
            <w:pPr>
              <w:spacing w:after="0" w:line="240" w:lineRule="auto"/>
              <w:rPr>
                <w:rFonts w:ascii="Times New Roman" w:hAnsi="Times New Roman"/>
                <w:sz w:val="24"/>
                <w:szCs w:val="24"/>
              </w:rPr>
            </w:pPr>
            <w:r>
              <w:rPr>
                <w:rFonts w:ascii="Times New Roman" w:hAnsi="Times New Roman" w:eastAsia="Times New Roman"/>
                <w:sz w:val="24"/>
                <w:szCs w:val="24"/>
              </w:rPr>
              <w:t xml:space="preserve">Тейковский</w:t>
            </w:r>
            <w:r>
              <w:rPr>
                <w:rFonts w:ascii="Times New Roman" w:hAnsi="Times New Roman" w:eastAsia="Times New Roman"/>
                <w:sz w:val="24"/>
                <w:szCs w:val="24"/>
              </w:rPr>
              <w:t xml:space="preserve"> муниципальный район</w:t>
            </w:r>
            <w:r>
              <w:rPr>
                <w:rFonts w:ascii="Times New Roman" w:hAnsi="Times New Roman"/>
                <w:sz w:val="24"/>
                <w:szCs w:val="24"/>
              </w:rPr>
            </w:r>
            <w:r>
              <w:rPr>
                <w:rFonts w:ascii="Times New Roman" w:hAnsi="Times New Roman"/>
                <w:sz w:val="24"/>
                <w:szCs w:val="24"/>
              </w:rPr>
            </w:r>
          </w:p>
        </w:tc>
        <w:tc>
          <w:tcPr>
            <w:tcW w:w="772" w:type="pct"/>
            <w:textDirection w:val="lrTb"/>
            <w:noWrap w:val="false"/>
          </w:tcPr>
          <w:p>
            <w:pPr>
              <w:jc w:val="center"/>
              <w:spacing w:after="0" w:line="240" w:lineRule="auto"/>
              <w:rPr>
                <w:rFonts w:ascii="Times New Roman" w:hAnsi="Times New Roman"/>
                <w:sz w:val="24"/>
                <w:szCs w:val="24"/>
              </w:rPr>
            </w:pPr>
            <w:r>
              <w:rPr>
                <w:rFonts w:ascii="Times New Roman" w:hAnsi="Times New Roman" w:eastAsia="Times New Roman"/>
                <w:sz w:val="24"/>
                <w:szCs w:val="24"/>
              </w:rPr>
              <w:t xml:space="preserve">42</w:t>
            </w:r>
            <w:r>
              <w:rPr>
                <w:rFonts w:ascii="Times New Roman" w:hAnsi="Times New Roman"/>
                <w:sz w:val="24"/>
                <w:szCs w:val="24"/>
              </w:rPr>
            </w:r>
            <w:r>
              <w:rPr>
                <w:rFonts w:ascii="Times New Roman" w:hAnsi="Times New Roman"/>
                <w:sz w:val="24"/>
                <w:szCs w:val="24"/>
              </w:rPr>
            </w:r>
          </w:p>
        </w:tc>
        <w:tc>
          <w:tcPr>
            <w:tcW w:w="843" w:type="pct"/>
            <w:textDirection w:val="lrTb"/>
            <w:noWrap w:val="false"/>
          </w:tcPr>
          <w:p>
            <w:pPr>
              <w:jc w:val="center"/>
              <w:spacing w:after="0" w:line="240" w:lineRule="auto"/>
              <w:rPr>
                <w:rFonts w:ascii="Times New Roman" w:hAnsi="Times New Roman"/>
                <w:sz w:val="24"/>
                <w:szCs w:val="24"/>
              </w:rPr>
            </w:pPr>
            <w:r>
              <w:rPr>
                <w:rFonts w:ascii="Times New Roman" w:hAnsi="Times New Roman" w:eastAsia="Times New Roman"/>
                <w:sz w:val="24"/>
                <w:szCs w:val="24"/>
              </w:rPr>
              <w:t xml:space="preserve">36</w:t>
            </w:r>
            <w:r>
              <w:rPr>
                <w:rFonts w:ascii="Times New Roman" w:hAnsi="Times New Roman"/>
                <w:sz w:val="24"/>
                <w:szCs w:val="24"/>
              </w:rPr>
            </w:r>
            <w:r>
              <w:rPr>
                <w:rFonts w:ascii="Times New Roman" w:hAnsi="Times New Roman"/>
                <w:sz w:val="24"/>
                <w:szCs w:val="24"/>
              </w:rPr>
            </w:r>
          </w:p>
        </w:tc>
        <w:tc>
          <w:tcPr>
            <w:tcW w:w="771" w:type="pct"/>
            <w:textDirection w:val="lrTb"/>
            <w:noWrap w:val="false"/>
          </w:tcPr>
          <w:p>
            <w:pPr>
              <w:jc w:val="center"/>
              <w:spacing w:after="0" w:line="240" w:lineRule="auto"/>
              <w:rPr>
                <w:rFonts w:ascii="Times New Roman" w:hAnsi="Times New Roman"/>
                <w:sz w:val="24"/>
                <w:szCs w:val="24"/>
              </w:rPr>
            </w:pPr>
            <w:r>
              <w:rPr>
                <w:rFonts w:ascii="Times New Roman" w:hAnsi="Times New Roman" w:eastAsia="Times New Roman"/>
                <w:sz w:val="24"/>
                <w:szCs w:val="24"/>
              </w:rPr>
              <w:t xml:space="preserve">40</w:t>
            </w:r>
            <w:r>
              <w:rPr>
                <w:rFonts w:ascii="Times New Roman" w:hAnsi="Times New Roman"/>
                <w:sz w:val="24"/>
                <w:szCs w:val="24"/>
              </w:rPr>
            </w:r>
            <w:r>
              <w:rPr>
                <w:rFonts w:ascii="Times New Roman" w:hAnsi="Times New Roman"/>
                <w:sz w:val="24"/>
                <w:szCs w:val="24"/>
              </w:rPr>
            </w:r>
          </w:p>
        </w:tc>
        <w:tc>
          <w:tcPr>
            <w:tcW w:w="780" w:type="pct"/>
            <w:textDirection w:val="lrTb"/>
            <w:noWrap w:val="false"/>
          </w:tcPr>
          <w:p>
            <w:pPr>
              <w:jc w:val="center"/>
              <w:spacing w:after="0" w:line="240" w:lineRule="auto"/>
              <w:rPr>
                <w:rFonts w:ascii="Times New Roman" w:hAnsi="Times New Roman"/>
                <w:sz w:val="24"/>
                <w:szCs w:val="24"/>
              </w:rPr>
            </w:pPr>
            <w:r>
              <w:rPr>
                <w:rFonts w:ascii="Times New Roman" w:hAnsi="Times New Roman" w:eastAsia="Times New Roman"/>
                <w:sz w:val="24"/>
                <w:szCs w:val="24"/>
              </w:rPr>
              <w:t xml:space="preserve">31</w:t>
            </w:r>
            <w:r>
              <w:rPr>
                <w:rFonts w:ascii="Times New Roman" w:hAnsi="Times New Roman"/>
                <w:sz w:val="24"/>
                <w:szCs w:val="24"/>
              </w:rPr>
            </w:r>
            <w:r>
              <w:rPr>
                <w:rFonts w:ascii="Times New Roman" w:hAnsi="Times New Roman"/>
                <w:sz w:val="24"/>
                <w:szCs w:val="24"/>
              </w:rPr>
            </w:r>
          </w:p>
        </w:tc>
      </w:tr>
      <w:tr>
        <w:tblPrEx/>
        <w:trPr>
          <w:jc w:val="center"/>
        </w:trPr>
        <w:tc>
          <w:tcPr>
            <w:tcW w:w="1835" w:type="pct"/>
            <w:textDirection w:val="lrTb"/>
            <w:noWrap w:val="false"/>
          </w:tcPr>
          <w:p>
            <w:pPr>
              <w:spacing w:after="0" w:line="240" w:lineRule="auto"/>
              <w:rPr>
                <w:rFonts w:ascii="Times New Roman" w:hAnsi="Times New Roman"/>
                <w:sz w:val="24"/>
                <w:szCs w:val="24"/>
              </w:rPr>
            </w:pPr>
            <w:r>
              <w:rPr>
                <w:rFonts w:ascii="Times New Roman" w:hAnsi="Times New Roman" w:eastAsia="Times New Roman"/>
                <w:sz w:val="24"/>
                <w:szCs w:val="24"/>
              </w:rPr>
              <w:t xml:space="preserve">Фурмановский</w:t>
            </w:r>
            <w:r>
              <w:rPr>
                <w:rFonts w:ascii="Times New Roman" w:hAnsi="Times New Roman" w:eastAsia="Times New Roman"/>
                <w:sz w:val="24"/>
                <w:szCs w:val="24"/>
              </w:rPr>
              <w:t xml:space="preserve"> муниципальный район </w:t>
            </w:r>
            <w:r>
              <w:rPr>
                <w:rFonts w:ascii="Times New Roman" w:hAnsi="Times New Roman"/>
                <w:sz w:val="24"/>
                <w:szCs w:val="24"/>
              </w:rPr>
            </w:r>
            <w:r>
              <w:rPr>
                <w:rFonts w:ascii="Times New Roman" w:hAnsi="Times New Roman"/>
                <w:sz w:val="24"/>
                <w:szCs w:val="24"/>
              </w:rPr>
            </w:r>
          </w:p>
        </w:tc>
        <w:tc>
          <w:tcPr>
            <w:tcW w:w="772" w:type="pct"/>
            <w:textDirection w:val="lrTb"/>
            <w:noWrap w:val="false"/>
          </w:tcPr>
          <w:p>
            <w:pPr>
              <w:jc w:val="center"/>
              <w:spacing w:after="0" w:line="240" w:lineRule="auto"/>
              <w:rPr>
                <w:rFonts w:ascii="Times New Roman" w:hAnsi="Times New Roman"/>
                <w:sz w:val="24"/>
                <w:szCs w:val="24"/>
              </w:rPr>
            </w:pPr>
            <w:r>
              <w:rPr>
                <w:rFonts w:ascii="Times New Roman" w:hAnsi="Times New Roman" w:eastAsia="Times New Roman"/>
                <w:sz w:val="24"/>
                <w:szCs w:val="24"/>
              </w:rPr>
              <w:t xml:space="preserve">81</w:t>
            </w:r>
            <w:r>
              <w:rPr>
                <w:rFonts w:ascii="Times New Roman" w:hAnsi="Times New Roman"/>
                <w:sz w:val="24"/>
                <w:szCs w:val="24"/>
              </w:rPr>
            </w:r>
            <w:r>
              <w:rPr>
                <w:rFonts w:ascii="Times New Roman" w:hAnsi="Times New Roman"/>
                <w:sz w:val="24"/>
                <w:szCs w:val="24"/>
              </w:rPr>
            </w:r>
          </w:p>
        </w:tc>
        <w:tc>
          <w:tcPr>
            <w:tcW w:w="843" w:type="pct"/>
            <w:textDirection w:val="lrTb"/>
            <w:noWrap w:val="false"/>
          </w:tcPr>
          <w:p>
            <w:pPr>
              <w:jc w:val="center"/>
              <w:spacing w:after="0" w:line="240" w:lineRule="auto"/>
              <w:rPr>
                <w:rFonts w:ascii="Times New Roman" w:hAnsi="Times New Roman"/>
                <w:sz w:val="24"/>
                <w:szCs w:val="24"/>
              </w:rPr>
            </w:pPr>
            <w:r>
              <w:rPr>
                <w:rFonts w:ascii="Times New Roman" w:hAnsi="Times New Roman" w:eastAsia="Times New Roman"/>
                <w:sz w:val="24"/>
                <w:szCs w:val="24"/>
              </w:rPr>
              <w:t xml:space="preserve">55</w:t>
            </w:r>
            <w:r>
              <w:rPr>
                <w:rFonts w:ascii="Times New Roman" w:hAnsi="Times New Roman"/>
                <w:sz w:val="24"/>
                <w:szCs w:val="24"/>
              </w:rPr>
            </w:r>
            <w:r>
              <w:rPr>
                <w:rFonts w:ascii="Times New Roman" w:hAnsi="Times New Roman"/>
                <w:sz w:val="24"/>
                <w:szCs w:val="24"/>
              </w:rPr>
            </w:r>
          </w:p>
        </w:tc>
        <w:tc>
          <w:tcPr>
            <w:tcW w:w="771" w:type="pct"/>
            <w:textDirection w:val="lrTb"/>
            <w:noWrap w:val="false"/>
          </w:tcPr>
          <w:p>
            <w:pPr>
              <w:jc w:val="center"/>
              <w:spacing w:after="0" w:line="240" w:lineRule="auto"/>
              <w:rPr>
                <w:rFonts w:ascii="Times New Roman" w:hAnsi="Times New Roman"/>
                <w:sz w:val="24"/>
                <w:szCs w:val="24"/>
              </w:rPr>
            </w:pPr>
            <w:r>
              <w:rPr>
                <w:rFonts w:ascii="Times New Roman" w:hAnsi="Times New Roman" w:eastAsia="Times New Roman"/>
                <w:sz w:val="24"/>
                <w:szCs w:val="24"/>
              </w:rPr>
              <w:t xml:space="preserve">81</w:t>
            </w:r>
            <w:r>
              <w:rPr>
                <w:rFonts w:ascii="Times New Roman" w:hAnsi="Times New Roman"/>
                <w:sz w:val="24"/>
                <w:szCs w:val="24"/>
              </w:rPr>
            </w:r>
            <w:r>
              <w:rPr>
                <w:rFonts w:ascii="Times New Roman" w:hAnsi="Times New Roman"/>
                <w:sz w:val="24"/>
                <w:szCs w:val="24"/>
              </w:rPr>
            </w:r>
          </w:p>
        </w:tc>
        <w:tc>
          <w:tcPr>
            <w:tcW w:w="780" w:type="pct"/>
            <w:textDirection w:val="lrTb"/>
            <w:noWrap w:val="false"/>
          </w:tcPr>
          <w:p>
            <w:pPr>
              <w:jc w:val="center"/>
              <w:spacing w:after="0" w:line="240" w:lineRule="auto"/>
              <w:rPr>
                <w:rFonts w:ascii="Times New Roman" w:hAnsi="Times New Roman"/>
                <w:sz w:val="24"/>
                <w:szCs w:val="24"/>
              </w:rPr>
            </w:pPr>
            <w:r>
              <w:rPr>
                <w:rFonts w:ascii="Times New Roman" w:hAnsi="Times New Roman" w:eastAsia="Times New Roman"/>
                <w:sz w:val="24"/>
                <w:szCs w:val="24"/>
              </w:rPr>
              <w:t xml:space="preserve">52</w:t>
            </w:r>
            <w:r>
              <w:rPr>
                <w:rFonts w:ascii="Times New Roman" w:hAnsi="Times New Roman"/>
                <w:sz w:val="24"/>
                <w:szCs w:val="24"/>
              </w:rPr>
            </w:r>
            <w:r>
              <w:rPr>
                <w:rFonts w:ascii="Times New Roman" w:hAnsi="Times New Roman"/>
                <w:sz w:val="24"/>
                <w:szCs w:val="24"/>
              </w:rPr>
            </w:r>
          </w:p>
        </w:tc>
      </w:tr>
      <w:tr>
        <w:tblPrEx/>
        <w:trPr>
          <w:jc w:val="center"/>
        </w:trPr>
        <w:tc>
          <w:tcPr>
            <w:tcW w:w="1835" w:type="pct"/>
            <w:textDirection w:val="lrTb"/>
            <w:noWrap w:val="false"/>
          </w:tcPr>
          <w:p>
            <w:pPr>
              <w:spacing w:after="0" w:line="240" w:lineRule="auto"/>
              <w:rPr>
                <w:rFonts w:ascii="Times New Roman" w:hAnsi="Times New Roman"/>
                <w:sz w:val="24"/>
                <w:szCs w:val="24"/>
              </w:rPr>
            </w:pPr>
            <w:r>
              <w:rPr>
                <w:rFonts w:ascii="Times New Roman" w:hAnsi="Times New Roman" w:eastAsia="Times New Roman"/>
                <w:sz w:val="24"/>
                <w:szCs w:val="24"/>
              </w:rPr>
              <w:t xml:space="preserve">Шуйский муниципальный район </w:t>
            </w:r>
            <w:r>
              <w:rPr>
                <w:rFonts w:ascii="Times New Roman" w:hAnsi="Times New Roman"/>
                <w:sz w:val="24"/>
                <w:szCs w:val="24"/>
              </w:rPr>
            </w:r>
            <w:r>
              <w:rPr>
                <w:rFonts w:ascii="Times New Roman" w:hAnsi="Times New Roman"/>
                <w:sz w:val="24"/>
                <w:szCs w:val="24"/>
              </w:rPr>
            </w:r>
          </w:p>
        </w:tc>
        <w:tc>
          <w:tcPr>
            <w:tcW w:w="772" w:type="pct"/>
            <w:textDirection w:val="lrTb"/>
            <w:noWrap w:val="false"/>
          </w:tcPr>
          <w:p>
            <w:pPr>
              <w:jc w:val="center"/>
              <w:spacing w:after="0" w:line="240" w:lineRule="auto"/>
              <w:rPr>
                <w:rFonts w:ascii="Times New Roman" w:hAnsi="Times New Roman"/>
                <w:sz w:val="24"/>
                <w:szCs w:val="24"/>
              </w:rPr>
            </w:pPr>
            <w:r>
              <w:rPr>
                <w:rFonts w:ascii="Times New Roman" w:hAnsi="Times New Roman" w:eastAsia="Times New Roman"/>
                <w:sz w:val="24"/>
                <w:szCs w:val="24"/>
              </w:rPr>
              <w:t xml:space="preserve">66</w:t>
            </w:r>
            <w:r>
              <w:rPr>
                <w:rFonts w:ascii="Times New Roman" w:hAnsi="Times New Roman"/>
                <w:sz w:val="24"/>
                <w:szCs w:val="24"/>
              </w:rPr>
            </w:r>
            <w:r>
              <w:rPr>
                <w:rFonts w:ascii="Times New Roman" w:hAnsi="Times New Roman"/>
                <w:sz w:val="24"/>
                <w:szCs w:val="24"/>
              </w:rPr>
            </w:r>
          </w:p>
        </w:tc>
        <w:tc>
          <w:tcPr>
            <w:tcW w:w="843" w:type="pct"/>
            <w:textDirection w:val="lrTb"/>
            <w:noWrap w:val="false"/>
          </w:tcPr>
          <w:p>
            <w:pPr>
              <w:jc w:val="center"/>
              <w:spacing w:after="0" w:line="240" w:lineRule="auto"/>
              <w:rPr>
                <w:rFonts w:ascii="Times New Roman" w:hAnsi="Times New Roman"/>
                <w:sz w:val="24"/>
                <w:szCs w:val="24"/>
              </w:rPr>
            </w:pPr>
            <w:r>
              <w:rPr>
                <w:rFonts w:ascii="Times New Roman" w:hAnsi="Times New Roman" w:eastAsia="Times New Roman"/>
                <w:sz w:val="24"/>
                <w:szCs w:val="24"/>
              </w:rPr>
              <w:t xml:space="preserve">53</w:t>
            </w:r>
            <w:r>
              <w:rPr>
                <w:rFonts w:ascii="Times New Roman" w:hAnsi="Times New Roman"/>
                <w:sz w:val="24"/>
                <w:szCs w:val="24"/>
              </w:rPr>
            </w:r>
            <w:r>
              <w:rPr>
                <w:rFonts w:ascii="Times New Roman" w:hAnsi="Times New Roman"/>
                <w:sz w:val="24"/>
                <w:szCs w:val="24"/>
              </w:rPr>
            </w:r>
          </w:p>
        </w:tc>
        <w:tc>
          <w:tcPr>
            <w:tcW w:w="771" w:type="pct"/>
            <w:textDirection w:val="lrTb"/>
            <w:noWrap w:val="false"/>
          </w:tcPr>
          <w:p>
            <w:pPr>
              <w:jc w:val="center"/>
              <w:spacing w:after="0" w:line="240" w:lineRule="auto"/>
              <w:rPr>
                <w:rFonts w:ascii="Times New Roman" w:hAnsi="Times New Roman"/>
                <w:sz w:val="24"/>
                <w:szCs w:val="24"/>
              </w:rPr>
            </w:pPr>
            <w:r>
              <w:rPr>
                <w:rFonts w:ascii="Times New Roman" w:hAnsi="Times New Roman" w:eastAsia="Times New Roman"/>
                <w:sz w:val="24"/>
                <w:szCs w:val="24"/>
              </w:rPr>
              <w:t xml:space="preserve">59</w:t>
            </w:r>
            <w:r>
              <w:rPr>
                <w:rFonts w:ascii="Times New Roman" w:hAnsi="Times New Roman"/>
                <w:sz w:val="24"/>
                <w:szCs w:val="24"/>
              </w:rPr>
            </w:r>
            <w:r>
              <w:rPr>
                <w:rFonts w:ascii="Times New Roman" w:hAnsi="Times New Roman"/>
                <w:sz w:val="24"/>
                <w:szCs w:val="24"/>
              </w:rPr>
            </w:r>
          </w:p>
        </w:tc>
        <w:tc>
          <w:tcPr>
            <w:tcW w:w="780" w:type="pct"/>
            <w:textDirection w:val="lrTb"/>
            <w:noWrap w:val="false"/>
          </w:tcPr>
          <w:p>
            <w:pPr>
              <w:jc w:val="center"/>
              <w:spacing w:after="0" w:line="240" w:lineRule="auto"/>
              <w:rPr>
                <w:rFonts w:ascii="Times New Roman" w:hAnsi="Times New Roman"/>
                <w:sz w:val="24"/>
                <w:szCs w:val="24"/>
              </w:rPr>
            </w:pPr>
            <w:r>
              <w:rPr>
                <w:rFonts w:ascii="Times New Roman" w:hAnsi="Times New Roman" w:eastAsia="Times New Roman"/>
                <w:sz w:val="24"/>
                <w:szCs w:val="24"/>
              </w:rPr>
              <w:t xml:space="preserve">44</w:t>
            </w:r>
            <w:r>
              <w:rPr>
                <w:rFonts w:ascii="Times New Roman" w:hAnsi="Times New Roman"/>
                <w:sz w:val="24"/>
                <w:szCs w:val="24"/>
              </w:rPr>
            </w:r>
            <w:r>
              <w:rPr>
                <w:rFonts w:ascii="Times New Roman" w:hAnsi="Times New Roman"/>
                <w:sz w:val="24"/>
                <w:szCs w:val="24"/>
              </w:rPr>
            </w:r>
          </w:p>
        </w:tc>
      </w:tr>
      <w:tr>
        <w:tblPrEx/>
        <w:trPr>
          <w:jc w:val="center"/>
        </w:trPr>
        <w:tc>
          <w:tcPr>
            <w:tcW w:w="1835" w:type="pct"/>
            <w:textDirection w:val="lrTb"/>
            <w:noWrap w:val="false"/>
          </w:tcPr>
          <w:p>
            <w:pPr>
              <w:spacing w:after="0" w:line="240" w:lineRule="auto"/>
              <w:rPr>
                <w:rFonts w:ascii="Times New Roman" w:hAnsi="Times New Roman"/>
                <w:sz w:val="24"/>
                <w:szCs w:val="24"/>
              </w:rPr>
            </w:pPr>
            <w:r>
              <w:rPr>
                <w:rFonts w:ascii="Times New Roman" w:hAnsi="Times New Roman" w:eastAsia="Times New Roman"/>
                <w:sz w:val="24"/>
                <w:szCs w:val="24"/>
              </w:rPr>
              <w:t xml:space="preserve">Южский</w:t>
            </w:r>
            <w:r>
              <w:rPr>
                <w:rFonts w:ascii="Times New Roman" w:hAnsi="Times New Roman" w:eastAsia="Times New Roman"/>
                <w:sz w:val="24"/>
                <w:szCs w:val="24"/>
              </w:rPr>
              <w:t xml:space="preserve"> муниципальный район </w:t>
            </w:r>
            <w:r>
              <w:rPr>
                <w:rFonts w:ascii="Times New Roman" w:hAnsi="Times New Roman"/>
                <w:sz w:val="24"/>
                <w:szCs w:val="24"/>
              </w:rPr>
            </w:r>
            <w:r>
              <w:rPr>
                <w:rFonts w:ascii="Times New Roman" w:hAnsi="Times New Roman"/>
                <w:sz w:val="24"/>
                <w:szCs w:val="24"/>
              </w:rPr>
            </w:r>
          </w:p>
        </w:tc>
        <w:tc>
          <w:tcPr>
            <w:tcW w:w="772" w:type="pct"/>
            <w:textDirection w:val="lrTb"/>
            <w:noWrap w:val="false"/>
          </w:tcPr>
          <w:p>
            <w:pPr>
              <w:jc w:val="center"/>
              <w:spacing w:after="0" w:line="240" w:lineRule="auto"/>
              <w:rPr>
                <w:rFonts w:ascii="Times New Roman" w:hAnsi="Times New Roman"/>
                <w:sz w:val="24"/>
                <w:szCs w:val="24"/>
              </w:rPr>
            </w:pPr>
            <w:r>
              <w:rPr>
                <w:rFonts w:ascii="Times New Roman" w:hAnsi="Times New Roman" w:eastAsia="Times New Roman"/>
                <w:sz w:val="24"/>
                <w:szCs w:val="24"/>
              </w:rPr>
              <w:t xml:space="preserve">70</w:t>
            </w:r>
            <w:r>
              <w:rPr>
                <w:rFonts w:ascii="Times New Roman" w:hAnsi="Times New Roman"/>
                <w:sz w:val="24"/>
                <w:szCs w:val="24"/>
              </w:rPr>
            </w:r>
            <w:r>
              <w:rPr>
                <w:rFonts w:ascii="Times New Roman" w:hAnsi="Times New Roman"/>
                <w:sz w:val="24"/>
                <w:szCs w:val="24"/>
              </w:rPr>
            </w:r>
          </w:p>
        </w:tc>
        <w:tc>
          <w:tcPr>
            <w:tcW w:w="843" w:type="pct"/>
            <w:textDirection w:val="lrTb"/>
            <w:noWrap w:val="false"/>
          </w:tcPr>
          <w:p>
            <w:pPr>
              <w:jc w:val="center"/>
              <w:spacing w:after="0" w:line="240" w:lineRule="auto"/>
              <w:rPr>
                <w:rFonts w:ascii="Times New Roman" w:hAnsi="Times New Roman"/>
                <w:sz w:val="24"/>
                <w:szCs w:val="24"/>
              </w:rPr>
            </w:pPr>
            <w:r>
              <w:rPr>
                <w:rFonts w:ascii="Times New Roman" w:hAnsi="Times New Roman" w:eastAsia="Times New Roman"/>
                <w:sz w:val="24"/>
                <w:szCs w:val="24"/>
              </w:rPr>
              <w:t xml:space="preserve">59</w:t>
            </w:r>
            <w:r>
              <w:rPr>
                <w:rFonts w:ascii="Times New Roman" w:hAnsi="Times New Roman"/>
                <w:sz w:val="24"/>
                <w:szCs w:val="24"/>
              </w:rPr>
            </w:r>
            <w:r>
              <w:rPr>
                <w:rFonts w:ascii="Times New Roman" w:hAnsi="Times New Roman"/>
                <w:sz w:val="24"/>
                <w:szCs w:val="24"/>
              </w:rPr>
            </w:r>
          </w:p>
        </w:tc>
        <w:tc>
          <w:tcPr>
            <w:tcW w:w="771" w:type="pct"/>
            <w:textDirection w:val="lrTb"/>
            <w:noWrap w:val="false"/>
          </w:tcPr>
          <w:p>
            <w:pPr>
              <w:jc w:val="center"/>
              <w:spacing w:after="0" w:line="240" w:lineRule="auto"/>
              <w:rPr>
                <w:rFonts w:ascii="Times New Roman" w:hAnsi="Times New Roman"/>
                <w:sz w:val="24"/>
                <w:szCs w:val="24"/>
              </w:rPr>
            </w:pPr>
            <w:r>
              <w:rPr>
                <w:rFonts w:ascii="Times New Roman" w:hAnsi="Times New Roman" w:eastAsia="Times New Roman"/>
                <w:sz w:val="24"/>
                <w:szCs w:val="24"/>
              </w:rPr>
              <w:t xml:space="preserve">63</w:t>
            </w:r>
            <w:r>
              <w:rPr>
                <w:rFonts w:ascii="Times New Roman" w:hAnsi="Times New Roman"/>
                <w:sz w:val="24"/>
                <w:szCs w:val="24"/>
              </w:rPr>
            </w:r>
            <w:r>
              <w:rPr>
                <w:rFonts w:ascii="Times New Roman" w:hAnsi="Times New Roman"/>
                <w:sz w:val="24"/>
                <w:szCs w:val="24"/>
              </w:rPr>
            </w:r>
          </w:p>
        </w:tc>
        <w:tc>
          <w:tcPr>
            <w:tcW w:w="780" w:type="pct"/>
            <w:textDirection w:val="lrTb"/>
            <w:noWrap w:val="false"/>
          </w:tcPr>
          <w:p>
            <w:pPr>
              <w:jc w:val="center"/>
              <w:spacing w:after="0" w:line="240" w:lineRule="auto"/>
              <w:rPr>
                <w:rFonts w:ascii="Times New Roman" w:hAnsi="Times New Roman"/>
                <w:sz w:val="24"/>
                <w:szCs w:val="24"/>
              </w:rPr>
            </w:pPr>
            <w:r>
              <w:rPr>
                <w:rFonts w:ascii="Times New Roman" w:hAnsi="Times New Roman" w:eastAsia="Times New Roman"/>
                <w:sz w:val="24"/>
                <w:szCs w:val="24"/>
              </w:rPr>
              <w:t xml:space="preserve">51</w:t>
            </w:r>
            <w:r>
              <w:rPr>
                <w:rFonts w:ascii="Times New Roman" w:hAnsi="Times New Roman"/>
                <w:sz w:val="24"/>
                <w:szCs w:val="24"/>
              </w:rPr>
            </w:r>
            <w:r>
              <w:rPr>
                <w:rFonts w:ascii="Times New Roman" w:hAnsi="Times New Roman"/>
                <w:sz w:val="24"/>
                <w:szCs w:val="24"/>
              </w:rPr>
            </w:r>
          </w:p>
        </w:tc>
      </w:tr>
      <w:tr>
        <w:tblPrEx/>
        <w:trPr>
          <w:jc w:val="center"/>
        </w:trPr>
        <w:tc>
          <w:tcPr>
            <w:tcW w:w="1835" w:type="pct"/>
            <w:textDirection w:val="lrTb"/>
            <w:noWrap w:val="false"/>
          </w:tcPr>
          <w:p>
            <w:pPr>
              <w:spacing w:after="0" w:line="240" w:lineRule="auto"/>
              <w:rPr>
                <w:rFonts w:ascii="Times New Roman" w:hAnsi="Times New Roman"/>
                <w:sz w:val="24"/>
                <w:szCs w:val="24"/>
              </w:rPr>
            </w:pPr>
            <w:r>
              <w:rPr>
                <w:rFonts w:ascii="Times New Roman" w:hAnsi="Times New Roman" w:eastAsia="Times New Roman"/>
                <w:sz w:val="24"/>
                <w:szCs w:val="24"/>
              </w:rPr>
              <w:t xml:space="preserve">Юрьевецкий</w:t>
            </w:r>
            <w:r>
              <w:rPr>
                <w:rFonts w:ascii="Times New Roman" w:hAnsi="Times New Roman" w:eastAsia="Times New Roman"/>
                <w:sz w:val="24"/>
                <w:szCs w:val="24"/>
              </w:rPr>
              <w:t xml:space="preserve"> муниципальный район </w:t>
            </w:r>
            <w:r>
              <w:rPr>
                <w:rFonts w:ascii="Times New Roman" w:hAnsi="Times New Roman"/>
                <w:sz w:val="24"/>
                <w:szCs w:val="24"/>
              </w:rPr>
            </w:r>
            <w:r>
              <w:rPr>
                <w:rFonts w:ascii="Times New Roman" w:hAnsi="Times New Roman"/>
                <w:sz w:val="24"/>
                <w:szCs w:val="24"/>
              </w:rPr>
            </w:r>
          </w:p>
        </w:tc>
        <w:tc>
          <w:tcPr>
            <w:tcW w:w="772" w:type="pct"/>
            <w:textDirection w:val="lrTb"/>
            <w:noWrap w:val="false"/>
          </w:tcPr>
          <w:p>
            <w:pPr>
              <w:jc w:val="center"/>
              <w:spacing w:after="0" w:line="240" w:lineRule="auto"/>
              <w:rPr>
                <w:rFonts w:ascii="Times New Roman" w:hAnsi="Times New Roman"/>
                <w:sz w:val="24"/>
                <w:szCs w:val="24"/>
              </w:rPr>
            </w:pPr>
            <w:r>
              <w:rPr>
                <w:rFonts w:ascii="Times New Roman" w:hAnsi="Times New Roman" w:eastAsia="Times New Roman"/>
                <w:sz w:val="24"/>
                <w:szCs w:val="24"/>
              </w:rPr>
              <w:t xml:space="preserve">80</w:t>
            </w:r>
            <w:r>
              <w:rPr>
                <w:rFonts w:ascii="Times New Roman" w:hAnsi="Times New Roman"/>
                <w:sz w:val="24"/>
                <w:szCs w:val="24"/>
              </w:rPr>
            </w:r>
            <w:r>
              <w:rPr>
                <w:rFonts w:ascii="Times New Roman" w:hAnsi="Times New Roman"/>
                <w:sz w:val="24"/>
                <w:szCs w:val="24"/>
              </w:rPr>
            </w:r>
          </w:p>
        </w:tc>
        <w:tc>
          <w:tcPr>
            <w:tcW w:w="843" w:type="pct"/>
            <w:textDirection w:val="lrTb"/>
            <w:noWrap w:val="false"/>
          </w:tcPr>
          <w:p>
            <w:pPr>
              <w:jc w:val="center"/>
              <w:spacing w:after="0" w:line="240" w:lineRule="auto"/>
              <w:rPr>
                <w:rFonts w:ascii="Times New Roman" w:hAnsi="Times New Roman"/>
                <w:sz w:val="24"/>
                <w:szCs w:val="24"/>
              </w:rPr>
            </w:pPr>
            <w:r>
              <w:rPr>
                <w:rFonts w:ascii="Times New Roman" w:hAnsi="Times New Roman" w:eastAsia="Times New Roman"/>
                <w:sz w:val="24"/>
                <w:szCs w:val="24"/>
              </w:rPr>
              <w:t xml:space="preserve">67</w:t>
            </w:r>
            <w:r>
              <w:rPr>
                <w:rFonts w:ascii="Times New Roman" w:hAnsi="Times New Roman"/>
                <w:sz w:val="24"/>
                <w:szCs w:val="24"/>
              </w:rPr>
            </w:r>
            <w:r>
              <w:rPr>
                <w:rFonts w:ascii="Times New Roman" w:hAnsi="Times New Roman"/>
                <w:sz w:val="24"/>
                <w:szCs w:val="24"/>
              </w:rPr>
            </w:r>
          </w:p>
        </w:tc>
        <w:tc>
          <w:tcPr>
            <w:tcW w:w="771" w:type="pct"/>
            <w:textDirection w:val="lrTb"/>
            <w:noWrap w:val="false"/>
          </w:tcPr>
          <w:p>
            <w:pPr>
              <w:jc w:val="center"/>
              <w:spacing w:after="0" w:line="240" w:lineRule="auto"/>
              <w:rPr>
                <w:rFonts w:ascii="Times New Roman" w:hAnsi="Times New Roman"/>
                <w:sz w:val="24"/>
                <w:szCs w:val="24"/>
              </w:rPr>
            </w:pPr>
            <w:r>
              <w:rPr>
                <w:rFonts w:ascii="Times New Roman" w:hAnsi="Times New Roman" w:eastAsia="Times New Roman"/>
                <w:sz w:val="24"/>
                <w:szCs w:val="24"/>
              </w:rPr>
              <w:t xml:space="preserve">76</w:t>
            </w:r>
            <w:r>
              <w:rPr>
                <w:rFonts w:ascii="Times New Roman" w:hAnsi="Times New Roman"/>
                <w:sz w:val="24"/>
                <w:szCs w:val="24"/>
              </w:rPr>
            </w:r>
            <w:r>
              <w:rPr>
                <w:rFonts w:ascii="Times New Roman" w:hAnsi="Times New Roman"/>
                <w:sz w:val="24"/>
                <w:szCs w:val="24"/>
              </w:rPr>
            </w:r>
          </w:p>
        </w:tc>
        <w:tc>
          <w:tcPr>
            <w:tcW w:w="780" w:type="pct"/>
            <w:textDirection w:val="lrTb"/>
            <w:noWrap w:val="false"/>
          </w:tcPr>
          <w:p>
            <w:pPr>
              <w:jc w:val="center"/>
              <w:spacing w:after="0" w:line="240" w:lineRule="auto"/>
              <w:rPr>
                <w:rFonts w:ascii="Times New Roman" w:hAnsi="Times New Roman"/>
                <w:sz w:val="24"/>
                <w:szCs w:val="24"/>
              </w:rPr>
            </w:pPr>
            <w:r>
              <w:rPr>
                <w:rFonts w:ascii="Times New Roman" w:hAnsi="Times New Roman" w:eastAsia="Times New Roman"/>
                <w:sz w:val="24"/>
                <w:szCs w:val="24"/>
              </w:rPr>
              <w:t xml:space="preserve">62</w:t>
            </w:r>
            <w:r>
              <w:rPr>
                <w:rFonts w:ascii="Times New Roman" w:hAnsi="Times New Roman"/>
                <w:sz w:val="24"/>
                <w:szCs w:val="24"/>
              </w:rPr>
            </w:r>
            <w:r>
              <w:rPr>
                <w:rFonts w:ascii="Times New Roman" w:hAnsi="Times New Roman"/>
                <w:sz w:val="24"/>
                <w:szCs w:val="24"/>
              </w:rPr>
            </w:r>
          </w:p>
        </w:tc>
      </w:tr>
      <w:tr>
        <w:tblPrEx/>
        <w:trPr>
          <w:jc w:val="center"/>
        </w:trPr>
        <w:tc>
          <w:tcPr>
            <w:tcW w:w="1835" w:type="pct"/>
            <w:textDirection w:val="lrTb"/>
            <w:noWrap w:val="false"/>
          </w:tcPr>
          <w:p>
            <w:pPr>
              <w:spacing w:after="0" w:line="240" w:lineRule="auto"/>
              <w:rPr>
                <w:rFonts w:ascii="Times New Roman" w:hAnsi="Times New Roman"/>
                <w:b/>
                <w:sz w:val="24"/>
                <w:szCs w:val="24"/>
              </w:rPr>
            </w:pPr>
            <w:r>
              <w:rPr>
                <w:rFonts w:ascii="Times New Roman" w:hAnsi="Times New Roman" w:eastAsia="Times New Roman"/>
                <w:b/>
                <w:sz w:val="24"/>
                <w:szCs w:val="24"/>
              </w:rPr>
              <w:t xml:space="preserve">Всего</w:t>
            </w:r>
            <w:r>
              <w:rPr>
                <w:rFonts w:ascii="Times New Roman" w:hAnsi="Times New Roman"/>
                <w:b/>
                <w:sz w:val="24"/>
                <w:szCs w:val="24"/>
              </w:rPr>
            </w:r>
            <w:r>
              <w:rPr>
                <w:rFonts w:ascii="Times New Roman" w:hAnsi="Times New Roman"/>
                <w:b/>
                <w:sz w:val="24"/>
                <w:szCs w:val="24"/>
              </w:rPr>
            </w:r>
          </w:p>
        </w:tc>
        <w:tc>
          <w:tcPr>
            <w:tcW w:w="772" w:type="pct"/>
            <w:textDirection w:val="lrTb"/>
            <w:noWrap w:val="false"/>
          </w:tcPr>
          <w:p>
            <w:pPr>
              <w:jc w:val="center"/>
              <w:spacing w:after="0" w:line="240" w:lineRule="auto"/>
              <w:rPr>
                <w:rFonts w:ascii="Times New Roman" w:hAnsi="Times New Roman"/>
                <w:b/>
                <w:sz w:val="24"/>
                <w:szCs w:val="24"/>
              </w:rPr>
            </w:pPr>
            <w:r>
              <w:rPr>
                <w:rFonts w:ascii="Times New Roman" w:hAnsi="Times New Roman" w:eastAsia="Times New Roman"/>
                <w:b/>
                <w:sz w:val="24"/>
                <w:szCs w:val="24"/>
              </w:rPr>
              <w:t xml:space="preserve">2016</w:t>
            </w:r>
            <w:r>
              <w:rPr>
                <w:rFonts w:ascii="Times New Roman" w:hAnsi="Times New Roman"/>
                <w:b/>
                <w:sz w:val="24"/>
                <w:szCs w:val="24"/>
              </w:rPr>
            </w:r>
            <w:r>
              <w:rPr>
                <w:rFonts w:ascii="Times New Roman" w:hAnsi="Times New Roman"/>
                <w:b/>
                <w:sz w:val="24"/>
                <w:szCs w:val="24"/>
              </w:rPr>
            </w:r>
          </w:p>
        </w:tc>
        <w:tc>
          <w:tcPr>
            <w:tcW w:w="843" w:type="pct"/>
            <w:textDirection w:val="lrTb"/>
            <w:noWrap w:val="false"/>
          </w:tcPr>
          <w:p>
            <w:pPr>
              <w:jc w:val="center"/>
              <w:spacing w:after="0" w:line="240" w:lineRule="auto"/>
              <w:rPr>
                <w:rFonts w:ascii="Times New Roman" w:hAnsi="Times New Roman"/>
                <w:b/>
                <w:sz w:val="24"/>
                <w:szCs w:val="24"/>
              </w:rPr>
            </w:pPr>
            <w:r>
              <w:rPr>
                <w:rFonts w:ascii="Times New Roman" w:hAnsi="Times New Roman" w:eastAsia="Times New Roman"/>
                <w:b/>
                <w:sz w:val="24"/>
                <w:szCs w:val="24"/>
              </w:rPr>
              <w:t xml:space="preserve">1582</w:t>
            </w:r>
            <w:r>
              <w:rPr>
                <w:rFonts w:ascii="Times New Roman" w:hAnsi="Times New Roman"/>
                <w:b/>
                <w:sz w:val="24"/>
                <w:szCs w:val="24"/>
              </w:rPr>
            </w:r>
            <w:r>
              <w:rPr>
                <w:rFonts w:ascii="Times New Roman" w:hAnsi="Times New Roman"/>
                <w:b/>
                <w:sz w:val="24"/>
                <w:szCs w:val="24"/>
              </w:rPr>
            </w:r>
          </w:p>
        </w:tc>
        <w:tc>
          <w:tcPr>
            <w:tcW w:w="771" w:type="pct"/>
            <w:textDirection w:val="lrTb"/>
            <w:noWrap w:val="false"/>
          </w:tcPr>
          <w:p>
            <w:pPr>
              <w:jc w:val="center"/>
              <w:spacing w:after="0" w:line="240" w:lineRule="auto"/>
              <w:rPr>
                <w:rFonts w:ascii="Times New Roman" w:hAnsi="Times New Roman"/>
                <w:b/>
                <w:sz w:val="24"/>
                <w:szCs w:val="24"/>
              </w:rPr>
            </w:pPr>
            <w:r>
              <w:rPr>
                <w:rFonts w:ascii="Times New Roman" w:hAnsi="Times New Roman" w:eastAsia="Times New Roman"/>
                <w:b/>
                <w:sz w:val="24"/>
                <w:szCs w:val="24"/>
              </w:rPr>
              <w:t xml:space="preserve">1898</w:t>
            </w:r>
            <w:r>
              <w:rPr>
                <w:rFonts w:ascii="Times New Roman" w:hAnsi="Times New Roman"/>
                <w:b/>
                <w:sz w:val="24"/>
                <w:szCs w:val="24"/>
              </w:rPr>
            </w:r>
            <w:r>
              <w:rPr>
                <w:rFonts w:ascii="Times New Roman" w:hAnsi="Times New Roman"/>
                <w:b/>
                <w:sz w:val="24"/>
                <w:szCs w:val="24"/>
              </w:rPr>
            </w:r>
          </w:p>
        </w:tc>
        <w:tc>
          <w:tcPr>
            <w:tcW w:w="780" w:type="pct"/>
            <w:textDirection w:val="lrTb"/>
            <w:noWrap w:val="false"/>
          </w:tcPr>
          <w:p>
            <w:pPr>
              <w:jc w:val="center"/>
              <w:spacing w:after="0" w:line="240" w:lineRule="auto"/>
              <w:rPr>
                <w:rFonts w:ascii="Times New Roman" w:hAnsi="Times New Roman"/>
                <w:b/>
                <w:sz w:val="24"/>
                <w:szCs w:val="24"/>
              </w:rPr>
            </w:pPr>
            <w:r>
              <w:rPr>
                <w:rFonts w:ascii="Times New Roman" w:hAnsi="Times New Roman" w:eastAsia="Times New Roman"/>
                <w:b/>
                <w:sz w:val="24"/>
                <w:szCs w:val="24"/>
              </w:rPr>
              <w:t xml:space="preserve">1499</w:t>
            </w:r>
            <w:r>
              <w:rPr>
                <w:rFonts w:ascii="Times New Roman" w:hAnsi="Times New Roman"/>
                <w:b/>
                <w:sz w:val="24"/>
                <w:szCs w:val="24"/>
              </w:rPr>
            </w:r>
            <w:r>
              <w:rPr>
                <w:rFonts w:ascii="Times New Roman" w:hAnsi="Times New Roman"/>
                <w:b/>
                <w:sz w:val="24"/>
                <w:szCs w:val="24"/>
              </w:rPr>
            </w:r>
          </w:p>
        </w:tc>
      </w:tr>
    </w:tbl>
    <w:p>
      <w:pPr>
        <w:ind w:firstLine="567"/>
        <w:jc w:val="both"/>
        <w:spacing w:after="0"/>
        <w:rPr>
          <w:rFonts w:ascii="Times New Roman" w:hAnsi="Times New Roman"/>
          <w:sz w:val="28"/>
          <w:szCs w:val="28"/>
        </w:rPr>
      </w:pPr>
      <w:r>
        <w:rPr>
          <w:rFonts w:ascii="Times New Roman" w:hAnsi="Times New Roman"/>
          <w:sz w:val="28"/>
          <w:szCs w:val="28"/>
        </w:rPr>
      </w:r>
      <w:r>
        <w:rPr>
          <w:rFonts w:ascii="Times New Roman" w:hAnsi="Times New Roman"/>
          <w:sz w:val="28"/>
          <w:szCs w:val="28"/>
        </w:rPr>
      </w:r>
      <w:r>
        <w:rPr>
          <w:rFonts w:ascii="Times New Roman" w:hAnsi="Times New Roman"/>
          <w:sz w:val="28"/>
          <w:szCs w:val="28"/>
        </w:rPr>
      </w:r>
    </w:p>
    <w:p>
      <w:pPr>
        <w:ind w:firstLine="709"/>
        <w:jc w:val="both"/>
        <w:spacing w:after="0"/>
        <w:rPr>
          <w:rFonts w:ascii="Times New Roman" w:hAnsi="Times New Roman"/>
          <w:sz w:val="28"/>
          <w:szCs w:val="28"/>
        </w:rPr>
      </w:pPr>
      <w:r>
        <w:rPr>
          <w:rFonts w:ascii="Times New Roman" w:hAnsi="Times New Roman"/>
          <w:sz w:val="28"/>
          <w:szCs w:val="28"/>
        </w:rPr>
        <w:t xml:space="preserve">Количество лиц указанной категории, впервые включенных в Список в 2025 году в возрасте старше 23 лет по решению суда, – 13 человек. </w:t>
      </w:r>
      <w:r>
        <w:rPr>
          <w:rFonts w:ascii="Times New Roman" w:hAnsi="Times New Roman" w:eastAsiaTheme="minorHAnsi"/>
          <w:sz w:val="28"/>
          <w:szCs w:val="28"/>
        </w:rPr>
        <w:t xml:space="preserve">В 2025 году вынесено 77 судебных решений об обеспечении жилыми помещениями граждан указанной категории, из них исполнено – 52. Всего на основании судебных решений в 2025 году  </w:t>
      </w:r>
      <w:r>
        <w:rPr>
          <w:rFonts w:ascii="Times New Roman" w:hAnsi="Times New Roman" w:eastAsiaTheme="minorHAnsi"/>
          <w:sz w:val="28"/>
          <w:szCs w:val="28"/>
        </w:rPr>
        <w:t xml:space="preserve">обеспечены</w:t>
      </w:r>
      <w:r>
        <w:rPr>
          <w:rFonts w:ascii="Times New Roman" w:hAnsi="Times New Roman" w:eastAsiaTheme="minorHAnsi"/>
          <w:sz w:val="28"/>
          <w:szCs w:val="28"/>
        </w:rPr>
        <w:t xml:space="preserve"> жилыми помещениями 117 человек.</w:t>
      </w:r>
      <w:r>
        <w:rPr>
          <w:rFonts w:ascii="Times New Roman" w:hAnsi="Times New Roman"/>
          <w:sz w:val="28"/>
          <w:szCs w:val="28"/>
        </w:rPr>
        <w:t xml:space="preserve"> </w:t>
      </w:r>
      <w:r>
        <w:rPr>
          <w:rFonts w:ascii="Times New Roman" w:hAnsi="Times New Roman"/>
          <w:sz w:val="28"/>
          <w:szCs w:val="28"/>
        </w:rPr>
      </w:r>
      <w:r>
        <w:rPr>
          <w:rFonts w:ascii="Times New Roman" w:hAnsi="Times New Roman"/>
          <w:sz w:val="28"/>
          <w:szCs w:val="28"/>
        </w:rPr>
      </w:r>
    </w:p>
    <w:p>
      <w:pPr>
        <w:ind w:firstLine="709"/>
        <w:jc w:val="both"/>
        <w:spacing w:after="0"/>
      </w:pPr>
      <w:r>
        <w:rPr>
          <w:rFonts w:ascii="Times New Roman" w:hAnsi="Times New Roman"/>
          <w:sz w:val="28"/>
          <w:szCs w:val="28"/>
        </w:rPr>
        <w:t xml:space="preserve">Финансирование реализации жилищных прав детей-сирот в 2025 году составило 622,28 </w:t>
      </w:r>
      <w:r>
        <w:rPr>
          <w:rFonts w:ascii="Times New Roman" w:hAnsi="Times New Roman"/>
          <w:sz w:val="28"/>
          <w:szCs w:val="28"/>
        </w:rPr>
        <w:t xml:space="preserve">млн</w:t>
      </w:r>
      <w:r>
        <w:rPr>
          <w:rFonts w:ascii="Times New Roman" w:hAnsi="Times New Roman"/>
          <w:sz w:val="28"/>
          <w:szCs w:val="28"/>
        </w:rPr>
        <w:t xml:space="preserve"> рублей, в том числе:</w:t>
      </w:r>
      <w:r/>
    </w:p>
    <w:p>
      <w:pPr>
        <w:pStyle w:val="1227"/>
        <w:numPr>
          <w:ilvl w:val="0"/>
          <w:numId w:val="120"/>
        </w:numPr>
        <w:ind w:left="0" w:firstLine="709"/>
        <w:jc w:val="both"/>
        <w:spacing w:line="276" w:lineRule="auto"/>
        <w:rPr>
          <w:rFonts w:ascii="Times New Roman" w:hAnsi="Times New Roman"/>
          <w:sz w:val="28"/>
          <w:szCs w:val="28"/>
        </w:rPr>
      </w:pPr>
      <w:r>
        <w:rPr>
          <w:rFonts w:ascii="Times New Roman" w:hAnsi="Times New Roman"/>
          <w:sz w:val="28"/>
          <w:szCs w:val="28"/>
          <w:lang w:val="ru-RU"/>
        </w:rPr>
        <w:t xml:space="preserve">на формирование специализированного жилищного фонда - 510,45 млн. рублей (из них 79,27 млн. рублей - средства федерального бюджета, 431,18 </w:t>
      </w:r>
      <w:r>
        <w:rPr>
          <w:rFonts w:ascii="Times New Roman" w:hAnsi="Times New Roman"/>
          <w:sz w:val="28"/>
          <w:szCs w:val="28"/>
          <w:lang w:val="ru-RU"/>
        </w:rPr>
        <w:t xml:space="preserve">млн</w:t>
      </w:r>
      <w:r>
        <w:rPr>
          <w:rFonts w:ascii="Times New Roman" w:hAnsi="Times New Roman"/>
          <w:sz w:val="28"/>
          <w:szCs w:val="28"/>
          <w:lang w:val="ru-RU"/>
        </w:rPr>
        <w:t xml:space="preserve"> рублей - областного бюджета). </w:t>
      </w:r>
      <w:r>
        <w:rPr>
          <w:rFonts w:ascii="Times New Roman" w:hAnsi="Times New Roman"/>
          <w:sz w:val="28"/>
          <w:szCs w:val="28"/>
        </w:rPr>
        <w:t xml:space="preserve">Освоено</w:t>
      </w:r>
      <w:r>
        <w:rPr>
          <w:rFonts w:ascii="Times New Roman" w:hAnsi="Times New Roman"/>
          <w:sz w:val="28"/>
          <w:szCs w:val="28"/>
        </w:rPr>
        <w:t xml:space="preserve"> 99 % </w:t>
      </w:r>
      <w:r>
        <w:rPr>
          <w:rFonts w:ascii="Times New Roman" w:hAnsi="Times New Roman"/>
          <w:sz w:val="28"/>
          <w:szCs w:val="28"/>
        </w:rPr>
        <w:t xml:space="preserve">предусмотренных</w:t>
      </w:r>
      <w:r>
        <w:rPr>
          <w:rFonts w:ascii="Times New Roman" w:hAnsi="Times New Roman"/>
          <w:sz w:val="28"/>
          <w:szCs w:val="28"/>
        </w:rPr>
        <w:t xml:space="preserve"> </w:t>
      </w:r>
      <w:r>
        <w:rPr>
          <w:rFonts w:ascii="Times New Roman" w:hAnsi="Times New Roman"/>
          <w:sz w:val="28"/>
          <w:szCs w:val="28"/>
        </w:rPr>
        <w:t xml:space="preserve">средств</w:t>
      </w:r>
      <w:r>
        <w:rPr>
          <w:rFonts w:ascii="Times New Roman" w:hAnsi="Times New Roman"/>
          <w:sz w:val="28"/>
          <w:szCs w:val="28"/>
        </w:rPr>
        <w:t xml:space="preserve">, </w:t>
      </w:r>
      <w:r>
        <w:rPr>
          <w:rFonts w:ascii="Times New Roman" w:hAnsi="Times New Roman"/>
          <w:sz w:val="28"/>
          <w:szCs w:val="28"/>
        </w:rPr>
        <w:t xml:space="preserve">приобретено</w:t>
      </w:r>
      <w:r>
        <w:rPr>
          <w:rFonts w:ascii="Times New Roman" w:hAnsi="Times New Roman"/>
          <w:sz w:val="28"/>
          <w:szCs w:val="28"/>
        </w:rPr>
        <w:t xml:space="preserve"> 229 </w:t>
      </w:r>
      <w:r>
        <w:rPr>
          <w:rFonts w:ascii="Times New Roman" w:hAnsi="Times New Roman"/>
          <w:sz w:val="28"/>
          <w:szCs w:val="28"/>
        </w:rPr>
        <w:t xml:space="preserve">квартир</w:t>
      </w:r>
      <w:r>
        <w:rPr>
          <w:rFonts w:ascii="Times New Roman" w:hAnsi="Times New Roman"/>
          <w:sz w:val="28"/>
          <w:szCs w:val="28"/>
        </w:rPr>
        <w:t xml:space="preserve">;</w:t>
      </w:r>
      <w:r>
        <w:rPr>
          <w:rFonts w:ascii="Times New Roman" w:hAnsi="Times New Roman"/>
          <w:sz w:val="28"/>
          <w:szCs w:val="28"/>
        </w:rPr>
      </w:r>
      <w:r>
        <w:rPr>
          <w:rFonts w:ascii="Times New Roman" w:hAnsi="Times New Roman"/>
          <w:sz w:val="28"/>
          <w:szCs w:val="28"/>
        </w:rPr>
      </w:r>
    </w:p>
    <w:p>
      <w:pPr>
        <w:pStyle w:val="1227"/>
        <w:numPr>
          <w:ilvl w:val="0"/>
          <w:numId w:val="120"/>
        </w:numPr>
        <w:ind w:left="0" w:firstLine="709"/>
        <w:jc w:val="both"/>
        <w:spacing w:line="276" w:lineRule="auto"/>
        <w:rPr>
          <w:rFonts w:ascii="Times New Roman" w:hAnsi="Times New Roman"/>
          <w:sz w:val="28"/>
          <w:szCs w:val="28"/>
        </w:rPr>
      </w:pPr>
      <w:r>
        <w:rPr>
          <w:rFonts w:ascii="Times New Roman" w:hAnsi="Times New Roman"/>
          <w:sz w:val="28"/>
          <w:szCs w:val="28"/>
          <w:lang w:val="ru-RU"/>
        </w:rPr>
        <w:t xml:space="preserve">на предоставление выплаты на приобретение благоустроенного жилого помещения в собственность или для полного погашения ипотечного кредита - 111,83 </w:t>
      </w:r>
      <w:r>
        <w:rPr>
          <w:rFonts w:ascii="Times New Roman" w:hAnsi="Times New Roman"/>
          <w:sz w:val="28"/>
          <w:szCs w:val="28"/>
          <w:lang w:val="ru-RU"/>
        </w:rPr>
        <w:t xml:space="preserve">млн</w:t>
      </w:r>
      <w:r>
        <w:rPr>
          <w:rFonts w:ascii="Times New Roman" w:hAnsi="Times New Roman"/>
          <w:sz w:val="28"/>
          <w:szCs w:val="28"/>
          <w:lang w:val="ru-RU"/>
        </w:rPr>
        <w:t xml:space="preserve"> рублей. </w:t>
      </w:r>
      <w:r>
        <w:rPr>
          <w:rFonts w:ascii="Times New Roman" w:hAnsi="Times New Roman"/>
          <w:sz w:val="28"/>
          <w:szCs w:val="28"/>
        </w:rPr>
        <w:t xml:space="preserve">Освоено</w:t>
      </w:r>
      <w:r>
        <w:rPr>
          <w:rFonts w:ascii="Times New Roman" w:hAnsi="Times New Roman"/>
          <w:sz w:val="28"/>
          <w:szCs w:val="28"/>
        </w:rPr>
        <w:t xml:space="preserve"> 100 % </w:t>
      </w:r>
      <w:r>
        <w:rPr>
          <w:rFonts w:ascii="Times New Roman" w:hAnsi="Times New Roman"/>
          <w:sz w:val="28"/>
          <w:szCs w:val="28"/>
        </w:rPr>
        <w:t xml:space="preserve">средств</w:t>
      </w:r>
      <w:r>
        <w:rPr>
          <w:rFonts w:ascii="Times New Roman" w:hAnsi="Times New Roman"/>
          <w:sz w:val="28"/>
          <w:szCs w:val="28"/>
        </w:rPr>
        <w:t xml:space="preserve">, </w:t>
      </w:r>
      <w:r>
        <w:rPr>
          <w:rFonts w:ascii="Times New Roman" w:hAnsi="Times New Roman"/>
          <w:sz w:val="28"/>
          <w:szCs w:val="28"/>
        </w:rPr>
        <w:t xml:space="preserve">выплату</w:t>
      </w:r>
      <w:r>
        <w:rPr>
          <w:rFonts w:ascii="Times New Roman" w:hAnsi="Times New Roman"/>
          <w:sz w:val="28"/>
          <w:szCs w:val="28"/>
        </w:rPr>
        <w:t xml:space="preserve"> </w:t>
      </w:r>
      <w:r>
        <w:rPr>
          <w:rFonts w:ascii="Times New Roman" w:hAnsi="Times New Roman"/>
          <w:sz w:val="28"/>
          <w:szCs w:val="28"/>
        </w:rPr>
        <w:t xml:space="preserve">получили</w:t>
      </w:r>
      <w:r>
        <w:rPr>
          <w:rFonts w:ascii="Times New Roman" w:hAnsi="Times New Roman"/>
          <w:sz w:val="28"/>
          <w:szCs w:val="28"/>
        </w:rPr>
        <w:t xml:space="preserve"> 40 </w:t>
      </w:r>
      <w:r>
        <w:rPr>
          <w:rFonts w:ascii="Times New Roman" w:hAnsi="Times New Roman"/>
          <w:sz w:val="28"/>
          <w:szCs w:val="28"/>
        </w:rPr>
        <w:t xml:space="preserve">человек</w:t>
      </w:r>
      <w:r>
        <w:rPr>
          <w:rFonts w:ascii="Times New Roman" w:hAnsi="Times New Roman"/>
          <w:sz w:val="28"/>
          <w:szCs w:val="28"/>
        </w:rPr>
        <w:t xml:space="preserve">.</w:t>
      </w:r>
      <w:r>
        <w:rPr>
          <w:rFonts w:ascii="Times New Roman" w:hAnsi="Times New Roman"/>
          <w:sz w:val="28"/>
          <w:szCs w:val="28"/>
        </w:rPr>
      </w:r>
      <w:r>
        <w:rPr>
          <w:rFonts w:ascii="Times New Roman" w:hAnsi="Times New Roman"/>
          <w:sz w:val="28"/>
          <w:szCs w:val="28"/>
        </w:rPr>
      </w:r>
    </w:p>
    <w:p>
      <w:pPr>
        <w:ind w:firstLine="709"/>
        <w:jc w:val="both"/>
        <w:spacing w:after="0"/>
      </w:pPr>
      <w:r>
        <w:rPr>
          <w:rFonts w:ascii="Times New Roman" w:hAnsi="Times New Roman"/>
          <w:sz w:val="28"/>
          <w:szCs w:val="28"/>
        </w:rPr>
        <w:t xml:space="preserve">Всего в 2025 году жилыми помещениями </w:t>
      </w:r>
      <w:r>
        <w:rPr>
          <w:rFonts w:ascii="Times New Roman" w:hAnsi="Times New Roman"/>
          <w:sz w:val="28"/>
          <w:szCs w:val="28"/>
        </w:rPr>
        <w:t xml:space="preserve">обеспечены</w:t>
      </w:r>
      <w:r>
        <w:rPr>
          <w:rFonts w:ascii="Times New Roman" w:hAnsi="Times New Roman"/>
          <w:sz w:val="28"/>
          <w:szCs w:val="28"/>
        </w:rPr>
        <w:t xml:space="preserve"> 258 человек. Из них 8 человек получили жилье из свободного муниципального специализированного жилищного фонда, 4 гражданам предоставлены жилые помещения, приобретенные в 2024 году.</w:t>
      </w:r>
      <w:r/>
    </w:p>
    <w:p>
      <w:pPr>
        <w:ind w:firstLine="709"/>
        <w:jc w:val="both"/>
        <w:spacing w:after="0"/>
      </w:pPr>
      <w:r>
        <w:rPr>
          <w:rFonts w:ascii="Times New Roman" w:hAnsi="Times New Roman"/>
          <w:sz w:val="28"/>
          <w:szCs w:val="28"/>
        </w:rPr>
        <w:t xml:space="preserve">Важным аспектом работы является </w:t>
      </w:r>
      <w:r>
        <w:rPr>
          <w:rFonts w:ascii="Times New Roman" w:hAnsi="Times New Roman"/>
          <w:sz w:val="28"/>
          <w:szCs w:val="28"/>
        </w:rPr>
        <w:t xml:space="preserve">контроль за</w:t>
      </w:r>
      <w:r>
        <w:rPr>
          <w:rFonts w:ascii="Times New Roman" w:hAnsi="Times New Roman"/>
          <w:sz w:val="28"/>
          <w:szCs w:val="28"/>
        </w:rPr>
        <w:t xml:space="preserve"> сохранностью жилья, закрепленного за детьми-сиротами. В соответствии с распоряжением Правительства Ивановской области от 25.08.200</w:t>
      </w:r>
      <w:r>
        <w:rPr>
          <w:rFonts w:ascii="Times New Roman" w:hAnsi="Times New Roman"/>
          <w:sz w:val="28"/>
          <w:szCs w:val="28"/>
        </w:rPr>
        <w:t xml:space="preserve">8 № 293-рп и приказом Департамента от 13.05.2019 № 56 ежегодно проводится обследование жилья, сохраняемого за детьми-сиротами до достижения ими 18 лет. В ходе инвентаризации 2025 года установлено, что за 1003 детьми-сиротами сохраняются 861 единица жилья. </w:t>
      </w:r>
      <w:r>
        <w:rPr>
          <w:rFonts w:ascii="Times New Roman" w:hAnsi="Times New Roman"/>
          <w:sz w:val="28"/>
          <w:szCs w:val="28"/>
        </w:rPr>
        <w:t xml:space="preserve">При этом 160 жилых помещений требуют капитального либо текущего ремонта, 12 помещений признаны непригодными для проживания.</w:t>
      </w:r>
      <w:r>
        <w:rPr>
          <w:rFonts w:ascii="Times New Roman" w:hAnsi="Times New Roman"/>
          <w:sz w:val="28"/>
          <w:szCs w:val="28"/>
        </w:rPr>
        <w:t xml:space="preserve"> В связи с этим в Список включены 11 несовершеннолетних. В 2025 году сдавалось в </w:t>
      </w:r>
      <w:r>
        <w:rPr>
          <w:rFonts w:ascii="Times New Roman" w:hAnsi="Times New Roman"/>
          <w:sz w:val="28"/>
          <w:szCs w:val="28"/>
        </w:rPr>
        <w:t xml:space="preserve">найм</w:t>
      </w:r>
      <w:r>
        <w:rPr>
          <w:rFonts w:ascii="Times New Roman" w:hAnsi="Times New Roman"/>
          <w:sz w:val="28"/>
          <w:szCs w:val="28"/>
        </w:rPr>
        <w:t xml:space="preserve"> 5 единиц жилья, однако большинство помещений сдать не представляется возможным из-за необходимости ремонта или расположения в сельской местности.</w:t>
      </w:r>
      <w:r/>
    </w:p>
    <w:p>
      <w:pPr>
        <w:ind w:firstLine="709"/>
        <w:jc w:val="both"/>
        <w:spacing w:after="0"/>
      </w:pPr>
      <w:r>
        <w:rPr>
          <w:rFonts w:ascii="Times New Roman" w:hAnsi="Times New Roman"/>
          <w:sz w:val="28"/>
          <w:szCs w:val="28"/>
        </w:rPr>
        <w:t xml:space="preserve"> Положительный факт, что для социальной адаптации выпускников организаций для детей-сирот в области функционируют 5 цент</w:t>
      </w:r>
      <w:r>
        <w:rPr>
          <w:rFonts w:ascii="Times New Roman" w:hAnsi="Times New Roman"/>
          <w:sz w:val="28"/>
          <w:szCs w:val="28"/>
        </w:rPr>
        <w:t xml:space="preserve">ров социальной адаптации с предоставлением услуг социальной гостиницы на базе 3 организаций для детей-сирот и 3 профессиональных образовательных организаций. Общее число мест в социальных гостиницах - 38, услугами в 2025 году воспользовались 23 выпускника.</w:t>
      </w:r>
      <w:r/>
    </w:p>
    <w:p>
      <w:pPr>
        <w:ind w:firstLine="709"/>
        <w:jc w:val="both"/>
        <w:spacing w:after="0"/>
        <w:rPr>
          <w:color w:val="000000" w:themeColor="text1"/>
        </w:rPr>
      </w:pPr>
      <w:r>
        <w:rPr>
          <w:rFonts w:ascii="Times New Roman" w:hAnsi="Times New Roman"/>
          <w:color w:val="000000" w:themeColor="text1"/>
          <w:sz w:val="28"/>
          <w:szCs w:val="28"/>
        </w:rPr>
        <w:t xml:space="preserve">Вопросы защиты жилищных прав детей-сирот и детей, оставшихся без попечения родителей, находятся на постоянном контроле органов прокуратуры. </w:t>
      </w:r>
      <w:r>
        <w:rPr>
          <w:color w:val="000000" w:themeColor="text1"/>
        </w:rPr>
      </w:r>
      <w:r>
        <w:rPr>
          <w:color w:val="000000" w:themeColor="text1"/>
        </w:rPr>
      </w:r>
    </w:p>
    <w:p>
      <w:pPr>
        <w:ind w:firstLine="709"/>
        <w:jc w:val="both"/>
        <w:spacing w:after="0"/>
        <w:rPr>
          <w:color w:val="000000" w:themeColor="text1"/>
        </w:rPr>
      </w:pPr>
      <w:r>
        <w:rPr>
          <w:rFonts w:ascii="Times New Roman" w:hAnsi="Times New Roman"/>
          <w:color w:val="000000" w:themeColor="text1"/>
          <w:sz w:val="28"/>
          <w:szCs w:val="28"/>
        </w:rPr>
        <w:t xml:space="preserve">Так, в прошлом году в результате надзорного сопровождения прокуратуры Ивановской области сумма бюджетных средств на приобретение жилья детям-сиротам увеличена на 138 </w:t>
      </w:r>
      <w:r>
        <w:rPr>
          <w:rFonts w:ascii="Times New Roman" w:hAnsi="Times New Roman"/>
          <w:color w:val="000000" w:themeColor="text1"/>
          <w:sz w:val="28"/>
          <w:szCs w:val="28"/>
        </w:rPr>
        <w:t xml:space="preserve">млн</w:t>
      </w:r>
      <w:r>
        <w:rPr>
          <w:rFonts w:ascii="Times New Roman" w:hAnsi="Times New Roman"/>
          <w:color w:val="000000" w:themeColor="text1"/>
          <w:sz w:val="28"/>
          <w:szCs w:val="28"/>
        </w:rPr>
        <w:t xml:space="preserve"> рублей. При этом общий объем средств, предусмотренных в регионе на указанные цели с учетом федерального финансирования, составил более 510 </w:t>
      </w:r>
      <w:r>
        <w:rPr>
          <w:rFonts w:ascii="Times New Roman" w:hAnsi="Times New Roman"/>
          <w:color w:val="000000" w:themeColor="text1"/>
          <w:sz w:val="28"/>
          <w:szCs w:val="28"/>
        </w:rPr>
        <w:t xml:space="preserve">млн</w:t>
      </w:r>
      <w:r>
        <w:rPr>
          <w:rFonts w:ascii="Times New Roman" w:hAnsi="Times New Roman"/>
          <w:color w:val="000000" w:themeColor="text1"/>
          <w:sz w:val="28"/>
          <w:szCs w:val="28"/>
        </w:rPr>
        <w:t xml:space="preserve"> рублей, что </w:t>
      </w:r>
      <w:r>
        <w:rPr>
          <w:rFonts w:ascii="Times New Roman" w:hAnsi="Times New Roman"/>
          <w:color w:val="000000" w:themeColor="text1"/>
          <w:sz w:val="28"/>
          <w:szCs w:val="28"/>
        </w:rPr>
        <w:t xml:space="preserve">позволило приобрести 229 квартир. Детям-сиротам предоставлены жилищные сертификаты 40 лицам на сумму 111,3 </w:t>
      </w:r>
      <w:r>
        <w:rPr>
          <w:rFonts w:ascii="Times New Roman" w:hAnsi="Times New Roman"/>
          <w:color w:val="000000" w:themeColor="text1"/>
          <w:sz w:val="28"/>
          <w:szCs w:val="28"/>
        </w:rPr>
        <w:t xml:space="preserve">млн</w:t>
      </w:r>
      <w:r>
        <w:rPr>
          <w:rFonts w:ascii="Times New Roman" w:hAnsi="Times New Roman"/>
          <w:color w:val="000000" w:themeColor="text1"/>
          <w:sz w:val="28"/>
          <w:szCs w:val="28"/>
        </w:rPr>
        <w:t xml:space="preserve"> руб.</w:t>
      </w:r>
      <w:r>
        <w:rPr>
          <w:color w:val="000000" w:themeColor="text1"/>
        </w:rPr>
      </w:r>
      <w:r>
        <w:rPr>
          <w:color w:val="000000" w:themeColor="text1"/>
        </w:rPr>
      </w:r>
    </w:p>
    <w:p>
      <w:pPr>
        <w:ind w:firstLine="709"/>
        <w:jc w:val="both"/>
        <w:spacing w:after="0"/>
        <w:rPr>
          <w:rFonts w:ascii="Times New Roman" w:hAnsi="Times New Roman"/>
          <w:color w:val="000000" w:themeColor="text1"/>
          <w:sz w:val="28"/>
          <w:szCs w:val="28"/>
        </w:rPr>
      </w:pPr>
      <w:r>
        <w:rPr>
          <w:rFonts w:ascii="Times New Roman" w:hAnsi="Times New Roman"/>
          <w:color w:val="000000" w:themeColor="text1"/>
          <w:sz w:val="28"/>
          <w:szCs w:val="28"/>
        </w:rPr>
        <w:t xml:space="preserve">Благодаря прокурорскому вмешательству удалось добиться увеличения на начало 2026 года финансирования из областного бюджета денежных средств, предназначенных на приобретение жилья детям-сиротам, на 40 </w:t>
      </w:r>
      <w:r>
        <w:rPr>
          <w:rFonts w:ascii="Times New Roman" w:hAnsi="Times New Roman"/>
          <w:color w:val="000000" w:themeColor="text1"/>
          <w:sz w:val="28"/>
          <w:szCs w:val="28"/>
        </w:rPr>
        <w:t xml:space="preserve">млн</w:t>
      </w:r>
      <w:r>
        <w:rPr>
          <w:rFonts w:ascii="Times New Roman" w:hAnsi="Times New Roman"/>
          <w:color w:val="000000" w:themeColor="text1"/>
          <w:sz w:val="28"/>
          <w:szCs w:val="28"/>
        </w:rPr>
        <w:t xml:space="preserve"> рублей. Кроме того, на 2 </w:t>
      </w:r>
      <w:r>
        <w:rPr>
          <w:rFonts w:ascii="Times New Roman" w:hAnsi="Times New Roman"/>
          <w:color w:val="000000" w:themeColor="text1"/>
          <w:sz w:val="28"/>
          <w:szCs w:val="28"/>
        </w:rPr>
        <w:t xml:space="preserve">млн</w:t>
      </w:r>
      <w:r>
        <w:rPr>
          <w:rFonts w:ascii="Times New Roman" w:hAnsi="Times New Roman"/>
          <w:color w:val="000000" w:themeColor="text1"/>
          <w:sz w:val="28"/>
          <w:szCs w:val="28"/>
        </w:rPr>
        <w:t xml:space="preserve"> рублей увеличено финансирование регионального бюджета по «жилищным» сертификатам на приобретение благоустроенного жилья указанной категорией лиц.</w:t>
      </w:r>
      <w:r>
        <w:rPr>
          <w:rFonts w:ascii="Times New Roman" w:hAnsi="Times New Roman"/>
          <w:color w:val="000000" w:themeColor="text1"/>
          <w:sz w:val="28"/>
          <w:szCs w:val="28"/>
        </w:rPr>
      </w:r>
      <w:r>
        <w:rPr>
          <w:rFonts w:ascii="Times New Roman" w:hAnsi="Times New Roman"/>
          <w:color w:val="000000" w:themeColor="text1"/>
          <w:sz w:val="28"/>
          <w:szCs w:val="28"/>
        </w:rPr>
      </w:r>
    </w:p>
    <w:p>
      <w:pPr>
        <w:ind w:firstLine="709"/>
        <w:jc w:val="both"/>
        <w:spacing w:after="0"/>
        <w:shd w:val="clear" w:color="auto" w:fill="ffffff"/>
        <w:rPr>
          <w:rFonts w:ascii="Times New Roman" w:hAnsi="Times New Roman"/>
          <w:sz w:val="28"/>
          <w:szCs w:val="28"/>
        </w:rPr>
      </w:pPr>
      <w:r>
        <w:rPr>
          <w:rFonts w:ascii="Times New Roman" w:hAnsi="Times New Roman"/>
          <w:sz w:val="28"/>
          <w:szCs w:val="28"/>
        </w:rPr>
        <w:t xml:space="preserve">Решение жилищного вопроса – ключевой фактор обеспечения прав человека, социальной стабильности. Доступное и комфортное жильё напрямую влияет на повышение качества жизни, ситуацию с демографией и социальную справедливость.</w:t>
      </w:r>
      <w:r>
        <w:rPr>
          <w:rFonts w:ascii="Times New Roman" w:hAnsi="Times New Roman"/>
          <w:sz w:val="28"/>
          <w:szCs w:val="28"/>
        </w:rPr>
        <w:t xml:space="preserve"> К сожалению, в адрес команды правозащитников продолжают поступать жалобы, касающиеся ненадлежащего состояния жилых помещений, входящих в состав маневренного жилищного фонда. Проблема носит системный характер: значительное число объектов маневренного фонда</w:t>
      </w:r>
      <w:r>
        <w:rPr>
          <w:rFonts w:ascii="Times New Roman" w:hAnsi="Times New Roman"/>
          <w:sz w:val="28"/>
          <w:szCs w:val="28"/>
        </w:rPr>
        <w:t xml:space="preserve"> находится в неудовлетворительном техническом состоянии, что фактически приводит к ущемлению жилищных прав неопределенного круга лиц, в том числе граждан, оказавшихся в сложных жизненных ситуациях и имеющих право на временное проживание в таких помещениях.</w:t>
      </w:r>
      <w:r>
        <w:rPr>
          <w:rFonts w:ascii="Times New Roman" w:hAnsi="Times New Roman"/>
          <w:sz w:val="28"/>
          <w:szCs w:val="28"/>
        </w:rPr>
      </w:r>
      <w:r>
        <w:rPr>
          <w:rFonts w:ascii="Times New Roman" w:hAnsi="Times New Roman"/>
          <w:sz w:val="28"/>
          <w:szCs w:val="28"/>
        </w:rPr>
      </w:r>
    </w:p>
    <w:p>
      <w:pPr>
        <w:ind w:firstLine="709"/>
        <w:jc w:val="both"/>
        <w:spacing w:after="0"/>
        <w:shd w:val="clear" w:color="auto" w:fill="ffffff"/>
        <w:rPr>
          <w:rFonts w:ascii="Times New Roman" w:hAnsi="Times New Roman"/>
          <w:sz w:val="28"/>
          <w:szCs w:val="28"/>
        </w:rPr>
      </w:pPr>
      <w:r>
        <w:rPr>
          <w:rFonts w:ascii="Times New Roman" w:hAnsi="Times New Roman"/>
          <w:sz w:val="28"/>
          <w:szCs w:val="28"/>
        </w:rPr>
        <w:t xml:space="preserve">Согласно действующему жилищному законодательству в компетенцию органов местного самоуправления входит не только обеспечение </w:t>
      </w:r>
      <w:r>
        <w:rPr>
          <w:rFonts w:ascii="Times New Roman" w:hAnsi="Times New Roman"/>
          <w:sz w:val="28"/>
          <w:szCs w:val="28"/>
        </w:rPr>
        <w:t xml:space="preserve">контроля за</w:t>
      </w:r>
      <w:r>
        <w:rPr>
          <w:rFonts w:ascii="Times New Roman" w:hAnsi="Times New Roman"/>
          <w:sz w:val="28"/>
          <w:szCs w:val="28"/>
        </w:rPr>
        <w:t xml:space="preserve"> использованием и со</w:t>
      </w:r>
      <w:r>
        <w:rPr>
          <w:rFonts w:ascii="Times New Roman" w:hAnsi="Times New Roman"/>
          <w:sz w:val="28"/>
          <w:szCs w:val="28"/>
        </w:rPr>
        <w:t xml:space="preserve">хранностью жилищного фонда, но и организация своевременного проведения капитального ремонта объектов. Несоблюдение этих требований создает риски нарушения конституционных гарантий на жилище и снижает эффективность механизмов социальной поддержки населения.</w:t>
      </w:r>
      <w:r>
        <w:rPr>
          <w:rFonts w:ascii="Times New Roman" w:hAnsi="Times New Roman"/>
          <w:sz w:val="28"/>
          <w:szCs w:val="28"/>
        </w:rPr>
      </w:r>
      <w:r>
        <w:rPr>
          <w:rFonts w:ascii="Times New Roman" w:hAnsi="Times New Roman"/>
          <w:sz w:val="28"/>
          <w:szCs w:val="28"/>
        </w:rPr>
      </w:r>
    </w:p>
    <w:p>
      <w:pPr>
        <w:ind w:firstLine="709"/>
        <w:jc w:val="both"/>
        <w:spacing w:after="0"/>
        <w:shd w:val="clear" w:color="auto" w:fill="ffffff"/>
        <w:rPr>
          <w:rFonts w:ascii="Times New Roman" w:hAnsi="Times New Roman"/>
          <w:sz w:val="28"/>
          <w:szCs w:val="28"/>
        </w:rPr>
      </w:pPr>
      <w:r>
        <w:rPr>
          <w:rFonts w:ascii="Times New Roman" w:hAnsi="Times New Roman"/>
          <w:sz w:val="28"/>
          <w:szCs w:val="28"/>
        </w:rPr>
        <w:t xml:space="preserve">Наряду с жалобами на состояние маневренного фонда, в адрес Уполномоченного в 2025 году поступали обращения от жильцов домов, признанных аварийными и под</w:t>
      </w:r>
      <w:r>
        <w:rPr>
          <w:rFonts w:ascii="Times New Roman" w:hAnsi="Times New Roman"/>
          <w:sz w:val="28"/>
          <w:szCs w:val="28"/>
        </w:rPr>
        <w:t xml:space="preserve">лежащими расселению. Анализ ситуации в регионе показывает, что проблема остается острой, несмотря на реализацию региональных программ по переселению граждан из аварийного жилья, тематических информационных собраний представителей органов власти с жильцами.</w:t>
      </w:r>
      <w:r>
        <w:rPr>
          <w:rFonts w:ascii="Times New Roman" w:hAnsi="Times New Roman"/>
          <w:sz w:val="28"/>
          <w:szCs w:val="28"/>
        </w:rPr>
      </w:r>
      <w:r>
        <w:rPr>
          <w:rFonts w:ascii="Times New Roman" w:hAnsi="Times New Roman"/>
          <w:sz w:val="28"/>
          <w:szCs w:val="28"/>
        </w:rPr>
      </w:r>
    </w:p>
    <w:p>
      <w:pPr>
        <w:ind w:firstLine="709"/>
        <w:jc w:val="both"/>
        <w:spacing w:after="0"/>
        <w:shd w:val="clear" w:color="auto" w:fill="ffffff"/>
        <w:rPr>
          <w:rFonts w:ascii="Times New Roman" w:hAnsi="Times New Roman"/>
          <w:bCs/>
          <w:i/>
          <w:sz w:val="28"/>
          <w:szCs w:val="28"/>
        </w:rPr>
      </w:pPr>
      <w:r>
        <w:rPr>
          <w:rFonts w:ascii="Times New Roman" w:hAnsi="Times New Roman"/>
          <w:i/>
          <w:iCs/>
          <w:sz w:val="28"/>
          <w:szCs w:val="28"/>
        </w:rPr>
        <w:t xml:space="preserve">«Необходима срочная помощь, женщина в беде!» - с такими словами в адрес Уполномоченного</w:t>
      </w:r>
      <w:r>
        <w:rPr>
          <w:rFonts w:ascii="Times New Roman" w:hAnsi="Times New Roman"/>
          <w:i/>
          <w:iCs/>
          <w:sz w:val="28"/>
          <w:szCs w:val="28"/>
        </w:rPr>
        <w:t xml:space="preserve"> обратился гражданин В., глубоко переживавший за свою соседку, которая постоянно проживала на дачном участке. Мужчину пригласили в правозащитную службу для уточнения деталей. В. приехал в назначенное время в правозащитную службу. Не один. Рядом с мужчиной </w:t>
      </w:r>
      <w:r>
        <w:rPr>
          <w:rFonts w:ascii="Times New Roman" w:hAnsi="Times New Roman"/>
          <w:i/>
          <w:iCs/>
          <w:sz w:val="28"/>
          <w:szCs w:val="28"/>
        </w:rPr>
        <w:t xml:space="preserve">еле шла слабая, хрупкая женщина. Это была его соседка по </w:t>
      </w:r>
      <w:r>
        <w:rPr>
          <w:rFonts w:ascii="Times New Roman" w:hAnsi="Times New Roman"/>
          <w:i/>
          <w:iCs/>
          <w:sz w:val="28"/>
          <w:szCs w:val="28"/>
        </w:rPr>
        <w:t xml:space="preserve">даче</w:t>
      </w:r>
      <w:r>
        <w:rPr>
          <w:rFonts w:ascii="Times New Roman" w:hAnsi="Times New Roman"/>
          <w:i/>
          <w:iCs/>
          <w:sz w:val="28"/>
          <w:szCs w:val="28"/>
        </w:rPr>
        <w:t xml:space="preserve">.С</w:t>
      </w:r>
      <w:r>
        <w:rPr>
          <w:rFonts w:ascii="Times New Roman" w:hAnsi="Times New Roman"/>
          <w:i/>
          <w:iCs/>
          <w:sz w:val="28"/>
          <w:szCs w:val="28"/>
        </w:rPr>
        <w:t xml:space="preserve">омнений</w:t>
      </w:r>
      <w:r>
        <w:rPr>
          <w:rFonts w:ascii="Times New Roman" w:hAnsi="Times New Roman"/>
          <w:i/>
          <w:iCs/>
          <w:sz w:val="28"/>
          <w:szCs w:val="28"/>
        </w:rPr>
        <w:t xml:space="preserve"> не было, именно ей необходима помощь. В первую очередь, </w:t>
      </w:r>
      <w:r>
        <w:rPr>
          <w:rFonts w:ascii="Times New Roman" w:hAnsi="Times New Roman"/>
          <w:i/>
          <w:iCs/>
          <w:sz w:val="28"/>
          <w:szCs w:val="28"/>
        </w:rPr>
        <w:t xml:space="preserve">была</w:t>
      </w:r>
      <w:r>
        <w:rPr>
          <w:rFonts w:ascii="Times New Roman" w:hAnsi="Times New Roman"/>
          <w:i/>
          <w:iCs/>
          <w:sz w:val="28"/>
          <w:szCs w:val="28"/>
        </w:rPr>
        <w:t xml:space="preserve"> вызвала скорая ме</w:t>
      </w:r>
      <w:r>
        <w:rPr>
          <w:rFonts w:ascii="Times New Roman" w:hAnsi="Times New Roman"/>
          <w:i/>
          <w:iCs/>
          <w:sz w:val="28"/>
          <w:szCs w:val="28"/>
        </w:rPr>
        <w:t xml:space="preserve">дицинская помощь, которая впоследствии сопроводила пациентку до больницы где ею получено необходимое лечение. Нашей правозащитной службой выяснено, что дом признали аварийным. Он подлежит сносу в 2029 году. Проживать в нем до указанного срока, невозможно. </w:t>
      </w:r>
      <w:r>
        <w:rPr>
          <w:rFonts w:ascii="Times New Roman" w:hAnsi="Times New Roman"/>
          <w:i/>
          <w:iCs/>
          <w:sz w:val="28"/>
          <w:szCs w:val="28"/>
        </w:rPr>
        <w:t xml:space="preserve">Во</w:t>
      </w:r>
      <w:r>
        <w:rPr>
          <w:rFonts w:ascii="Times New Roman" w:hAnsi="Times New Roman"/>
          <w:i/>
          <w:iCs/>
          <w:sz w:val="28"/>
          <w:szCs w:val="28"/>
        </w:rPr>
        <w:t xml:space="preserve"> – первых, опасно, во-вторых, отключены все коммуникации. В адрес Администрацией города Иванова направлен официальный </w:t>
      </w:r>
      <w:r>
        <w:rPr>
          <w:rFonts w:ascii="Times New Roman" w:hAnsi="Times New Roman"/>
          <w:i/>
          <w:iCs/>
          <w:sz w:val="28"/>
          <w:szCs w:val="28"/>
        </w:rPr>
        <w:t xml:space="preserve">запрос с ходатайством предоставления женщине временного жилья. Вопрос был решен положительно, решением жилищной комиссии принято решение о предоставлении женщине жилого помещения по договору коммерческого найма,  и ей уже вручены ключи от новой квартиры. </w:t>
      </w:r>
      <w:r>
        <w:rPr>
          <w:rFonts w:ascii="Times New Roman" w:hAnsi="Times New Roman"/>
          <w:bCs/>
          <w:i/>
          <w:sz w:val="28"/>
          <w:szCs w:val="28"/>
        </w:rPr>
      </w:r>
      <w:r>
        <w:rPr>
          <w:rFonts w:ascii="Times New Roman" w:hAnsi="Times New Roman"/>
          <w:bCs/>
          <w:i/>
          <w:sz w:val="28"/>
          <w:szCs w:val="28"/>
        </w:rPr>
      </w:r>
    </w:p>
    <w:p>
      <w:pPr>
        <w:ind w:firstLine="709"/>
        <w:jc w:val="both"/>
        <w:spacing w:after="0"/>
        <w:shd w:val="clear" w:color="auto" w:fill="ffffff"/>
        <w:rPr>
          <w:rFonts w:ascii="Times New Roman" w:hAnsi="Times New Roman"/>
          <w:color w:val="000000" w:themeColor="text1"/>
          <w:sz w:val="28"/>
          <w:szCs w:val="28"/>
        </w:rPr>
      </w:pPr>
      <w:r>
        <w:rPr>
          <w:rFonts w:ascii="Times New Roman" w:hAnsi="Times New Roman"/>
          <w:color w:val="000000" w:themeColor="text1"/>
          <w:sz w:val="28"/>
          <w:szCs w:val="28"/>
        </w:rPr>
        <w:t xml:space="preserve">Региональная адресная программа «Переселение граждан из аварийного жилищного фонда на территории Ивановской области на 2024–2030 годы» разработана на основании Федерального закона от </w:t>
      </w:r>
      <w:r>
        <w:rPr>
          <w:rFonts w:ascii="Times New Roman" w:hAnsi="Times New Roman"/>
          <w:color w:val="000000" w:themeColor="text1"/>
          <w:sz w:val="28"/>
          <w:szCs w:val="28"/>
        </w:rPr>
        <w:t xml:space="preserve">21.07.2007 № 185-ФЗ «О Фонде содействия реформированию жилищно-коммунального хозяйства» и постановления Правительства РФ от 20.08.2022 № 1469 «Об утверждении Правил предоставления финансовой поддержки на переселение граждан из аварийного жилищного фонда». </w:t>
      </w:r>
      <w:r>
        <w:rPr>
          <w:rFonts w:ascii="Times New Roman" w:hAnsi="Times New Roman"/>
          <w:color w:val="000000" w:themeColor="text1"/>
          <w:sz w:val="28"/>
          <w:szCs w:val="28"/>
        </w:rPr>
        <w:t xml:space="preserve">Ответственным</w:t>
      </w:r>
      <w:r>
        <w:rPr>
          <w:rFonts w:ascii="Times New Roman" w:hAnsi="Times New Roman"/>
          <w:color w:val="000000" w:themeColor="text1"/>
          <w:sz w:val="28"/>
          <w:szCs w:val="28"/>
        </w:rPr>
        <w:t xml:space="preserve"> за реализацию, разработку и распоряжение бюджетными средствами выступает Департамент жилищно-коммунального хозяйства Ивановской области, а непосредственными исполнителями – органы местного самоуправления муниципальных образований региона.</w:t>
      </w:r>
      <w:r>
        <w:rPr>
          <w:rFonts w:ascii="Times New Roman" w:hAnsi="Times New Roman"/>
          <w:color w:val="000000" w:themeColor="text1"/>
          <w:sz w:val="28"/>
          <w:szCs w:val="28"/>
        </w:rPr>
      </w:r>
      <w:r>
        <w:rPr>
          <w:rFonts w:ascii="Times New Roman" w:hAnsi="Times New Roman"/>
          <w:color w:val="000000" w:themeColor="text1"/>
          <w:sz w:val="28"/>
          <w:szCs w:val="28"/>
        </w:rPr>
      </w:r>
    </w:p>
    <w:p>
      <w:pPr>
        <w:ind w:firstLine="709"/>
        <w:jc w:val="both"/>
        <w:spacing w:after="0"/>
        <w:shd w:val="clear" w:color="auto" w:fill="ffffff"/>
        <w:rPr>
          <w:color w:val="000000" w:themeColor="text1"/>
        </w:rPr>
      </w:pPr>
      <w:r>
        <w:rPr>
          <w:rFonts w:ascii="Times New Roman" w:hAnsi="Times New Roman"/>
          <w:color w:val="000000" w:themeColor="text1"/>
          <w:sz w:val="28"/>
          <w:szCs w:val="28"/>
        </w:rPr>
        <w:t xml:space="preserve">Ключевыми целями программы являются создан</w:t>
      </w:r>
      <w:r>
        <w:rPr>
          <w:rFonts w:ascii="Times New Roman" w:hAnsi="Times New Roman"/>
          <w:color w:val="000000" w:themeColor="text1"/>
          <w:sz w:val="28"/>
          <w:szCs w:val="28"/>
        </w:rPr>
        <w:t xml:space="preserve">ие безопасных и благоприятных условий проживания граждан, устойчивое сокращение непригодного для проживания жилищного фонда и минимизация издержек по содержанию аварийных домов. Для их достижения поставлены задачи по переселению граждан из аварийных домов,</w:t>
      </w:r>
      <w:r>
        <w:rPr>
          <w:rFonts w:ascii="Times New Roman" w:hAnsi="Times New Roman"/>
          <w:color w:val="000000" w:themeColor="text1"/>
          <w:sz w:val="28"/>
          <w:szCs w:val="28"/>
        </w:rPr>
        <w:t xml:space="preserve"> признанных таковыми в период с 01.01.2017 по 01.01.2022, поэтапной ликвидации аварийного жилищного фонда, соблюдению установленных сроков реализации мероприятий, а также непрерывному планированию и информированию граждан о способах и условиях переселения.</w:t>
      </w:r>
      <w:r>
        <w:rPr>
          <w:color w:val="000000" w:themeColor="text1"/>
        </w:rPr>
      </w:r>
      <w:r>
        <w:rPr>
          <w:color w:val="000000" w:themeColor="text1"/>
        </w:rPr>
      </w:r>
    </w:p>
    <w:p>
      <w:pPr>
        <w:ind w:firstLine="709"/>
        <w:jc w:val="both"/>
        <w:spacing w:after="0"/>
        <w:shd w:val="clear" w:color="auto" w:fill="ffffff"/>
        <w:rPr>
          <w:color w:val="000000" w:themeColor="text1"/>
        </w:rPr>
      </w:pPr>
      <w:r>
        <w:rPr>
          <w:rFonts w:ascii="Times New Roman" w:hAnsi="Times New Roman"/>
          <w:color w:val="000000" w:themeColor="text1"/>
          <w:sz w:val="28"/>
          <w:szCs w:val="28"/>
        </w:rPr>
        <w:t xml:space="preserve">Срок реализации программы охватывает 2024–2030 гг., при этом отдельные этапы завершаются вплоть до конца 2031 г. Программа разбита на ежегодные этапы с четкими сроками исполнения (до 31 декабря каждого года), что позволяет организовать поэтапный </w:t>
      </w:r>
      <w:r>
        <w:rPr>
          <w:rFonts w:ascii="Times New Roman" w:hAnsi="Times New Roman"/>
          <w:color w:val="000000" w:themeColor="text1"/>
          <w:sz w:val="28"/>
          <w:szCs w:val="28"/>
        </w:rPr>
        <w:t xml:space="preserve">контроль за</w:t>
      </w:r>
      <w:r>
        <w:rPr>
          <w:rFonts w:ascii="Times New Roman" w:hAnsi="Times New Roman"/>
          <w:color w:val="000000" w:themeColor="text1"/>
          <w:sz w:val="28"/>
          <w:szCs w:val="28"/>
        </w:rPr>
        <w:t xml:space="preserve"> ходом ее выполнения. </w:t>
      </w:r>
      <w:r>
        <w:rPr>
          <w:color w:val="000000" w:themeColor="text1"/>
        </w:rPr>
      </w:r>
      <w:r>
        <w:rPr>
          <w:color w:val="000000" w:themeColor="text1"/>
        </w:rPr>
      </w:r>
    </w:p>
    <w:p>
      <w:pPr>
        <w:ind w:firstLine="709"/>
        <w:jc w:val="both"/>
        <w:spacing w:after="0"/>
        <w:shd w:val="clear" w:color="auto" w:fill="ffffff"/>
        <w:rPr>
          <w:color w:val="000000" w:themeColor="text1"/>
        </w:rPr>
      </w:pPr>
      <w:r>
        <w:rPr>
          <w:rFonts w:ascii="Times New Roman" w:hAnsi="Times New Roman"/>
          <w:color w:val="000000" w:themeColor="text1"/>
          <w:sz w:val="28"/>
          <w:szCs w:val="28"/>
        </w:rPr>
        <w:t xml:space="preserve">Ожидаемые результаты программы предусматривают переселение 245 тыс. человек из 126 многоквартирных домов общей площадью 445 тыс. кв. м, </w:t>
      </w:r>
      <w:r>
        <w:rPr>
          <w:rFonts w:ascii="Times New Roman" w:hAnsi="Times New Roman"/>
          <w:color w:val="000000" w:themeColor="text1"/>
          <w:sz w:val="28"/>
          <w:szCs w:val="28"/>
        </w:rPr>
        <w:t xml:space="preserve">признанных аварийными в период с 01.01.2017 по 01.01.2022. Это дает представление о масштабе проблемы аварийного жилья в регионе и подчеркивает социальную значимость программы.</w:t>
      </w:r>
      <w:r>
        <w:rPr>
          <w:color w:val="000000" w:themeColor="text1"/>
        </w:rPr>
      </w:r>
      <w:r>
        <w:rPr>
          <w:color w:val="000000" w:themeColor="text1"/>
        </w:rPr>
      </w:r>
    </w:p>
    <w:p>
      <w:pPr>
        <w:ind w:firstLine="709"/>
        <w:jc w:val="both"/>
        <w:spacing w:after="0"/>
        <w:shd w:val="clear" w:color="auto" w:fill="ffffff"/>
        <w:rPr>
          <w:rFonts w:ascii="Times New Roman" w:hAnsi="Times New Roman"/>
          <w:sz w:val="28"/>
          <w:szCs w:val="28"/>
        </w:rPr>
      </w:pPr>
      <w:r>
        <w:rPr>
          <w:rFonts w:ascii="Times New Roman" w:hAnsi="Times New Roman"/>
          <w:sz w:val="28"/>
          <w:szCs w:val="28"/>
        </w:rPr>
        <w:t xml:space="preserve">Особое внимание привлекают к себе обращения лиц с ограниченными возможностями здоровья и их родственников по вопросам обеспечения жильем и улучшения жилищных условий – за каж</w:t>
      </w:r>
      <w:r>
        <w:rPr>
          <w:rFonts w:ascii="Times New Roman" w:hAnsi="Times New Roman"/>
          <w:sz w:val="28"/>
          <w:szCs w:val="28"/>
        </w:rPr>
        <w:t xml:space="preserve">дым таким обращением стоит острая социальная проблема, напрямую влияющая на качество жизни и степень социальной включенности людей с инвалидностью. Анализ поступающих обращений показывает, что граждане сталкиваются с комплексом взаимосвязанных трудностей. </w:t>
      </w:r>
      <w:r>
        <w:rPr>
          <w:rFonts w:ascii="Times New Roman" w:hAnsi="Times New Roman"/>
          <w:sz w:val="28"/>
          <w:szCs w:val="28"/>
        </w:rPr>
        <w:t xml:space="preserve">Прежде всего, значительная часть жилых помещений, занимаемых инвалидами, не адаптирована под их специфические потребности: в домах </w:t>
      </w:r>
      <w:r>
        <w:rPr>
          <w:rFonts w:ascii="Times New Roman" w:hAnsi="Times New Roman"/>
          <w:sz w:val="28"/>
          <w:szCs w:val="28"/>
        </w:rPr>
        <w:t xml:space="preserve">отсутствуют пандусы и подъемники, дверные проемы недостаточно широки для проезда инвалидных колясок, санузлы не оборудованы поручнями и специальными приспособлениями, а расположение квартир на верхних этажах без функционирующих лифтов фактически изолирует </w:t>
      </w:r>
      <w:r>
        <w:rPr>
          <w:rFonts w:ascii="Times New Roman" w:hAnsi="Times New Roman"/>
          <w:sz w:val="28"/>
          <w:szCs w:val="28"/>
        </w:rPr>
        <w:t xml:space="preserve">маломобильных</w:t>
      </w:r>
      <w:r>
        <w:rPr>
          <w:rFonts w:ascii="Times New Roman" w:hAnsi="Times New Roman"/>
          <w:sz w:val="28"/>
          <w:szCs w:val="28"/>
        </w:rPr>
        <w:t xml:space="preserve"> граждан от внешнего мира.</w:t>
      </w:r>
      <w:r>
        <w:rPr>
          <w:rFonts w:ascii="Times New Roman" w:hAnsi="Times New Roman"/>
          <w:sz w:val="28"/>
          <w:szCs w:val="28"/>
        </w:rPr>
      </w:r>
      <w:r>
        <w:rPr>
          <w:rFonts w:ascii="Times New Roman" w:hAnsi="Times New Roman"/>
          <w:sz w:val="28"/>
          <w:szCs w:val="28"/>
        </w:rPr>
      </w:r>
    </w:p>
    <w:p>
      <w:pPr>
        <w:ind w:firstLine="709"/>
        <w:jc w:val="both"/>
        <w:spacing w:after="0"/>
        <w:shd w:val="clear" w:color="auto" w:fill="ffffff"/>
        <w:rPr>
          <w:bCs/>
          <w:i/>
        </w:rPr>
      </w:pPr>
      <w:r>
        <w:rPr>
          <w:rFonts w:ascii="Times New Roman" w:hAnsi="Times New Roman"/>
          <w:i/>
          <w:iCs/>
          <w:sz w:val="28"/>
          <w:szCs w:val="28"/>
        </w:rPr>
        <w:t xml:space="preserve">Так, в адрес регионального омбудсмена поступило обращение матери инвалида-колясочника, касающееся нарушения конституционного права на доступное и достойное жилье.</w:t>
      </w:r>
      <w:r>
        <w:rPr>
          <w:bCs/>
          <w:i/>
        </w:rPr>
      </w:r>
      <w:r>
        <w:rPr>
          <w:bCs/>
          <w:i/>
        </w:rPr>
      </w:r>
    </w:p>
    <w:p>
      <w:pPr>
        <w:ind w:firstLine="709"/>
        <w:jc w:val="both"/>
        <w:spacing w:after="0"/>
        <w:shd w:val="clear" w:color="auto" w:fill="ffffff"/>
        <w:rPr>
          <w:bCs/>
          <w:i/>
        </w:rPr>
      </w:pPr>
      <w:r>
        <w:rPr>
          <w:rFonts w:ascii="Times New Roman" w:hAnsi="Times New Roman"/>
          <w:i/>
          <w:iCs/>
          <w:sz w:val="28"/>
          <w:szCs w:val="28"/>
        </w:rPr>
        <w:t xml:space="preserve">Заявительница сообщила о крайне тяжелых условиях проживания семьи: квартира расположена на 5-м этаже в доме, не оборудованном лифтом и специальными подъемными механизмами. Фактически инвалид оказался в социальной изоляции, будучи </w:t>
      </w:r>
      <w:r>
        <w:rPr>
          <w:rFonts w:ascii="Times New Roman" w:hAnsi="Times New Roman"/>
          <w:i/>
          <w:iCs/>
          <w:sz w:val="28"/>
          <w:szCs w:val="28"/>
        </w:rPr>
        <w:t xml:space="preserve">лишенным</w:t>
      </w:r>
      <w:r>
        <w:rPr>
          <w:rFonts w:ascii="Times New Roman" w:hAnsi="Times New Roman"/>
          <w:i/>
          <w:iCs/>
          <w:sz w:val="28"/>
          <w:szCs w:val="28"/>
        </w:rPr>
        <w:t xml:space="preserve"> элементарной возможности выходить на улицу, посещать медицинские учреждения и вести полноценную жизнь. Ситуация усугубляется тем, что данное жилое помещение уже было официально признано непригодным для проживания инвалида в установленном законом порядке.</w:t>
      </w:r>
      <w:r>
        <w:rPr>
          <w:bCs/>
          <w:i/>
        </w:rPr>
      </w:r>
      <w:r>
        <w:rPr>
          <w:bCs/>
          <w:i/>
        </w:rPr>
      </w:r>
    </w:p>
    <w:p>
      <w:pPr>
        <w:ind w:firstLine="709"/>
        <w:jc w:val="both"/>
        <w:spacing w:after="0"/>
        <w:shd w:val="clear" w:color="auto" w:fill="ffffff"/>
        <w:rPr>
          <w:bCs/>
          <w:i/>
        </w:rPr>
      </w:pPr>
      <w:r>
        <w:rPr>
          <w:rFonts w:ascii="Times New Roman" w:hAnsi="Times New Roman"/>
          <w:i/>
          <w:iCs/>
          <w:sz w:val="28"/>
          <w:szCs w:val="28"/>
        </w:rPr>
        <w:t xml:space="preserve">В целях защиты прав гражданина и проверки изложенных доводов мной был направлен запрос в надзорные органы. По результатам инициированной проверки факты нарушения законодательства подтвердились.</w:t>
      </w:r>
      <w:r>
        <w:rPr>
          <w:bCs/>
          <w:i/>
        </w:rPr>
      </w:r>
      <w:r>
        <w:rPr>
          <w:bCs/>
          <w:i/>
        </w:rPr>
      </w:r>
    </w:p>
    <w:p>
      <w:pPr>
        <w:ind w:firstLine="709"/>
        <w:jc w:val="both"/>
        <w:spacing w:after="0"/>
        <w:shd w:val="clear" w:color="auto" w:fill="ffffff"/>
        <w:rPr>
          <w:rFonts w:ascii="Times New Roman" w:hAnsi="Times New Roman"/>
          <w:bCs/>
          <w:i/>
          <w:sz w:val="28"/>
          <w:szCs w:val="28"/>
        </w:rPr>
      </w:pPr>
      <w:r>
        <w:rPr>
          <w:rFonts w:ascii="Times New Roman" w:hAnsi="Times New Roman"/>
          <w:i/>
          <w:iCs/>
          <w:sz w:val="28"/>
          <w:szCs w:val="28"/>
        </w:rPr>
        <w:t xml:space="preserve">На основании полученных материалов надзорным органом в интересах инвалида в суд направлено исковое заявление. Требование - обязать орган местного самоуправления предоставить инвалиду по договору социального найма жилое помещение.</w:t>
      </w:r>
      <w:r>
        <w:rPr>
          <w:rFonts w:ascii="Times New Roman" w:hAnsi="Times New Roman"/>
          <w:bCs/>
          <w:i/>
          <w:sz w:val="28"/>
          <w:szCs w:val="28"/>
        </w:rPr>
      </w:r>
      <w:r>
        <w:rPr>
          <w:rFonts w:ascii="Times New Roman" w:hAnsi="Times New Roman"/>
          <w:bCs/>
          <w:i/>
          <w:sz w:val="28"/>
          <w:szCs w:val="28"/>
        </w:rPr>
      </w:r>
    </w:p>
    <w:p>
      <w:pPr>
        <w:ind w:firstLine="709"/>
        <w:jc w:val="both"/>
        <w:spacing w:after="0"/>
        <w:rPr>
          <w:rFonts w:ascii="Times New Roman" w:hAnsi="Times New Roman"/>
          <w:color w:val="000000"/>
          <w:sz w:val="28"/>
          <w:szCs w:val="28"/>
        </w:rPr>
      </w:pPr>
      <w:r>
        <w:rPr>
          <w:rFonts w:ascii="Times New Roman" w:hAnsi="Times New Roman"/>
          <w:color w:val="000000"/>
          <w:sz w:val="28"/>
          <w:szCs w:val="28"/>
        </w:rPr>
        <w:t xml:space="preserve">Часть рекомендаций Уполномоченного, высказанная в предыдущих ежегодных докладах, не теряет своей актуальности и в настоящее время. А решение жилищных проблем обратившихся – это не только обеспечение </w:t>
      </w:r>
      <w:r>
        <w:rPr>
          <w:rFonts w:ascii="Times New Roman" w:hAnsi="Times New Roman"/>
          <w:color w:val="000000"/>
          <w:sz w:val="28"/>
          <w:szCs w:val="28"/>
        </w:rPr>
        <w:t xml:space="preserve">базовых потребностей  человека, но инвестиция в будущее региона и нашей страны в целом.</w:t>
      </w:r>
      <w:r>
        <w:rPr>
          <w:rFonts w:ascii="Times New Roman" w:hAnsi="Times New Roman"/>
          <w:color w:val="000000"/>
          <w:sz w:val="28"/>
          <w:szCs w:val="28"/>
        </w:rPr>
      </w:r>
      <w:r>
        <w:rPr>
          <w:rFonts w:ascii="Times New Roman" w:hAnsi="Times New Roman"/>
          <w:color w:val="000000"/>
          <w:sz w:val="28"/>
          <w:szCs w:val="28"/>
        </w:rPr>
      </w:r>
    </w:p>
    <w:p>
      <w:pPr>
        <w:jc w:val="both"/>
        <w:spacing w:after="0"/>
        <w:rPr>
          <w:rFonts w:ascii="Times New Roman" w:hAnsi="Times New Roman"/>
          <w:b/>
          <w:bCs/>
          <w:i/>
          <w:color w:val="92d050"/>
          <w:sz w:val="28"/>
          <w:szCs w:val="28"/>
        </w:rPr>
      </w:pPr>
      <w:r>
        <w:rPr>
          <w:rFonts w:ascii="Times New Roman" w:hAnsi="Times New Roman"/>
          <w:b/>
          <w:bCs/>
          <w:i/>
          <w:color w:val="92d050"/>
          <w:sz w:val="28"/>
          <w:szCs w:val="28"/>
        </w:rPr>
      </w:r>
      <w:r>
        <w:rPr>
          <w:rFonts w:ascii="Times New Roman" w:hAnsi="Times New Roman"/>
          <w:b/>
          <w:bCs/>
          <w:i/>
          <w:color w:val="92d050"/>
          <w:sz w:val="28"/>
          <w:szCs w:val="28"/>
        </w:rPr>
      </w:r>
      <w:r>
        <w:rPr>
          <w:rFonts w:ascii="Times New Roman" w:hAnsi="Times New Roman"/>
          <w:b/>
          <w:bCs/>
          <w:i/>
          <w:color w:val="92d050"/>
          <w:sz w:val="28"/>
          <w:szCs w:val="28"/>
        </w:rPr>
      </w:r>
    </w:p>
    <w:p>
      <w:pPr>
        <w:pStyle w:val="1226"/>
        <w:jc w:val="center"/>
        <w:rPr>
          <w:rFonts w:ascii="Times New Roman" w:hAnsi="Times New Roman" w:cs="Times New Roman"/>
          <w:color w:val="000000" w:themeColor="text1"/>
          <w:sz w:val="28"/>
          <w:szCs w:val="28"/>
          <w:u w:val="single"/>
        </w:rPr>
      </w:pPr>
      <w:r/>
      <w:bookmarkStart w:id="29" w:name="_Toc7"/>
      <w:r>
        <w:rPr>
          <w:rFonts w:ascii="Times New Roman" w:hAnsi="Times New Roman" w:cs="Times New Roman"/>
          <w:b/>
          <w:bCs/>
          <w:color w:val="auto"/>
          <w:sz w:val="28"/>
          <w:szCs w:val="28"/>
        </w:rPr>
        <w:t xml:space="preserve">3.2. Соблюдение прав граждан в сфере жилищно-коммунального хозяйства</w:t>
      </w:r>
      <w:r>
        <w:rPr>
          <w:rFonts w:ascii="Times New Roman" w:hAnsi="Times New Roman" w:cs="Times New Roman"/>
          <w:b/>
          <w:bCs/>
          <w:color w:val="auto"/>
          <w:sz w:val="28"/>
          <w:szCs w:val="28"/>
        </w:rPr>
        <w:t xml:space="preserve"> </w:t>
      </w:r>
      <w:r>
        <w:rPr>
          <w:rFonts w:ascii="Times New Roman" w:hAnsi="Times New Roman" w:cs="Times New Roman"/>
          <w:b/>
          <w:bCs/>
          <w:color w:val="000000" w:themeColor="text1"/>
          <w:sz w:val="28"/>
          <w:szCs w:val="28"/>
          <w:u w:val="single"/>
        </w:rPr>
      </w:r>
      <w:bookmarkEnd w:id="29"/>
      <w:r>
        <w:rPr>
          <w:rFonts w:ascii="Times New Roman" w:hAnsi="Times New Roman" w:cs="Times New Roman"/>
          <w:color w:val="000000" w:themeColor="text1"/>
          <w:sz w:val="28"/>
          <w:szCs w:val="28"/>
          <w:u w:val="single"/>
        </w:rPr>
      </w:r>
      <w:r>
        <w:rPr>
          <w:rFonts w:ascii="Times New Roman" w:hAnsi="Times New Roman" w:cs="Times New Roman"/>
          <w:color w:val="000000" w:themeColor="text1"/>
          <w:sz w:val="28"/>
          <w:szCs w:val="28"/>
          <w:u w:val="single"/>
        </w:rPr>
      </w:r>
    </w:p>
    <w:p>
      <w:pPr>
        <w:rPr>
          <w:b/>
          <w:bCs/>
        </w:rPr>
      </w:pPr>
      <w:r>
        <w:rPr>
          <w:b/>
          <w:bCs/>
        </w:rPr>
      </w:r>
      <w:r>
        <w:rPr>
          <w:b/>
          <w:bCs/>
        </w:rPr>
      </w:r>
      <w:r>
        <w:rPr>
          <w:b/>
          <w:bCs/>
        </w:rPr>
      </w:r>
    </w:p>
    <w:p>
      <w:pPr>
        <w:ind w:firstLine="708"/>
        <w:jc w:val="both"/>
        <w:spacing w:after="0"/>
        <w:rPr>
          <w:rFonts w:ascii="Times New Roman" w:hAnsi="Times New Roman"/>
          <w:sz w:val="28"/>
          <w:szCs w:val="28"/>
        </w:rPr>
      </w:pPr>
      <w:r>
        <w:rPr>
          <w:rFonts w:ascii="Times New Roman" w:hAnsi="Times New Roman" w:eastAsia="Times New Roman"/>
          <w:sz w:val="28"/>
          <w:szCs w:val="28"/>
        </w:rPr>
        <w:t xml:space="preserve">Сегодня мы обращаемся к одной из самых чувствительных и значимых сфер жизни граждан — сфере жилищно-коммунального хозяйства. </w:t>
      </w:r>
      <w:r>
        <w:rPr>
          <w:rFonts w:ascii="Times New Roman" w:hAnsi="Times New Roman"/>
          <w:sz w:val="28"/>
          <w:szCs w:val="28"/>
        </w:rPr>
      </w:r>
      <w:r>
        <w:rPr>
          <w:rFonts w:ascii="Times New Roman" w:hAnsi="Times New Roman"/>
          <w:sz w:val="28"/>
          <w:szCs w:val="28"/>
        </w:rPr>
      </w:r>
    </w:p>
    <w:p>
      <w:pPr>
        <w:ind w:firstLine="708"/>
        <w:jc w:val="both"/>
        <w:spacing w:after="0"/>
        <w:rPr>
          <w:rFonts w:ascii="Times New Roman" w:hAnsi="Times New Roman"/>
          <w:sz w:val="28"/>
          <w:szCs w:val="28"/>
        </w:rPr>
      </w:pPr>
      <w:r>
        <w:rPr>
          <w:rFonts w:ascii="Times New Roman" w:hAnsi="Times New Roman" w:eastAsia="Times New Roman"/>
          <w:sz w:val="28"/>
          <w:szCs w:val="28"/>
        </w:rPr>
        <w:t xml:space="preserve">Вопросы ЖКХ затрагивают каждого жителя нашей страны: от качества предоставляемых услуг напрямую зависят комфорт, безопасность и благополучие семей, а нарушения прав в этой сфере моментально сказываются на качестве жизни.</w:t>
      </w:r>
      <w:r>
        <w:rPr>
          <w:rFonts w:ascii="Times New Roman" w:hAnsi="Times New Roman"/>
          <w:sz w:val="28"/>
          <w:szCs w:val="28"/>
        </w:rPr>
      </w:r>
      <w:r>
        <w:rPr>
          <w:rFonts w:ascii="Times New Roman" w:hAnsi="Times New Roman"/>
          <w:sz w:val="28"/>
          <w:szCs w:val="28"/>
        </w:rPr>
      </w:r>
    </w:p>
    <w:p>
      <w:pPr>
        <w:ind w:firstLine="708"/>
        <w:jc w:val="both"/>
        <w:spacing w:after="0"/>
        <w:rPr>
          <w:rFonts w:ascii="Times New Roman" w:hAnsi="Times New Roman"/>
          <w:sz w:val="28"/>
          <w:szCs w:val="28"/>
        </w:rPr>
      </w:pPr>
      <w:r>
        <w:rPr>
          <w:rFonts w:ascii="Times New Roman" w:hAnsi="Times New Roman" w:eastAsia="Times New Roman"/>
          <w:sz w:val="28"/>
          <w:szCs w:val="28"/>
        </w:rPr>
        <w:t xml:space="preserve">Чащ</w:t>
      </w:r>
      <w:r>
        <w:rPr>
          <w:rFonts w:ascii="Times New Roman" w:hAnsi="Times New Roman" w:eastAsia="Times New Roman"/>
          <w:sz w:val="28"/>
          <w:szCs w:val="28"/>
        </w:rPr>
        <w:t xml:space="preserve">е граждане жалуются на работу управляющих и ресурсных организаций в Службу государственной жилищной инспекции Ивановской области (далее – Служба). Деятельность Службы направлена исключительно на защиту прав граждан в сфере жилищно-коммунального хозяйства. </w:t>
      </w:r>
      <w:r>
        <w:rPr>
          <w:rFonts w:ascii="Times New Roman" w:hAnsi="Times New Roman"/>
          <w:sz w:val="28"/>
          <w:szCs w:val="28"/>
        </w:rPr>
      </w:r>
      <w:r>
        <w:rPr>
          <w:rFonts w:ascii="Times New Roman" w:hAnsi="Times New Roman"/>
          <w:sz w:val="28"/>
          <w:szCs w:val="28"/>
        </w:rPr>
      </w:r>
    </w:p>
    <w:p>
      <w:pPr>
        <w:ind w:firstLine="708"/>
        <w:jc w:val="both"/>
        <w:spacing w:after="0"/>
        <w:rPr>
          <w:rFonts w:ascii="Times New Roman" w:hAnsi="Times New Roman"/>
          <w:sz w:val="28"/>
          <w:szCs w:val="28"/>
        </w:rPr>
      </w:pPr>
      <w:r>
        <w:rPr>
          <w:rFonts w:ascii="Times New Roman" w:hAnsi="Times New Roman" w:eastAsia="Times New Roman"/>
          <w:sz w:val="28"/>
          <w:szCs w:val="28"/>
        </w:rPr>
        <w:t xml:space="preserve">Основным инструментом при реализации полномочий Службы является проведение контрольных (надзорных) мероприятий (далее – КНМ).</w:t>
      </w:r>
      <w:r>
        <w:rPr>
          <w:rFonts w:ascii="Times New Roman" w:hAnsi="Times New Roman"/>
          <w:sz w:val="28"/>
          <w:szCs w:val="28"/>
        </w:rPr>
      </w:r>
      <w:r>
        <w:rPr>
          <w:rFonts w:ascii="Times New Roman" w:hAnsi="Times New Roman"/>
          <w:sz w:val="28"/>
          <w:szCs w:val="28"/>
        </w:rPr>
      </w:r>
    </w:p>
    <w:p>
      <w:pPr>
        <w:ind w:firstLine="708"/>
        <w:jc w:val="both"/>
        <w:spacing w:after="0"/>
        <w:rPr>
          <w:rFonts w:ascii="Times New Roman" w:hAnsi="Times New Roman"/>
          <w:sz w:val="28"/>
          <w:szCs w:val="28"/>
        </w:rPr>
      </w:pPr>
      <w:r>
        <w:rPr>
          <w:rFonts w:ascii="Times New Roman" w:hAnsi="Times New Roman" w:eastAsia="Times New Roman"/>
          <w:sz w:val="28"/>
          <w:szCs w:val="28"/>
        </w:rPr>
        <w:t xml:space="preserve">В 2025 году КНМ проводились должностными лицами Службы в соответствии с положениями Федерального закона от 31.07.2022 № 248-ФЗ «О государственном контроле (надзоре) и муниципальном контроле в Российской Федерации» (далее – Закон № 248-ФЗ).</w:t>
      </w:r>
      <w:r>
        <w:rPr>
          <w:rFonts w:ascii="Times New Roman" w:hAnsi="Times New Roman"/>
          <w:sz w:val="28"/>
          <w:szCs w:val="28"/>
        </w:rPr>
      </w:r>
      <w:r>
        <w:rPr>
          <w:rFonts w:ascii="Times New Roman" w:hAnsi="Times New Roman"/>
          <w:sz w:val="28"/>
          <w:szCs w:val="28"/>
        </w:rPr>
      </w:r>
    </w:p>
    <w:p>
      <w:pPr>
        <w:ind w:firstLine="708"/>
        <w:jc w:val="both"/>
        <w:spacing w:after="0"/>
        <w:rPr>
          <w:rFonts w:ascii="Times New Roman" w:hAnsi="Times New Roman"/>
          <w:sz w:val="28"/>
          <w:szCs w:val="28"/>
        </w:rPr>
      </w:pPr>
      <w:r>
        <w:rPr>
          <w:rFonts w:ascii="Times New Roman" w:hAnsi="Times New Roman" w:eastAsia="Times New Roman"/>
          <w:sz w:val="28"/>
          <w:szCs w:val="28"/>
        </w:rPr>
        <w:t xml:space="preserve">С учетом требований указанных выше нормативно-правовых актов обращения (заявления) граждан принимались Службой к рассмотрению только после принятия должностным лицом контрольного (надзорного) органа мер по установлению личности гражданина. При невозможно</w:t>
      </w:r>
      <w:r>
        <w:rPr>
          <w:rFonts w:ascii="Times New Roman" w:hAnsi="Times New Roman" w:eastAsia="Times New Roman"/>
          <w:sz w:val="28"/>
          <w:szCs w:val="28"/>
        </w:rPr>
        <w:t xml:space="preserve">сти подтверждения личности гражданина и полномочий представителя, поступившие в Службу обращения (заявления) рассматривались в порядке, установленном Федеральным законом от 02.05.2006 № 59-ФЗ «О порядке рассмотрения обращений граждан Российской Федерации».</w:t>
      </w:r>
      <w:r>
        <w:rPr>
          <w:rFonts w:ascii="Times New Roman" w:hAnsi="Times New Roman"/>
          <w:sz w:val="28"/>
          <w:szCs w:val="28"/>
        </w:rPr>
      </w:r>
      <w:r>
        <w:rPr>
          <w:rFonts w:ascii="Times New Roman" w:hAnsi="Times New Roman"/>
          <w:sz w:val="28"/>
          <w:szCs w:val="28"/>
        </w:rPr>
      </w:r>
    </w:p>
    <w:p>
      <w:pPr>
        <w:ind w:firstLine="708"/>
        <w:jc w:val="both"/>
        <w:spacing w:after="0"/>
        <w:rPr>
          <w:rFonts w:ascii="Times New Roman" w:hAnsi="Times New Roman"/>
          <w:sz w:val="28"/>
          <w:szCs w:val="28"/>
        </w:rPr>
      </w:pPr>
      <w:r>
        <w:rPr>
          <w:rFonts w:ascii="Times New Roman" w:hAnsi="Times New Roman" w:eastAsia="Times New Roman"/>
          <w:sz w:val="28"/>
          <w:szCs w:val="28"/>
        </w:rPr>
        <w:t xml:space="preserve">Как и в прежние годы, значительное количество обращений граждан было связано с деятельностью управляющих организаций в сфере ЖКХ. В основном это были жалобы на невыполнение управляющими организациями обязанностей по содержанию и текущему ремонту </w:t>
      </w:r>
      <w:r>
        <w:rPr>
          <w:rFonts w:ascii="Times New Roman" w:hAnsi="Times New Roman" w:eastAsia="Times New Roman"/>
          <w:sz w:val="28"/>
          <w:szCs w:val="28"/>
        </w:rPr>
        <w:t xml:space="preserve">общедомового</w:t>
      </w:r>
      <w:r>
        <w:rPr>
          <w:rFonts w:ascii="Times New Roman" w:hAnsi="Times New Roman" w:eastAsia="Times New Roman"/>
          <w:sz w:val="28"/>
          <w:szCs w:val="28"/>
        </w:rPr>
        <w:t xml:space="preserve"> имущества, предоставление ими коммунальных услуг ненадлежащего качества.</w:t>
      </w:r>
      <w:r>
        <w:rPr>
          <w:rFonts w:ascii="Times New Roman" w:hAnsi="Times New Roman"/>
          <w:sz w:val="28"/>
          <w:szCs w:val="28"/>
        </w:rPr>
      </w:r>
      <w:r>
        <w:rPr>
          <w:rFonts w:ascii="Times New Roman" w:hAnsi="Times New Roman"/>
          <w:sz w:val="28"/>
          <w:szCs w:val="28"/>
        </w:rPr>
      </w:r>
    </w:p>
    <w:p>
      <w:pPr>
        <w:ind w:firstLine="708"/>
        <w:jc w:val="both"/>
        <w:spacing w:after="0"/>
        <w:rPr>
          <w:rFonts w:ascii="Times New Roman" w:hAnsi="Times New Roman"/>
          <w:sz w:val="28"/>
          <w:szCs w:val="28"/>
        </w:rPr>
      </w:pPr>
      <w:r>
        <w:rPr>
          <w:rFonts w:ascii="Times New Roman" w:hAnsi="Times New Roman" w:eastAsia="Times New Roman"/>
          <w:sz w:val="28"/>
          <w:szCs w:val="28"/>
        </w:rPr>
        <w:t xml:space="preserve">За 2025 год в Службу поступило 21 338 обращений, из них 7 910 это обращения граждан, на основании которых в рамках регионального государственного жилищного надзора и регионального государственного </w:t>
      </w:r>
      <w:r>
        <w:rPr>
          <w:rFonts w:ascii="Times New Roman" w:hAnsi="Times New Roman" w:eastAsia="Times New Roman"/>
          <w:sz w:val="28"/>
          <w:szCs w:val="28"/>
        </w:rPr>
        <w:t xml:space="preserve">лицензионного </w:t>
      </w:r>
      <w:r>
        <w:rPr>
          <w:rFonts w:ascii="Times New Roman" w:hAnsi="Times New Roman" w:eastAsia="Times New Roman"/>
          <w:sz w:val="28"/>
          <w:szCs w:val="28"/>
        </w:rPr>
        <w:t xml:space="preserve">контроля за</w:t>
      </w:r>
      <w:r>
        <w:rPr>
          <w:rFonts w:ascii="Times New Roman" w:hAnsi="Times New Roman" w:eastAsia="Times New Roman"/>
          <w:sz w:val="28"/>
          <w:szCs w:val="28"/>
        </w:rPr>
        <w:t xml:space="preserve"> осуществлением предпринимательской деятельности по управлению многоквартирными домами (далее – МКД) проведено 1059 КНМ, выявлено 3290 нарушений обязательных требований действующего законодательства.</w:t>
      </w:r>
      <w:r>
        <w:rPr>
          <w:rFonts w:ascii="Times New Roman" w:hAnsi="Times New Roman"/>
          <w:sz w:val="28"/>
          <w:szCs w:val="28"/>
        </w:rPr>
      </w:r>
      <w:r>
        <w:rPr>
          <w:rFonts w:ascii="Times New Roman" w:hAnsi="Times New Roman"/>
          <w:sz w:val="28"/>
          <w:szCs w:val="28"/>
        </w:rPr>
      </w:r>
    </w:p>
    <w:p>
      <w:pPr>
        <w:ind w:firstLine="708"/>
        <w:jc w:val="both"/>
        <w:spacing w:after="0"/>
        <w:rPr>
          <w:rFonts w:ascii="Times New Roman" w:hAnsi="Times New Roman"/>
          <w:sz w:val="28"/>
          <w:szCs w:val="28"/>
        </w:rPr>
      </w:pPr>
      <w:r>
        <w:rPr>
          <w:rFonts w:ascii="Times New Roman" w:hAnsi="Times New Roman" w:eastAsia="Times New Roman"/>
          <w:sz w:val="28"/>
          <w:szCs w:val="28"/>
        </w:rPr>
        <w:t xml:space="preserve">По результатам КНМ в адрес проверяемых юридических лиц выдано 810 предписаний об устранении нарушений</w:t>
      </w:r>
      <w:r>
        <w:rPr>
          <w:rFonts w:ascii="Times New Roman" w:hAnsi="Times New Roman" w:eastAsia="Times New Roman"/>
          <w:sz w:val="28"/>
          <w:szCs w:val="28"/>
        </w:rPr>
        <w:t xml:space="preserve"> обязательных требований, а также 125 рекомендаций по соблюдению обязательных требований и проведению иных мероприятий, направленных на профилактику рисков причинения вреда (ущерба) охраняемым законом ценностям, составлено 975 административных протоколов. </w:t>
      </w:r>
      <w:r>
        <w:rPr>
          <w:rFonts w:ascii="Times New Roman" w:hAnsi="Times New Roman"/>
          <w:sz w:val="28"/>
          <w:szCs w:val="28"/>
        </w:rPr>
      </w:r>
      <w:r>
        <w:rPr>
          <w:rFonts w:ascii="Times New Roman" w:hAnsi="Times New Roman"/>
          <w:sz w:val="28"/>
          <w:szCs w:val="28"/>
        </w:rPr>
      </w:r>
    </w:p>
    <w:p>
      <w:pPr>
        <w:ind w:firstLine="708"/>
        <w:jc w:val="both"/>
        <w:spacing w:after="0"/>
        <w:rPr>
          <w:rFonts w:ascii="Times New Roman" w:hAnsi="Times New Roman"/>
          <w:sz w:val="28"/>
          <w:szCs w:val="28"/>
        </w:rPr>
      </w:pPr>
      <w:r>
        <w:rPr>
          <w:rFonts w:ascii="Times New Roman" w:hAnsi="Times New Roman" w:eastAsia="Times New Roman"/>
          <w:sz w:val="28"/>
          <w:szCs w:val="28"/>
        </w:rPr>
        <w:t xml:space="preserve">За 12 месяцев 2025 года С</w:t>
      </w:r>
      <w:r>
        <w:rPr>
          <w:rFonts w:ascii="Times New Roman" w:hAnsi="Times New Roman" w:eastAsia="Times New Roman"/>
          <w:sz w:val="28"/>
          <w:szCs w:val="28"/>
        </w:rPr>
        <w:t xml:space="preserve">лужбой рассмотрено 614 административных дела, по результатам которых назначено административных наказаний в виде штрафов на сумму 20 005 500 рублей. Кроме того, 449 административных протоколов были направлены мировым судьям для рассмотрения по подсудности.</w:t>
      </w:r>
      <w:r>
        <w:rPr>
          <w:rFonts w:ascii="Times New Roman" w:hAnsi="Times New Roman"/>
          <w:sz w:val="28"/>
          <w:szCs w:val="28"/>
        </w:rPr>
      </w:r>
      <w:r>
        <w:rPr>
          <w:rFonts w:ascii="Times New Roman" w:hAnsi="Times New Roman"/>
          <w:sz w:val="28"/>
          <w:szCs w:val="28"/>
        </w:rPr>
      </w:r>
    </w:p>
    <w:p>
      <w:pPr>
        <w:ind w:firstLine="708"/>
        <w:jc w:val="both"/>
        <w:spacing w:after="0"/>
        <w:rPr>
          <w:rFonts w:ascii="Times New Roman" w:hAnsi="Times New Roman"/>
          <w:sz w:val="28"/>
          <w:szCs w:val="28"/>
        </w:rPr>
      </w:pPr>
      <w:r>
        <w:rPr>
          <w:rFonts w:ascii="Times New Roman" w:hAnsi="Times New Roman" w:eastAsia="Times New Roman"/>
          <w:sz w:val="28"/>
          <w:szCs w:val="28"/>
        </w:rPr>
        <w:t xml:space="preserve">Контроль за</w:t>
      </w:r>
      <w:r>
        <w:rPr>
          <w:rFonts w:ascii="Times New Roman" w:hAnsi="Times New Roman" w:eastAsia="Times New Roman"/>
          <w:sz w:val="28"/>
          <w:szCs w:val="28"/>
        </w:rPr>
        <w:t xml:space="preserve"> своевременностью и полнотой исполнения выданных предписаний осуществляется должностными лицами Службы на постоянной основе. </w:t>
      </w:r>
      <w:r>
        <w:rPr>
          <w:rFonts w:ascii="Times New Roman" w:hAnsi="Times New Roman"/>
          <w:sz w:val="28"/>
          <w:szCs w:val="28"/>
        </w:rPr>
      </w:r>
      <w:r>
        <w:rPr>
          <w:rFonts w:ascii="Times New Roman" w:hAnsi="Times New Roman"/>
          <w:sz w:val="28"/>
          <w:szCs w:val="28"/>
        </w:rPr>
      </w:r>
    </w:p>
    <w:p>
      <w:pPr>
        <w:ind w:firstLine="708"/>
        <w:jc w:val="both"/>
        <w:spacing w:after="0"/>
        <w:rPr>
          <w:rFonts w:ascii="Times New Roman" w:hAnsi="Times New Roman"/>
          <w:sz w:val="28"/>
          <w:szCs w:val="28"/>
          <w:highlight w:val="none"/>
        </w:rPr>
      </w:pPr>
      <w:r>
        <w:rPr>
          <w:rFonts w:ascii="Times New Roman" w:hAnsi="Times New Roman" w:eastAsia="Times New Roman"/>
          <w:sz w:val="28"/>
          <w:szCs w:val="28"/>
        </w:rPr>
        <w:t xml:space="preserve">В случае не устранения выявленных в ходе КНМ нарушений, Служба принимает меры к понуждению его исполнения в судебном порядке. В 2025 году Службой подано в суд 283 исковых заявления об устранении нарушений жилищного законодательства.</w:t>
      </w:r>
      <w:r>
        <w:rPr>
          <w:rFonts w:ascii="Times New Roman" w:hAnsi="Times New Roman"/>
          <w:sz w:val="28"/>
          <w:szCs w:val="28"/>
          <w:highlight w:val="none"/>
        </w:rPr>
      </w:r>
      <w:r>
        <w:rPr>
          <w:rFonts w:ascii="Times New Roman" w:hAnsi="Times New Roman"/>
          <w:sz w:val="28"/>
          <w:szCs w:val="28"/>
          <w:highlight w:val="none"/>
        </w:rPr>
      </w:r>
    </w:p>
    <w:p>
      <w:pPr>
        <w:ind w:firstLine="708"/>
        <w:jc w:val="both"/>
        <w:spacing w:after="0"/>
        <w:rPr>
          <w:rFonts w:ascii="Times New Roman" w:hAnsi="Times New Roman"/>
          <w:sz w:val="28"/>
          <w:szCs w:val="28"/>
        </w:rPr>
      </w:pPr>
      <w:r>
        <w:rPr>
          <w:rFonts w:ascii="Times New Roman" w:hAnsi="Times New Roman" w:eastAsia="Times New Roman"/>
          <w:sz w:val="28"/>
          <w:szCs w:val="28"/>
        </w:rPr>
        <w:t xml:space="preserve">По итогам анализа выполненных предписаний за отчетный период:</w:t>
      </w:r>
      <w:r>
        <w:rPr>
          <w:rFonts w:ascii="Times New Roman" w:hAnsi="Times New Roman"/>
          <w:sz w:val="28"/>
          <w:szCs w:val="28"/>
        </w:rPr>
      </w:r>
      <w:r>
        <w:rPr>
          <w:rFonts w:ascii="Times New Roman" w:hAnsi="Times New Roman"/>
          <w:sz w:val="28"/>
          <w:szCs w:val="28"/>
        </w:rPr>
      </w:r>
    </w:p>
    <w:p>
      <w:pPr>
        <w:pStyle w:val="1227"/>
        <w:numPr>
          <w:ilvl w:val="0"/>
          <w:numId w:val="113"/>
        </w:numPr>
        <w:ind w:left="0" w:firstLine="709"/>
        <w:jc w:val="both"/>
        <w:spacing w:line="276" w:lineRule="auto"/>
        <w:rPr>
          <w:rFonts w:ascii="Times New Roman" w:hAnsi="Times New Roman"/>
          <w:sz w:val="28"/>
          <w:szCs w:val="28"/>
          <w:lang w:val="ru-RU"/>
        </w:rPr>
      </w:pPr>
      <w:r>
        <w:rPr>
          <w:rFonts w:ascii="Times New Roman" w:hAnsi="Times New Roman" w:eastAsia="Times New Roman"/>
          <w:sz w:val="28"/>
          <w:szCs w:val="28"/>
          <w:lang w:val="ru-RU"/>
        </w:rPr>
        <w:t xml:space="preserve">произведено перерасчетов платы за жилищно-коммунальные услуги жителям региона на сумму более 4 305 698,96 рублей;</w:t>
      </w:r>
      <w:r>
        <w:rPr>
          <w:rFonts w:ascii="Times New Roman" w:hAnsi="Times New Roman"/>
          <w:sz w:val="28"/>
          <w:szCs w:val="28"/>
          <w:lang w:val="ru-RU"/>
        </w:rPr>
      </w:r>
      <w:r>
        <w:rPr>
          <w:rFonts w:ascii="Times New Roman" w:hAnsi="Times New Roman"/>
          <w:sz w:val="28"/>
          <w:szCs w:val="28"/>
          <w:lang w:val="ru-RU"/>
        </w:rPr>
      </w:r>
    </w:p>
    <w:p>
      <w:pPr>
        <w:pStyle w:val="1227"/>
        <w:numPr>
          <w:ilvl w:val="0"/>
          <w:numId w:val="113"/>
        </w:numPr>
        <w:ind w:left="0" w:firstLine="709"/>
        <w:jc w:val="both"/>
        <w:spacing w:line="276" w:lineRule="auto"/>
        <w:rPr>
          <w:rFonts w:ascii="Times New Roman" w:hAnsi="Times New Roman"/>
          <w:sz w:val="28"/>
          <w:szCs w:val="28"/>
          <w:lang w:val="ru-RU"/>
        </w:rPr>
      </w:pPr>
      <w:r>
        <w:rPr>
          <w:rFonts w:ascii="Times New Roman" w:hAnsi="Times New Roman" w:eastAsia="Times New Roman"/>
          <w:sz w:val="28"/>
          <w:szCs w:val="28"/>
          <w:lang w:val="ru-RU"/>
        </w:rPr>
        <w:t xml:space="preserve">проведены работы по ремонту общего имущества (</w:t>
      </w:r>
      <w:r>
        <w:rPr>
          <w:rFonts w:ascii="Times New Roman" w:hAnsi="Times New Roman" w:eastAsia="Times New Roman"/>
          <w:sz w:val="28"/>
          <w:szCs w:val="28"/>
          <w:lang w:val="ru-RU"/>
        </w:rPr>
        <w:t xml:space="preserve">отмостков</w:t>
      </w:r>
      <w:r>
        <w:rPr>
          <w:rFonts w:ascii="Times New Roman" w:hAnsi="Times New Roman" w:eastAsia="Times New Roman"/>
          <w:sz w:val="28"/>
          <w:szCs w:val="28"/>
          <w:lang w:val="ru-RU"/>
        </w:rPr>
        <w:t xml:space="preserve">, цоколя, межпанельных швов, </w:t>
      </w:r>
      <w:r>
        <w:rPr>
          <w:rFonts w:ascii="Times New Roman" w:hAnsi="Times New Roman" w:eastAsia="Times New Roman"/>
          <w:sz w:val="28"/>
          <w:szCs w:val="28"/>
          <w:lang w:val="ru-RU"/>
        </w:rPr>
        <w:t xml:space="preserve">вентканалов</w:t>
      </w:r>
      <w:r>
        <w:rPr>
          <w:rFonts w:ascii="Times New Roman" w:hAnsi="Times New Roman" w:eastAsia="Times New Roman"/>
          <w:sz w:val="28"/>
          <w:szCs w:val="28"/>
          <w:lang w:val="ru-RU"/>
        </w:rPr>
        <w:t xml:space="preserve">, кровли, инженерных сетей) в 544 МКД;</w:t>
      </w:r>
      <w:r>
        <w:rPr>
          <w:rFonts w:ascii="Times New Roman" w:hAnsi="Times New Roman"/>
          <w:sz w:val="28"/>
          <w:szCs w:val="28"/>
          <w:lang w:val="ru-RU"/>
        </w:rPr>
      </w:r>
      <w:r>
        <w:rPr>
          <w:rFonts w:ascii="Times New Roman" w:hAnsi="Times New Roman"/>
          <w:sz w:val="28"/>
          <w:szCs w:val="28"/>
          <w:lang w:val="ru-RU"/>
        </w:rPr>
      </w:r>
    </w:p>
    <w:p>
      <w:pPr>
        <w:pStyle w:val="1227"/>
        <w:numPr>
          <w:ilvl w:val="0"/>
          <w:numId w:val="113"/>
        </w:numPr>
        <w:ind w:left="0" w:firstLine="709"/>
        <w:jc w:val="both"/>
        <w:spacing w:line="276" w:lineRule="auto"/>
        <w:rPr>
          <w:rFonts w:ascii="Times New Roman" w:hAnsi="Times New Roman"/>
          <w:sz w:val="28"/>
          <w:szCs w:val="28"/>
          <w:lang w:val="ru-RU"/>
        </w:rPr>
      </w:pPr>
      <w:r>
        <w:rPr>
          <w:rFonts w:ascii="Times New Roman" w:hAnsi="Times New Roman" w:eastAsia="Times New Roman"/>
          <w:sz w:val="28"/>
          <w:szCs w:val="28"/>
          <w:lang w:val="ru-RU"/>
        </w:rPr>
        <w:t xml:space="preserve">обеспечена установка и ввод в эксплуатацию </w:t>
      </w:r>
      <w:r>
        <w:rPr>
          <w:rFonts w:ascii="Times New Roman" w:hAnsi="Times New Roman" w:eastAsia="Times New Roman"/>
          <w:sz w:val="28"/>
          <w:szCs w:val="28"/>
          <w:lang w:val="ru-RU"/>
        </w:rPr>
        <w:t xml:space="preserve">общедомовых</w:t>
      </w:r>
      <w:r>
        <w:rPr>
          <w:rFonts w:ascii="Times New Roman" w:hAnsi="Times New Roman" w:eastAsia="Times New Roman"/>
          <w:sz w:val="28"/>
          <w:szCs w:val="28"/>
          <w:lang w:val="ru-RU"/>
        </w:rPr>
        <w:t xml:space="preserve"> приборов учета тепловой энергии в 2 МКД;</w:t>
      </w:r>
      <w:r>
        <w:rPr>
          <w:rFonts w:ascii="Times New Roman" w:hAnsi="Times New Roman"/>
          <w:sz w:val="28"/>
          <w:szCs w:val="28"/>
          <w:lang w:val="ru-RU"/>
        </w:rPr>
      </w:r>
      <w:r>
        <w:rPr>
          <w:rFonts w:ascii="Times New Roman" w:hAnsi="Times New Roman"/>
          <w:sz w:val="28"/>
          <w:szCs w:val="28"/>
          <w:lang w:val="ru-RU"/>
        </w:rPr>
      </w:r>
    </w:p>
    <w:p>
      <w:pPr>
        <w:pStyle w:val="1227"/>
        <w:numPr>
          <w:ilvl w:val="0"/>
          <w:numId w:val="113"/>
        </w:numPr>
        <w:ind w:left="0" w:firstLine="709"/>
        <w:jc w:val="both"/>
        <w:spacing w:line="276" w:lineRule="auto"/>
        <w:rPr>
          <w:rFonts w:ascii="Times New Roman" w:hAnsi="Times New Roman"/>
          <w:sz w:val="28"/>
          <w:szCs w:val="28"/>
          <w:lang w:val="ru-RU"/>
        </w:rPr>
      </w:pPr>
      <w:r>
        <w:rPr>
          <w:rFonts w:ascii="Times New Roman" w:hAnsi="Times New Roman" w:eastAsia="Times New Roman"/>
          <w:sz w:val="28"/>
          <w:szCs w:val="28"/>
          <w:lang w:val="ru-RU"/>
        </w:rPr>
        <w:t xml:space="preserve">организованы места (площадки) сбора ТКО для жителей 8 МКД;</w:t>
      </w:r>
      <w:r>
        <w:rPr>
          <w:rFonts w:ascii="Times New Roman" w:hAnsi="Times New Roman"/>
          <w:sz w:val="28"/>
          <w:szCs w:val="28"/>
          <w:lang w:val="ru-RU"/>
        </w:rPr>
      </w:r>
      <w:r>
        <w:rPr>
          <w:rFonts w:ascii="Times New Roman" w:hAnsi="Times New Roman"/>
          <w:sz w:val="28"/>
          <w:szCs w:val="28"/>
          <w:lang w:val="ru-RU"/>
        </w:rPr>
      </w:r>
    </w:p>
    <w:p>
      <w:pPr>
        <w:pStyle w:val="1227"/>
        <w:numPr>
          <w:ilvl w:val="0"/>
          <w:numId w:val="113"/>
        </w:numPr>
        <w:ind w:left="0" w:firstLine="709"/>
        <w:jc w:val="both"/>
        <w:spacing w:line="276" w:lineRule="auto"/>
        <w:rPr>
          <w:rFonts w:ascii="Times New Roman" w:hAnsi="Times New Roman"/>
          <w:sz w:val="28"/>
          <w:szCs w:val="28"/>
        </w:rPr>
      </w:pPr>
      <w:r>
        <w:rPr>
          <w:rFonts w:ascii="Times New Roman" w:hAnsi="Times New Roman" w:eastAsia="Times New Roman"/>
          <w:sz w:val="28"/>
          <w:szCs w:val="28"/>
        </w:rPr>
        <w:t xml:space="preserve">отремонтированы</w:t>
      </w:r>
      <w:r>
        <w:rPr>
          <w:rFonts w:ascii="Times New Roman" w:hAnsi="Times New Roman" w:eastAsia="Times New Roman"/>
          <w:sz w:val="28"/>
          <w:szCs w:val="28"/>
        </w:rPr>
        <w:t xml:space="preserve"> </w:t>
      </w:r>
      <w:r>
        <w:rPr>
          <w:rFonts w:ascii="Times New Roman" w:hAnsi="Times New Roman" w:eastAsia="Times New Roman"/>
          <w:sz w:val="28"/>
          <w:szCs w:val="28"/>
        </w:rPr>
        <w:t xml:space="preserve">подъезды</w:t>
      </w:r>
      <w:r>
        <w:rPr>
          <w:rFonts w:ascii="Times New Roman" w:hAnsi="Times New Roman" w:eastAsia="Times New Roman"/>
          <w:sz w:val="28"/>
          <w:szCs w:val="28"/>
        </w:rPr>
        <w:t xml:space="preserve"> в 102 МКД.</w:t>
      </w:r>
      <w:r>
        <w:rPr>
          <w:rFonts w:ascii="Times New Roman" w:hAnsi="Times New Roman"/>
          <w:sz w:val="28"/>
          <w:szCs w:val="28"/>
        </w:rPr>
      </w:r>
      <w:r>
        <w:rPr>
          <w:rFonts w:ascii="Times New Roman" w:hAnsi="Times New Roman"/>
          <w:sz w:val="28"/>
          <w:szCs w:val="28"/>
        </w:rPr>
      </w:r>
    </w:p>
    <w:p>
      <w:pPr>
        <w:ind w:firstLine="708"/>
        <w:jc w:val="both"/>
        <w:spacing w:after="0"/>
        <w:rPr>
          <w:rFonts w:ascii="Times New Roman" w:hAnsi="Times New Roman"/>
          <w:sz w:val="28"/>
          <w:szCs w:val="28"/>
        </w:rPr>
      </w:pPr>
      <w:r>
        <w:rPr>
          <w:rFonts w:ascii="Times New Roman" w:hAnsi="Times New Roman" w:eastAsia="Times New Roman"/>
          <w:sz w:val="28"/>
          <w:szCs w:val="28"/>
        </w:rPr>
        <w:t xml:space="preserve">Кром</w:t>
      </w:r>
      <w:r>
        <w:rPr>
          <w:rFonts w:ascii="Times New Roman" w:hAnsi="Times New Roman" w:eastAsia="Times New Roman"/>
          <w:sz w:val="28"/>
          <w:szCs w:val="28"/>
        </w:rPr>
        <w:t xml:space="preserve">е того, в отношении контролируемых лиц проводились мероприятия по профилактике нарушений обязательных требований, в частности объявление предостережения - 225, профилактические визиты – 63, из них 11 проведены посредством мобильного приложения «Инспектор».</w:t>
      </w:r>
      <w:r>
        <w:rPr>
          <w:rFonts w:ascii="Times New Roman" w:hAnsi="Times New Roman"/>
          <w:sz w:val="28"/>
          <w:szCs w:val="28"/>
        </w:rPr>
      </w:r>
      <w:r>
        <w:rPr>
          <w:rFonts w:ascii="Times New Roman" w:hAnsi="Times New Roman"/>
          <w:sz w:val="28"/>
          <w:szCs w:val="28"/>
        </w:rPr>
      </w:r>
    </w:p>
    <w:p>
      <w:pPr>
        <w:ind w:firstLine="708"/>
        <w:jc w:val="both"/>
        <w:spacing w:after="0"/>
        <w:rPr>
          <w:rFonts w:ascii="Times New Roman" w:hAnsi="Times New Roman"/>
          <w:sz w:val="28"/>
          <w:szCs w:val="28"/>
        </w:rPr>
      </w:pPr>
      <w:r>
        <w:rPr>
          <w:rFonts w:ascii="Times New Roman" w:hAnsi="Times New Roman" w:eastAsia="Times New Roman"/>
          <w:sz w:val="28"/>
          <w:szCs w:val="28"/>
        </w:rPr>
        <w:t xml:space="preserve">В рамках возложенных полномочий Служба осуществляла государственный контроль (надзор) за соблюдением некоммерческой организацией «Региональный фонд капитального ремонта многоквартирных </w:t>
      </w:r>
      <w:r>
        <w:rPr>
          <w:rFonts w:ascii="Times New Roman" w:hAnsi="Times New Roman" w:eastAsia="Times New Roman"/>
          <w:sz w:val="28"/>
          <w:szCs w:val="28"/>
        </w:rPr>
        <w:t xml:space="preserve">домов Ивановской области» (далее – региональный оператор) требований, установленных </w:t>
      </w:r>
      <w:r>
        <w:rPr>
          <w:rFonts w:ascii="Times New Roman" w:hAnsi="Times New Roman" w:eastAsia="Times New Roman"/>
          <w:sz w:val="28"/>
          <w:szCs w:val="28"/>
        </w:rPr>
        <w:t xml:space="preserve">жилищным законодательством, законодательством об энергосбережении и о повышении энергетической эффективности, к использованию и сохранности жилищного фонда независимо от его формы собственности в порядке, установленном Правительством Российской Федерации. </w:t>
      </w:r>
      <w:r>
        <w:rPr>
          <w:rFonts w:ascii="Times New Roman" w:hAnsi="Times New Roman"/>
          <w:sz w:val="28"/>
          <w:szCs w:val="28"/>
        </w:rPr>
      </w:r>
      <w:r>
        <w:rPr>
          <w:rFonts w:ascii="Times New Roman" w:hAnsi="Times New Roman"/>
          <w:sz w:val="28"/>
          <w:szCs w:val="28"/>
        </w:rPr>
      </w:r>
    </w:p>
    <w:p>
      <w:pPr>
        <w:ind w:firstLine="708"/>
        <w:jc w:val="both"/>
        <w:spacing w:after="0"/>
        <w:rPr>
          <w:rFonts w:ascii="Times New Roman" w:hAnsi="Times New Roman"/>
          <w:sz w:val="28"/>
          <w:szCs w:val="28"/>
        </w:rPr>
      </w:pPr>
      <w:r>
        <w:rPr>
          <w:rFonts w:ascii="Times New Roman" w:hAnsi="Times New Roman" w:eastAsia="Times New Roman"/>
          <w:sz w:val="28"/>
          <w:szCs w:val="28"/>
        </w:rPr>
        <w:t xml:space="preserve">В 2025 году в отношении регионального оператора проведено 2 внеплановых КНМ, из них 1 на предмет проверки ранее выданного предписания.</w:t>
      </w:r>
      <w:r>
        <w:rPr>
          <w:rFonts w:ascii="Times New Roman" w:hAnsi="Times New Roman" w:eastAsia="Times New Roman"/>
          <w:sz w:val="28"/>
          <w:szCs w:val="28"/>
        </w:rPr>
        <w:t xml:space="preserve"> По результатам КНМ нарушений обязательных требований не выявлено.</w:t>
      </w:r>
      <w:r>
        <w:rPr>
          <w:rFonts w:ascii="Times New Roman" w:hAnsi="Times New Roman"/>
          <w:sz w:val="28"/>
          <w:szCs w:val="28"/>
        </w:rPr>
      </w:r>
      <w:r>
        <w:rPr>
          <w:rFonts w:ascii="Times New Roman" w:hAnsi="Times New Roman"/>
          <w:sz w:val="28"/>
          <w:szCs w:val="28"/>
        </w:rPr>
      </w:r>
    </w:p>
    <w:p>
      <w:pPr>
        <w:ind w:firstLine="708"/>
        <w:jc w:val="both"/>
        <w:spacing w:after="0"/>
        <w:rPr>
          <w:rFonts w:ascii="Times New Roman" w:hAnsi="Times New Roman"/>
          <w:sz w:val="28"/>
          <w:szCs w:val="28"/>
        </w:rPr>
      </w:pPr>
      <w:r>
        <w:rPr>
          <w:rFonts w:ascii="Times New Roman" w:hAnsi="Times New Roman" w:eastAsia="Times New Roman"/>
          <w:sz w:val="28"/>
          <w:szCs w:val="28"/>
        </w:rPr>
        <w:t xml:space="preserve">Выдано 2 предостережения о недопустимости нарушения обязательных требований.</w:t>
      </w:r>
      <w:r>
        <w:rPr>
          <w:rFonts w:ascii="Times New Roman" w:hAnsi="Times New Roman"/>
          <w:sz w:val="28"/>
          <w:szCs w:val="28"/>
        </w:rPr>
      </w:r>
      <w:r>
        <w:rPr>
          <w:rFonts w:ascii="Times New Roman" w:hAnsi="Times New Roman"/>
          <w:sz w:val="28"/>
          <w:szCs w:val="28"/>
        </w:rPr>
      </w:r>
    </w:p>
    <w:p>
      <w:pPr>
        <w:ind w:firstLine="708"/>
        <w:jc w:val="both"/>
        <w:spacing w:after="0"/>
        <w:rPr>
          <w:rFonts w:ascii="Times New Roman" w:hAnsi="Times New Roman"/>
          <w:sz w:val="28"/>
          <w:szCs w:val="28"/>
        </w:rPr>
      </w:pPr>
      <w:r>
        <w:rPr>
          <w:rFonts w:ascii="Times New Roman" w:hAnsi="Times New Roman" w:eastAsia="Times New Roman"/>
          <w:sz w:val="28"/>
          <w:szCs w:val="28"/>
        </w:rPr>
        <w:t xml:space="preserve">В рамках реализации лицензирования предприн</w:t>
      </w:r>
      <w:r>
        <w:rPr>
          <w:rFonts w:ascii="Times New Roman" w:hAnsi="Times New Roman" w:eastAsia="Times New Roman"/>
          <w:sz w:val="28"/>
          <w:szCs w:val="28"/>
        </w:rPr>
        <w:t xml:space="preserve">имательской деятельности по управлению многоквартирными домами за отчетный период Службой выдано 12 лицензий на осуществление предпринимательской деятельности по управлению многоквартирными домами, 1 лицензия аннулирована, прекращено действие 21 лицензии. </w:t>
      </w:r>
      <w:r>
        <w:rPr>
          <w:rFonts w:ascii="Times New Roman" w:hAnsi="Times New Roman"/>
          <w:sz w:val="28"/>
          <w:szCs w:val="28"/>
        </w:rPr>
      </w:r>
      <w:r>
        <w:rPr>
          <w:rFonts w:ascii="Times New Roman" w:hAnsi="Times New Roman"/>
          <w:sz w:val="28"/>
          <w:szCs w:val="28"/>
        </w:rPr>
      </w:r>
    </w:p>
    <w:p>
      <w:pPr>
        <w:ind w:firstLine="708"/>
        <w:jc w:val="both"/>
        <w:spacing w:after="0"/>
        <w:rPr>
          <w:rFonts w:ascii="Times New Roman" w:hAnsi="Times New Roman"/>
          <w:sz w:val="28"/>
          <w:szCs w:val="28"/>
        </w:rPr>
      </w:pPr>
      <w:r>
        <w:rPr>
          <w:rFonts w:ascii="Times New Roman" w:hAnsi="Times New Roman" w:eastAsia="Times New Roman"/>
          <w:sz w:val="28"/>
          <w:szCs w:val="28"/>
        </w:rPr>
        <w:t xml:space="preserve">На 1 января 2025 года на территории области действует 175 лицензиатов, в управлении которых находится 5882 многоквартирных дома.</w:t>
      </w:r>
      <w:r>
        <w:rPr>
          <w:rFonts w:ascii="Times New Roman" w:hAnsi="Times New Roman"/>
          <w:sz w:val="28"/>
          <w:szCs w:val="28"/>
        </w:rPr>
      </w:r>
      <w:r>
        <w:rPr>
          <w:rFonts w:ascii="Times New Roman" w:hAnsi="Times New Roman"/>
          <w:sz w:val="28"/>
          <w:szCs w:val="28"/>
        </w:rPr>
      </w:r>
    </w:p>
    <w:p>
      <w:pPr>
        <w:ind w:firstLine="708"/>
        <w:jc w:val="both"/>
        <w:spacing w:after="0"/>
        <w:rPr>
          <w:rFonts w:ascii="Times New Roman" w:hAnsi="Times New Roman"/>
          <w:sz w:val="28"/>
          <w:szCs w:val="28"/>
        </w:rPr>
      </w:pPr>
      <w:r>
        <w:rPr>
          <w:rFonts w:ascii="Times New Roman" w:hAnsi="Times New Roman" w:eastAsia="Times New Roman"/>
          <w:sz w:val="28"/>
          <w:szCs w:val="28"/>
        </w:rPr>
        <w:t xml:space="preserve">Служба продолжает работу по организации и хранению решений и протоколов общих собраний собственников многоквартирных домов региона. Так, в Службу за истекший период 2025 года поступ</w:t>
      </w:r>
      <w:r>
        <w:rPr>
          <w:rFonts w:ascii="Times New Roman" w:hAnsi="Times New Roman" w:eastAsia="Times New Roman"/>
          <w:sz w:val="28"/>
          <w:szCs w:val="28"/>
        </w:rPr>
        <w:t xml:space="preserve">ило 2372 протокола общих собраний собственников в многоквартирных домах, 138 протоколов общих собраний собственников помещений в многоквартирном доме направлено в правоохранительные органы и органы прокуратуры с целью проверки их на предмет фальсификации. </w:t>
      </w:r>
      <w:r>
        <w:rPr>
          <w:rFonts w:ascii="Times New Roman" w:hAnsi="Times New Roman"/>
          <w:sz w:val="28"/>
          <w:szCs w:val="28"/>
        </w:rPr>
      </w:r>
      <w:r>
        <w:rPr>
          <w:rFonts w:ascii="Times New Roman" w:hAnsi="Times New Roman"/>
          <w:sz w:val="28"/>
          <w:szCs w:val="28"/>
        </w:rPr>
      </w:r>
    </w:p>
    <w:p>
      <w:pPr>
        <w:ind w:firstLine="708"/>
        <w:jc w:val="both"/>
        <w:spacing w:after="0"/>
        <w:rPr>
          <w:rFonts w:ascii="Times New Roman" w:hAnsi="Times New Roman"/>
          <w:sz w:val="28"/>
          <w:szCs w:val="28"/>
        </w:rPr>
      </w:pPr>
      <w:r>
        <w:rPr>
          <w:rFonts w:ascii="Times New Roman" w:hAnsi="Times New Roman" w:eastAsia="Times New Roman"/>
          <w:sz w:val="28"/>
          <w:szCs w:val="28"/>
        </w:rPr>
        <w:t xml:space="preserve">На постоянной основе Службой осуществляется вза</w:t>
      </w:r>
      <w:r>
        <w:rPr>
          <w:rFonts w:ascii="Times New Roman" w:hAnsi="Times New Roman" w:eastAsia="Times New Roman"/>
          <w:sz w:val="28"/>
          <w:szCs w:val="28"/>
        </w:rPr>
        <w:t xml:space="preserve">имодействие с Общественным советом при Службе, Общероссийским общественным движением «Народный фронт «За Россию» в Ивановской области, Общественной палатой Ивановской области, Региональным центром общественного контроля в Ивановской области «ЖКХ Контроль».</w:t>
      </w:r>
      <w:r>
        <w:rPr>
          <w:rFonts w:ascii="Times New Roman" w:hAnsi="Times New Roman"/>
          <w:sz w:val="28"/>
          <w:szCs w:val="28"/>
        </w:rPr>
      </w:r>
      <w:r>
        <w:rPr>
          <w:rFonts w:ascii="Times New Roman" w:hAnsi="Times New Roman"/>
          <w:sz w:val="28"/>
          <w:szCs w:val="28"/>
        </w:rPr>
      </w:r>
    </w:p>
    <w:p>
      <w:pPr>
        <w:ind w:firstLine="708"/>
        <w:jc w:val="both"/>
        <w:spacing w:after="0"/>
        <w:rPr>
          <w:rFonts w:ascii="Times New Roman" w:hAnsi="Times New Roman"/>
          <w:sz w:val="28"/>
          <w:szCs w:val="28"/>
        </w:rPr>
      </w:pPr>
      <w:r>
        <w:rPr>
          <w:rFonts w:ascii="Times New Roman" w:hAnsi="Times New Roman" w:eastAsia="Times New Roman"/>
          <w:sz w:val="28"/>
          <w:szCs w:val="28"/>
        </w:rPr>
        <w:t xml:space="preserve">Проводятся информационные встречи с населением муниципальных образований Ивановской области. За 2025 год выездные приемы граждан проведены в городском округе Вичуга, </w:t>
      </w:r>
      <w:r>
        <w:rPr>
          <w:rFonts w:ascii="Times New Roman" w:hAnsi="Times New Roman" w:eastAsia="Times New Roman"/>
          <w:sz w:val="28"/>
          <w:szCs w:val="28"/>
        </w:rPr>
        <w:t xml:space="preserve">Вичугском</w:t>
      </w:r>
      <w:r>
        <w:rPr>
          <w:rFonts w:ascii="Times New Roman" w:hAnsi="Times New Roman" w:eastAsia="Times New Roman"/>
          <w:sz w:val="28"/>
          <w:szCs w:val="28"/>
        </w:rPr>
        <w:t xml:space="preserve">, </w:t>
      </w:r>
      <w:r>
        <w:rPr>
          <w:rFonts w:ascii="Times New Roman" w:hAnsi="Times New Roman" w:eastAsia="Times New Roman"/>
          <w:sz w:val="28"/>
          <w:szCs w:val="28"/>
        </w:rPr>
        <w:t xml:space="preserve">Верхнеландеховском</w:t>
      </w:r>
      <w:r>
        <w:rPr>
          <w:rFonts w:ascii="Times New Roman" w:hAnsi="Times New Roman" w:eastAsia="Times New Roman"/>
          <w:sz w:val="28"/>
          <w:szCs w:val="28"/>
        </w:rPr>
        <w:t xml:space="preserve">, </w:t>
      </w:r>
      <w:r>
        <w:rPr>
          <w:rFonts w:ascii="Times New Roman" w:hAnsi="Times New Roman" w:eastAsia="Times New Roman"/>
          <w:sz w:val="28"/>
          <w:szCs w:val="28"/>
        </w:rPr>
        <w:t xml:space="preserve">Гаврилово-Посадском</w:t>
      </w:r>
      <w:r>
        <w:rPr>
          <w:rFonts w:ascii="Times New Roman" w:hAnsi="Times New Roman" w:eastAsia="Times New Roman"/>
          <w:sz w:val="28"/>
          <w:szCs w:val="28"/>
        </w:rPr>
        <w:t xml:space="preserve">, Ильинском, Родниковском, Кинешемском, Палехском муниципальных районах Ивановской области.</w:t>
      </w:r>
      <w:r>
        <w:rPr>
          <w:rFonts w:ascii="Times New Roman" w:hAnsi="Times New Roman"/>
          <w:sz w:val="28"/>
          <w:szCs w:val="28"/>
        </w:rPr>
      </w:r>
      <w:r>
        <w:rPr>
          <w:rFonts w:ascii="Times New Roman" w:hAnsi="Times New Roman"/>
          <w:sz w:val="28"/>
          <w:szCs w:val="28"/>
        </w:rPr>
      </w:r>
    </w:p>
    <w:p>
      <w:pPr>
        <w:ind w:firstLine="708"/>
        <w:jc w:val="both"/>
        <w:spacing w:after="0"/>
        <w:rPr>
          <w:rFonts w:ascii="Times New Roman" w:hAnsi="Times New Roman"/>
          <w:sz w:val="28"/>
          <w:szCs w:val="28"/>
        </w:rPr>
      </w:pPr>
      <w:r>
        <w:rPr>
          <w:rFonts w:ascii="Times New Roman" w:hAnsi="Times New Roman" w:eastAsia="Times New Roman"/>
          <w:sz w:val="28"/>
          <w:szCs w:val="28"/>
        </w:rPr>
        <w:t xml:space="preserve">Осуществляется личный прием граждан руководящим составом Службы совместно с коллективом </w:t>
      </w:r>
      <w:r>
        <w:rPr>
          <w:rFonts w:ascii="Times New Roman" w:hAnsi="Times New Roman" w:eastAsia="Times New Roman"/>
          <w:sz w:val="28"/>
          <w:szCs w:val="28"/>
        </w:rPr>
        <w:t xml:space="preserve">регионального</w:t>
      </w:r>
      <w:r>
        <w:rPr>
          <w:rFonts w:ascii="Times New Roman" w:hAnsi="Times New Roman" w:eastAsia="Times New Roman"/>
          <w:sz w:val="28"/>
          <w:szCs w:val="28"/>
        </w:rPr>
        <w:t xml:space="preserve"> УПЧ.</w:t>
      </w:r>
      <w:r>
        <w:rPr>
          <w:rFonts w:ascii="Times New Roman" w:hAnsi="Times New Roman"/>
          <w:sz w:val="28"/>
          <w:szCs w:val="28"/>
        </w:rPr>
      </w:r>
      <w:r>
        <w:rPr>
          <w:rFonts w:ascii="Times New Roman" w:hAnsi="Times New Roman"/>
          <w:sz w:val="28"/>
          <w:szCs w:val="28"/>
        </w:rPr>
      </w:r>
    </w:p>
    <w:p>
      <w:pPr>
        <w:ind w:firstLine="708"/>
        <w:jc w:val="both"/>
        <w:spacing w:after="0"/>
        <w:rPr>
          <w:rFonts w:ascii="Times New Roman" w:hAnsi="Times New Roman"/>
          <w:sz w:val="28"/>
          <w:szCs w:val="28"/>
        </w:rPr>
      </w:pPr>
      <w:r>
        <w:rPr>
          <w:rFonts w:ascii="Times New Roman" w:hAnsi="Times New Roman" w:eastAsia="Times New Roman"/>
          <w:sz w:val="28"/>
          <w:szCs w:val="28"/>
        </w:rPr>
        <w:t xml:space="preserve">На сегодняшний день сфера жилищно-коммунального хозяйства остается одной из наиболее </w:t>
      </w:r>
      <w:r>
        <w:rPr>
          <w:rFonts w:ascii="Times New Roman" w:hAnsi="Times New Roman" w:eastAsia="Times New Roman"/>
          <w:sz w:val="28"/>
          <w:szCs w:val="28"/>
        </w:rPr>
        <w:t xml:space="preserve">проблемных</w:t>
      </w:r>
      <w:r>
        <w:rPr>
          <w:rFonts w:ascii="Times New Roman" w:hAnsi="Times New Roman" w:eastAsia="Times New Roman"/>
          <w:sz w:val="28"/>
          <w:szCs w:val="28"/>
        </w:rPr>
        <w:t xml:space="preserve">  не только в нашем регионе.</w:t>
      </w:r>
      <w:r>
        <w:rPr>
          <w:rFonts w:ascii="Times New Roman" w:hAnsi="Times New Roman"/>
          <w:sz w:val="28"/>
          <w:szCs w:val="28"/>
        </w:rPr>
      </w:r>
      <w:r>
        <w:rPr>
          <w:rFonts w:ascii="Times New Roman" w:hAnsi="Times New Roman"/>
          <w:sz w:val="28"/>
          <w:szCs w:val="28"/>
        </w:rPr>
      </w:r>
    </w:p>
    <w:p>
      <w:pPr>
        <w:ind w:firstLine="708"/>
        <w:jc w:val="both"/>
        <w:spacing w:after="0"/>
        <w:rPr>
          <w:rFonts w:ascii="Times New Roman" w:hAnsi="Times New Roman"/>
          <w:sz w:val="28"/>
          <w:szCs w:val="28"/>
        </w:rPr>
      </w:pPr>
      <w:r>
        <w:rPr>
          <w:rFonts w:ascii="Times New Roman" w:hAnsi="Times New Roman" w:eastAsia="Times New Roman"/>
          <w:sz w:val="28"/>
          <w:szCs w:val="28"/>
        </w:rPr>
        <w:t xml:space="preserve">Тем не менее, обеспечение прав граждан в сфере жилищно-коммунального хозяйства было одним из приоритетных направлений деятельности Службы в 2025 году.</w:t>
      </w:r>
      <w:r>
        <w:rPr>
          <w:rFonts w:ascii="Times New Roman" w:hAnsi="Times New Roman"/>
          <w:sz w:val="28"/>
          <w:szCs w:val="28"/>
        </w:rPr>
      </w:r>
      <w:r>
        <w:rPr>
          <w:rFonts w:ascii="Times New Roman" w:hAnsi="Times New Roman"/>
          <w:sz w:val="28"/>
          <w:szCs w:val="28"/>
        </w:rPr>
      </w:r>
    </w:p>
    <w:p>
      <w:pPr>
        <w:ind w:firstLine="708"/>
        <w:jc w:val="both"/>
        <w:spacing w:after="0"/>
        <w:rPr>
          <w:rFonts w:ascii="Times New Roman" w:hAnsi="Times New Roman"/>
          <w:sz w:val="28"/>
          <w:szCs w:val="28"/>
        </w:rPr>
      </w:pPr>
      <w:r>
        <w:rPr>
          <w:rFonts w:ascii="Times New Roman" w:hAnsi="Times New Roman" w:eastAsia="Times New Roman"/>
          <w:sz w:val="28"/>
          <w:szCs w:val="28"/>
        </w:rPr>
        <w:t xml:space="preserve">Актуальными являются вопросы, связанные с деятельностью управляющих компаний, качеством предоставляемых услуг.</w:t>
      </w:r>
      <w:r>
        <w:rPr>
          <w:rFonts w:ascii="Times New Roman" w:hAnsi="Times New Roman"/>
          <w:sz w:val="28"/>
          <w:szCs w:val="28"/>
        </w:rPr>
      </w:r>
      <w:r>
        <w:rPr>
          <w:rFonts w:ascii="Times New Roman" w:hAnsi="Times New Roman"/>
          <w:sz w:val="28"/>
          <w:szCs w:val="28"/>
        </w:rPr>
      </w:r>
    </w:p>
    <w:p>
      <w:pPr>
        <w:ind w:firstLine="708"/>
        <w:jc w:val="both"/>
        <w:spacing w:after="0"/>
        <w:rPr>
          <w:rFonts w:ascii="Times New Roman" w:hAnsi="Times New Roman"/>
          <w:sz w:val="28"/>
          <w:szCs w:val="28"/>
        </w:rPr>
      </w:pPr>
      <w:r>
        <w:rPr>
          <w:rFonts w:ascii="Times New Roman" w:hAnsi="Times New Roman" w:eastAsia="Times New Roman"/>
          <w:sz w:val="28"/>
          <w:szCs w:val="28"/>
        </w:rPr>
        <w:t xml:space="preserve">От эффективно</w:t>
      </w:r>
      <w:r>
        <w:rPr>
          <w:rFonts w:ascii="Times New Roman" w:hAnsi="Times New Roman" w:eastAsia="Times New Roman"/>
          <w:sz w:val="28"/>
          <w:szCs w:val="28"/>
        </w:rPr>
        <w:t xml:space="preserve">сти управления многоквартирным домом во многом зависят качество предоставления коммунальных услуг, поддержание в надлежащем техническом состоянии общего имущества, возможность экономии ресурсов, а в конечном итоге снижение финансовой нагрузки потребителей.</w:t>
      </w:r>
      <w:r>
        <w:rPr>
          <w:rFonts w:ascii="Times New Roman" w:hAnsi="Times New Roman"/>
          <w:sz w:val="28"/>
          <w:szCs w:val="28"/>
        </w:rPr>
      </w:r>
      <w:r>
        <w:rPr>
          <w:rFonts w:ascii="Times New Roman" w:hAnsi="Times New Roman"/>
          <w:sz w:val="28"/>
          <w:szCs w:val="28"/>
        </w:rPr>
      </w:r>
    </w:p>
    <w:p>
      <w:pPr>
        <w:ind w:firstLine="708"/>
        <w:jc w:val="both"/>
        <w:spacing w:after="0"/>
        <w:rPr>
          <w:rFonts w:ascii="Times New Roman" w:hAnsi="Times New Roman" w:eastAsia="Times New Roman"/>
          <w:b/>
          <w:sz w:val="28"/>
          <w:szCs w:val="28"/>
        </w:rPr>
      </w:pPr>
      <w:r>
        <w:rPr>
          <w:rFonts w:ascii="Times New Roman" w:hAnsi="Times New Roman" w:eastAsia="Times New Roman"/>
          <w:b/>
          <w:sz w:val="28"/>
          <w:szCs w:val="28"/>
        </w:rPr>
        <w:t xml:space="preserve">Одной из главных проблем является устаревшая инфраструктура.</w:t>
      </w:r>
      <w:r>
        <w:rPr>
          <w:rFonts w:ascii="Times New Roman" w:hAnsi="Times New Roman" w:eastAsia="Times New Roman"/>
          <w:b/>
          <w:sz w:val="28"/>
          <w:szCs w:val="28"/>
        </w:rPr>
      </w:r>
      <w:r>
        <w:rPr>
          <w:rFonts w:ascii="Times New Roman" w:hAnsi="Times New Roman" w:eastAsia="Times New Roman"/>
          <w:b/>
          <w:sz w:val="28"/>
          <w:szCs w:val="28"/>
        </w:rPr>
      </w:r>
    </w:p>
    <w:p>
      <w:pPr>
        <w:ind w:firstLine="708"/>
        <w:jc w:val="both"/>
        <w:spacing w:after="0"/>
        <w:shd w:val="clear" w:color="ffffff" w:fill="ffffff"/>
        <w:rPr>
          <w:rFonts w:ascii="Times New Roman" w:hAnsi="Times New Roman" w:eastAsia="Liberation Sans"/>
          <w:sz w:val="28"/>
          <w:szCs w:val="28"/>
        </w:rPr>
        <w:pBdr>
          <w:top w:val="none" w:color="000000" w:sz="4" w:space="0"/>
          <w:left w:val="none" w:color="000000" w:sz="4" w:space="0"/>
          <w:bottom w:val="none" w:color="000000" w:sz="4" w:space="0"/>
          <w:right w:val="none" w:color="000000" w:sz="4" w:space="0"/>
        </w:pBdr>
      </w:pPr>
      <w:r>
        <w:rPr>
          <w:rFonts w:ascii="Times New Roman" w:hAnsi="Times New Roman" w:eastAsia="Liberation Sans"/>
          <w:sz w:val="28"/>
          <w:szCs w:val="28"/>
        </w:rPr>
        <w:t xml:space="preserve">В ходе рассмотрения Уполномоченным обращений по вопросам нарушения прав граждан в сфере ЖКХ заявители подчеркивают, что «тарифы продолжают расти, а коммунальные сети, к сожалению, изнашиваются» (г</w:t>
      </w:r>
      <w:r>
        <w:rPr>
          <w:rFonts w:ascii="Times New Roman" w:hAnsi="Times New Roman" w:eastAsia="Liberation Sans"/>
          <w:sz w:val="28"/>
          <w:szCs w:val="28"/>
        </w:rPr>
        <w:t xml:space="preserve">.Ю</w:t>
      </w:r>
      <w:r>
        <w:rPr>
          <w:rFonts w:ascii="Times New Roman" w:hAnsi="Times New Roman" w:eastAsia="Liberation Sans"/>
          <w:sz w:val="28"/>
          <w:szCs w:val="28"/>
        </w:rPr>
        <w:t xml:space="preserve">рьевец).</w:t>
      </w:r>
      <w:r>
        <w:rPr>
          <w:rFonts w:ascii="Times New Roman" w:hAnsi="Times New Roman" w:eastAsia="Liberation Sans"/>
          <w:sz w:val="28"/>
          <w:szCs w:val="28"/>
        </w:rPr>
      </w:r>
      <w:r>
        <w:rPr>
          <w:rFonts w:ascii="Times New Roman" w:hAnsi="Times New Roman" w:eastAsia="Liberation Sans"/>
          <w:sz w:val="28"/>
          <w:szCs w:val="28"/>
        </w:rPr>
      </w:r>
    </w:p>
    <w:p>
      <w:pPr>
        <w:ind w:firstLine="708"/>
        <w:jc w:val="both"/>
        <w:spacing w:after="0"/>
        <w:rPr>
          <w:rFonts w:ascii="Times New Roman" w:hAnsi="Times New Roman"/>
          <w:sz w:val="28"/>
          <w:szCs w:val="28"/>
        </w:rPr>
      </w:pPr>
      <w:r>
        <w:rPr>
          <w:rFonts w:ascii="Times New Roman" w:hAnsi="Times New Roman" w:eastAsia="Liberation Sans"/>
          <w:sz w:val="28"/>
          <w:szCs w:val="28"/>
        </w:rPr>
        <w:t xml:space="preserve">Следует отметить, что  коммунальная инфраструктура изнашивается быстрее, чем обновляется. </w:t>
      </w:r>
      <w:r>
        <w:rPr>
          <w:rFonts w:ascii="Times New Roman" w:hAnsi="Liberation Sans" w:eastAsia="Liberation Sans"/>
          <w:sz w:val="28"/>
          <w:szCs w:val="28"/>
        </w:rPr>
        <w:t xml:space="preserve"> </w:t>
      </w:r>
      <w:r>
        <w:rPr>
          <w:rFonts w:ascii="Times New Roman" w:hAnsi="Times New Roman" w:eastAsia="Times New Roman"/>
          <w:sz w:val="28"/>
          <w:szCs w:val="28"/>
        </w:rPr>
        <w:t xml:space="preserve">Многие жилые дома, трубы и системы отопления были построены много лет назад и уже не справляют</w:t>
      </w:r>
      <w:r>
        <w:rPr>
          <w:rFonts w:ascii="Times New Roman" w:hAnsi="Times New Roman" w:eastAsia="Times New Roman"/>
          <w:sz w:val="28"/>
          <w:szCs w:val="28"/>
        </w:rPr>
        <w:t xml:space="preserve">ся с современными нагрузками. Эти старые системы часто ломаются и требуют ремонта, что в свою очередь вызывает дополнительные неудобства для жителей. Например, перебои с горячей водой или отоплением становятся привычным явлением, особенно в зимний период. </w:t>
      </w:r>
      <w:r>
        <w:rPr>
          <w:rFonts w:ascii="Times New Roman" w:hAnsi="Times New Roman"/>
          <w:sz w:val="28"/>
          <w:szCs w:val="28"/>
        </w:rPr>
      </w:r>
      <w:r>
        <w:rPr>
          <w:rFonts w:ascii="Times New Roman" w:hAnsi="Times New Roman"/>
          <w:sz w:val="28"/>
          <w:szCs w:val="28"/>
        </w:rPr>
      </w:r>
    </w:p>
    <w:p>
      <w:pPr>
        <w:ind w:firstLine="708"/>
        <w:jc w:val="both"/>
        <w:spacing w:after="0"/>
        <w:shd w:val="clear" w:color="ffffff" w:fill="ffffff"/>
        <w:rPr>
          <w:rFonts w:ascii="Times New Roman" w:hAnsi="Times New Roman" w:eastAsia="Liberation Sans"/>
          <w:sz w:val="28"/>
          <w:szCs w:val="28"/>
        </w:rPr>
        <w:pBdr>
          <w:top w:val="none" w:color="000000" w:sz="4" w:space="0"/>
          <w:left w:val="none" w:color="000000" w:sz="4" w:space="0"/>
          <w:bottom w:val="none" w:color="000000" w:sz="4" w:space="0"/>
          <w:right w:val="none" w:color="000000" w:sz="4" w:space="0"/>
        </w:pBdr>
      </w:pPr>
      <w:r>
        <w:rPr>
          <w:rFonts w:ascii="Times New Roman" w:hAnsi="Times New Roman" w:eastAsia="Liberation Sans"/>
          <w:sz w:val="28"/>
          <w:szCs w:val="28"/>
        </w:rPr>
        <w:t xml:space="preserve">Отдельные управляющие кампании допустили критический износ доставшихся им активов, несмотря на то, что уже более 20 лет как в тарифы введена инвестиционная составляющая. По мнению членов Экспертного совета </w:t>
      </w:r>
      <w:r>
        <w:rPr>
          <w:rFonts w:ascii="Times New Roman" w:hAnsi="Times New Roman" w:eastAsia="Liberation Sans"/>
          <w:sz w:val="28"/>
          <w:szCs w:val="28"/>
        </w:rPr>
        <w:t xml:space="preserve">при</w:t>
      </w:r>
      <w:r>
        <w:rPr>
          <w:rFonts w:ascii="Times New Roman" w:hAnsi="Times New Roman" w:eastAsia="Liberation Sans"/>
          <w:sz w:val="28"/>
          <w:szCs w:val="28"/>
        </w:rPr>
        <w:t xml:space="preserve"> региональном УПЧ  необходимо провести исчерпывающий мони</w:t>
      </w:r>
      <w:r>
        <w:rPr>
          <w:rFonts w:ascii="Times New Roman" w:hAnsi="Times New Roman" w:eastAsia="Liberation Sans"/>
          <w:sz w:val="28"/>
          <w:szCs w:val="28"/>
        </w:rPr>
        <w:t xml:space="preserve">торинг  концессионных соглашений в ЖКХ. Надо выяснить, как частники выполнили свои инвестиционные обязательства. Если они не исполнены, если обнаружен вывод средств, должны подключаться правоохранительные органы.  Важно усиление и  парламентского контроля.</w:t>
      </w:r>
      <w:r>
        <w:rPr>
          <w:rFonts w:ascii="Times New Roman" w:hAnsi="Times New Roman" w:eastAsia="Liberation Sans"/>
          <w:sz w:val="28"/>
          <w:szCs w:val="28"/>
        </w:rPr>
      </w:r>
      <w:r>
        <w:rPr>
          <w:rFonts w:ascii="Times New Roman" w:hAnsi="Times New Roman" w:eastAsia="Liberation Sans"/>
          <w:sz w:val="28"/>
          <w:szCs w:val="28"/>
        </w:rPr>
      </w:r>
    </w:p>
    <w:p>
      <w:pPr>
        <w:ind w:firstLine="708"/>
        <w:jc w:val="both"/>
        <w:spacing w:after="0"/>
        <w:rPr>
          <w:rFonts w:ascii="Times New Roman" w:hAnsi="Times New Roman" w:eastAsia="Times New Roman"/>
          <w:sz w:val="28"/>
          <w:szCs w:val="28"/>
        </w:rPr>
      </w:pPr>
      <w:r>
        <w:rPr>
          <w:rFonts w:ascii="Times New Roman" w:hAnsi="Times New Roman" w:eastAsia="Times New Roman"/>
          <w:sz w:val="28"/>
          <w:szCs w:val="28"/>
        </w:rPr>
        <w:t xml:space="preserve">Одна из основных задач, которую нужно решить, - это модернизация устаревшей инфраструктуры. Замену старых труб, систем отопления и водоснабжения следует привести в пр</w:t>
      </w:r>
      <w:r>
        <w:rPr>
          <w:rFonts w:ascii="Times New Roman" w:hAnsi="Times New Roman" w:eastAsia="Times New Roman"/>
          <w:sz w:val="28"/>
          <w:szCs w:val="28"/>
        </w:rPr>
        <w:t xml:space="preserve">иоритетном порядке. Современные технологии и материалы могут значительно повысить эффективность и надежность коммунальных услуг. Это поможет уменьшить количество аварийных ситуаций, которые требуют дорогостоящего ремонта и вызывают неудобства для жителей. </w:t>
      </w:r>
      <w:r>
        <w:rPr>
          <w:rFonts w:ascii="Times New Roman" w:hAnsi="Times New Roman" w:eastAsia="Times New Roman"/>
          <w:sz w:val="28"/>
          <w:szCs w:val="28"/>
        </w:rPr>
      </w:r>
      <w:r>
        <w:rPr>
          <w:rFonts w:ascii="Times New Roman" w:hAnsi="Times New Roman" w:eastAsia="Times New Roman"/>
          <w:sz w:val="28"/>
          <w:szCs w:val="28"/>
        </w:rPr>
      </w:r>
    </w:p>
    <w:p>
      <w:pPr>
        <w:ind w:firstLine="708"/>
        <w:jc w:val="both"/>
        <w:spacing w:after="0"/>
        <w:shd w:val="clear" w:color="ffffff" w:fill="ffffff"/>
        <w:rPr>
          <w:rFonts w:ascii="Times New Roman" w:hAnsi="Times New Roman" w:eastAsia="Liberation Sans"/>
          <w:b/>
          <w:sz w:val="28"/>
          <w:szCs w:val="28"/>
        </w:rPr>
        <w:pBdr>
          <w:top w:val="none" w:color="000000" w:sz="4" w:space="0"/>
          <w:left w:val="none" w:color="000000" w:sz="4" w:space="0"/>
          <w:bottom w:val="none" w:color="000000" w:sz="4" w:space="0"/>
          <w:right w:val="none" w:color="000000" w:sz="4" w:space="0"/>
        </w:pBdr>
      </w:pPr>
      <w:r>
        <w:rPr>
          <w:rFonts w:ascii="Times New Roman" w:hAnsi="Times New Roman" w:eastAsia="Liberation Sans"/>
          <w:b/>
          <w:sz w:val="28"/>
          <w:szCs w:val="28"/>
        </w:rPr>
        <w:t xml:space="preserve">Наведение порядка в сфере ЖКХ – это вопрос улучшения качества жизни людей.</w:t>
      </w:r>
      <w:r>
        <w:rPr>
          <w:rFonts w:ascii="Times New Roman" w:hAnsi="Times New Roman" w:eastAsia="Liberation Sans"/>
          <w:b/>
          <w:sz w:val="28"/>
          <w:szCs w:val="28"/>
        </w:rPr>
      </w:r>
      <w:r>
        <w:rPr>
          <w:rFonts w:ascii="Times New Roman" w:hAnsi="Times New Roman" w:eastAsia="Liberation Sans"/>
          <w:b/>
          <w:sz w:val="28"/>
          <w:szCs w:val="28"/>
        </w:rPr>
      </w:r>
    </w:p>
    <w:p>
      <w:pPr>
        <w:ind w:firstLine="708"/>
        <w:jc w:val="both"/>
        <w:spacing w:after="0"/>
        <w:rPr>
          <w:rFonts w:ascii="Times New Roman" w:hAnsi="Times New Roman"/>
          <w:sz w:val="28"/>
          <w:szCs w:val="28"/>
        </w:rPr>
      </w:pPr>
      <w:r>
        <w:rPr>
          <w:rFonts w:ascii="Times New Roman" w:hAnsi="Times New Roman" w:eastAsia="Times New Roman"/>
          <w:sz w:val="28"/>
          <w:szCs w:val="28"/>
        </w:rPr>
        <w:t xml:space="preserve">Кроме того, важно обеспечить гражданам доступ к поддержке и помощи в вопросах, связанных с ЖКХ. Это может быть предоставление субсидий и льгот</w:t>
      </w:r>
      <w:r>
        <w:rPr>
          <w:rFonts w:ascii="Times New Roman" w:hAnsi="Times New Roman" w:eastAsia="Times New Roman"/>
          <w:sz w:val="28"/>
          <w:szCs w:val="28"/>
        </w:rPr>
        <w:t xml:space="preserve"> для малообеспеченных категорий населения, а также информирование о доступных социальных программах. Создание горячих линий и консультационных центров поможет людям получать необходимую помощь и консультации по вопросам, связанным с коммунальными услугами.</w:t>
      </w:r>
      <w:r>
        <w:rPr>
          <w:rFonts w:ascii="Times New Roman" w:hAnsi="Times New Roman"/>
          <w:sz w:val="28"/>
          <w:szCs w:val="28"/>
        </w:rPr>
      </w:r>
      <w:r>
        <w:rPr>
          <w:rFonts w:ascii="Times New Roman" w:hAnsi="Times New Roman"/>
          <w:sz w:val="28"/>
          <w:szCs w:val="28"/>
        </w:rPr>
      </w:r>
    </w:p>
    <w:p>
      <w:pPr>
        <w:ind w:firstLine="708"/>
        <w:jc w:val="both"/>
        <w:spacing w:after="0"/>
        <w:rPr>
          <w:rFonts w:ascii="Times New Roman" w:hAnsi="Times New Roman"/>
          <w:sz w:val="28"/>
          <w:szCs w:val="28"/>
        </w:rPr>
      </w:pPr>
      <w:r>
        <w:rPr>
          <w:rFonts w:ascii="Times New Roman" w:hAnsi="Times New Roman" w:eastAsia="Times New Roman"/>
          <w:sz w:val="28"/>
          <w:szCs w:val="28"/>
        </w:rPr>
        <w:t xml:space="preserve">Касательно вопросов и предложений, на которые, по мнению Службы,</w:t>
      </w:r>
      <w:r>
        <w:rPr>
          <w:rFonts w:ascii="Times New Roman" w:hAnsi="Times New Roman" w:eastAsia="Times New Roman"/>
          <w:sz w:val="28"/>
          <w:szCs w:val="28"/>
        </w:rPr>
        <w:t xml:space="preserve"> также стоит акцентировать внимание на поступление в Службу обращений граждан и юридических лиц по вопросам нарушения порядка организации, проведения и оформления результатов голосования, фальсификации протоколов общих собраний собственников (далее – ОСС).</w:t>
      </w:r>
      <w:r>
        <w:rPr>
          <w:rFonts w:ascii="Times New Roman" w:hAnsi="Times New Roman"/>
          <w:sz w:val="28"/>
          <w:szCs w:val="28"/>
        </w:rPr>
      </w:r>
      <w:r>
        <w:rPr>
          <w:rFonts w:ascii="Times New Roman" w:hAnsi="Times New Roman"/>
          <w:sz w:val="28"/>
          <w:szCs w:val="28"/>
        </w:rPr>
      </w:r>
    </w:p>
    <w:p>
      <w:pPr>
        <w:ind w:firstLine="708"/>
        <w:jc w:val="both"/>
        <w:spacing w:after="0"/>
        <w:rPr>
          <w:rFonts w:ascii="Times New Roman" w:hAnsi="Times New Roman"/>
          <w:sz w:val="28"/>
          <w:szCs w:val="28"/>
        </w:rPr>
      </w:pPr>
      <w:r>
        <w:rPr>
          <w:rFonts w:ascii="Times New Roman" w:hAnsi="Times New Roman" w:eastAsia="Times New Roman"/>
          <w:sz w:val="28"/>
          <w:szCs w:val="28"/>
        </w:rPr>
        <w:t xml:space="preserve">Правовой статус ОСС в многоквартирном жилом доме, полномочия ОСС, компетенция, порядок проведения, фиксации решений, их оформление, установлен жилищным законодательством.</w:t>
      </w:r>
      <w:r>
        <w:rPr>
          <w:rFonts w:ascii="Times New Roman" w:hAnsi="Times New Roman"/>
          <w:sz w:val="28"/>
          <w:szCs w:val="28"/>
        </w:rPr>
      </w:r>
      <w:r>
        <w:rPr>
          <w:rFonts w:ascii="Times New Roman" w:hAnsi="Times New Roman"/>
          <w:sz w:val="28"/>
          <w:szCs w:val="28"/>
        </w:rPr>
      </w:r>
    </w:p>
    <w:p>
      <w:pPr>
        <w:ind w:firstLine="708"/>
        <w:jc w:val="both"/>
        <w:spacing w:after="0"/>
        <w:rPr>
          <w:rFonts w:ascii="Times New Roman" w:hAnsi="Times New Roman"/>
          <w:sz w:val="28"/>
          <w:szCs w:val="28"/>
        </w:rPr>
      </w:pPr>
      <w:r>
        <w:rPr>
          <w:rFonts w:ascii="Times New Roman" w:hAnsi="Times New Roman" w:eastAsia="Times New Roman"/>
          <w:sz w:val="28"/>
          <w:szCs w:val="28"/>
        </w:rPr>
        <w:t xml:space="preserve">При поступлении в адрес Службы обращений по вопросу законности проведения ОСС, в том числе по вопросам о выборе или смене управляющей организации, увеличения разме</w:t>
      </w:r>
      <w:r>
        <w:rPr>
          <w:rFonts w:ascii="Times New Roman" w:hAnsi="Times New Roman" w:eastAsia="Times New Roman"/>
          <w:sz w:val="28"/>
          <w:szCs w:val="28"/>
        </w:rPr>
        <w:t xml:space="preserve">ра платы за содержание жилого помещения, Служба вправе провести внеплановую проверку порядка проведения ОСС, но только в случае поступления в адрес Службы в течение трех месяцев подряд двух и более протоколов ОСС, содержащих решения по аналогичным вопросам</w:t>
      </w:r>
      <w:r>
        <w:rPr>
          <w:rFonts w:ascii="Times New Roman" w:hAnsi="Times New Roman" w:eastAsia="Times New Roman"/>
          <w:sz w:val="28"/>
          <w:szCs w:val="28"/>
        </w:rPr>
        <w:t xml:space="preserve"> повестки дня.</w:t>
      </w:r>
      <w:r>
        <w:rPr>
          <w:rFonts w:ascii="Times New Roman" w:hAnsi="Times New Roman"/>
          <w:sz w:val="28"/>
          <w:szCs w:val="28"/>
        </w:rPr>
      </w:r>
      <w:r>
        <w:rPr>
          <w:rFonts w:ascii="Times New Roman" w:hAnsi="Times New Roman"/>
          <w:sz w:val="28"/>
          <w:szCs w:val="28"/>
        </w:rPr>
      </w:r>
    </w:p>
    <w:p>
      <w:pPr>
        <w:ind w:firstLine="708"/>
        <w:jc w:val="both"/>
        <w:spacing w:after="0"/>
        <w:rPr>
          <w:rFonts w:ascii="Times New Roman" w:hAnsi="Times New Roman"/>
          <w:sz w:val="28"/>
          <w:szCs w:val="28"/>
        </w:rPr>
      </w:pPr>
      <w:r>
        <w:rPr>
          <w:rFonts w:ascii="Times New Roman" w:hAnsi="Times New Roman" w:eastAsia="Times New Roman"/>
          <w:sz w:val="28"/>
          <w:szCs w:val="28"/>
        </w:rPr>
        <w:t xml:space="preserve">При этом из системного толкования положений части 6 статьи 46 Жилищного кодекса Российской Федерации (далее – ЖК РФ), части 1 статьи 181.3 Гражданского кодекса Российской Федерации следует, что решение ОСС может быть оспорено только в судебном порядке.</w:t>
      </w:r>
      <w:r>
        <w:rPr>
          <w:rFonts w:ascii="Times New Roman" w:hAnsi="Times New Roman"/>
          <w:sz w:val="28"/>
          <w:szCs w:val="28"/>
        </w:rPr>
      </w:r>
      <w:r>
        <w:rPr>
          <w:rFonts w:ascii="Times New Roman" w:hAnsi="Times New Roman"/>
          <w:sz w:val="28"/>
          <w:szCs w:val="28"/>
        </w:rPr>
      </w:r>
    </w:p>
    <w:p>
      <w:pPr>
        <w:ind w:firstLine="708"/>
        <w:jc w:val="both"/>
        <w:spacing w:after="0"/>
        <w:rPr>
          <w:rFonts w:ascii="Times New Roman" w:hAnsi="Times New Roman"/>
          <w:sz w:val="28"/>
          <w:szCs w:val="28"/>
        </w:rPr>
      </w:pPr>
      <w:r>
        <w:rPr>
          <w:rFonts w:ascii="Times New Roman" w:hAnsi="Times New Roman" w:eastAsia="Times New Roman"/>
          <w:sz w:val="28"/>
          <w:szCs w:val="28"/>
        </w:rPr>
        <w:t xml:space="preserve">Следовательно, в случае выявления Службой при проведении проверки обстоятельств, свидетельствующих о том, что решение ОСС принято с нарушением требований ЖК РФ, устранение такого нарушения не может </w:t>
      </w:r>
      <w:r>
        <w:rPr>
          <w:rFonts w:ascii="Times New Roman" w:hAnsi="Times New Roman" w:eastAsia="Times New Roman"/>
          <w:sz w:val="28"/>
          <w:szCs w:val="28"/>
        </w:rPr>
        <w:t xml:space="preserve">производиться в административном порядке путем выдачи предписания или иного акта реагирования.</w:t>
      </w:r>
      <w:r>
        <w:rPr>
          <w:rFonts w:ascii="Times New Roman" w:hAnsi="Times New Roman"/>
          <w:sz w:val="28"/>
          <w:szCs w:val="28"/>
        </w:rPr>
      </w:r>
      <w:r>
        <w:rPr>
          <w:rFonts w:ascii="Times New Roman" w:hAnsi="Times New Roman"/>
          <w:sz w:val="28"/>
          <w:szCs w:val="28"/>
        </w:rPr>
      </w:r>
    </w:p>
    <w:p>
      <w:pPr>
        <w:ind w:firstLine="708"/>
        <w:jc w:val="both"/>
        <w:spacing w:after="0"/>
        <w:rPr>
          <w:rFonts w:ascii="Times New Roman" w:hAnsi="Times New Roman"/>
          <w:sz w:val="28"/>
          <w:szCs w:val="28"/>
        </w:rPr>
      </w:pPr>
      <w:r>
        <w:rPr>
          <w:rFonts w:ascii="Times New Roman" w:hAnsi="Times New Roman" w:eastAsia="Times New Roman"/>
          <w:sz w:val="28"/>
          <w:szCs w:val="28"/>
        </w:rPr>
        <w:t xml:space="preserve">Рассмотрение </w:t>
      </w:r>
      <w:r>
        <w:rPr>
          <w:rFonts w:ascii="Times New Roman" w:hAnsi="Times New Roman" w:eastAsia="Times New Roman"/>
          <w:sz w:val="28"/>
          <w:szCs w:val="28"/>
        </w:rPr>
        <w:t xml:space="preserve">вопроса фальсификации подписей собственников помещений многоквартирного дома</w:t>
      </w:r>
      <w:r>
        <w:rPr>
          <w:rFonts w:ascii="Times New Roman" w:hAnsi="Times New Roman" w:eastAsia="Times New Roman"/>
          <w:sz w:val="28"/>
          <w:szCs w:val="28"/>
        </w:rPr>
        <w:t xml:space="preserve"> при проведении ОСС не входит в компетенцию Службы, подобные обращения напра</w:t>
      </w:r>
      <w:r>
        <w:rPr>
          <w:rFonts w:ascii="Times New Roman" w:hAnsi="Times New Roman" w:eastAsia="Times New Roman"/>
          <w:sz w:val="28"/>
          <w:szCs w:val="28"/>
        </w:rPr>
        <w:t xml:space="preserve">вляются по подведомственности в правоохранительные органы. Как указано выше, в 2025 году в правоохранительные органы и органы прокуратуры было направлено 138 протоколов ОСС по данному факту. В сравнении с 2024 годом данный показатель увеличился в 4,5 раза.</w:t>
      </w:r>
      <w:r>
        <w:rPr>
          <w:rFonts w:ascii="Times New Roman" w:hAnsi="Times New Roman"/>
          <w:sz w:val="28"/>
          <w:szCs w:val="28"/>
        </w:rPr>
      </w:r>
      <w:r>
        <w:rPr>
          <w:rFonts w:ascii="Times New Roman" w:hAnsi="Times New Roman"/>
          <w:sz w:val="28"/>
          <w:szCs w:val="28"/>
        </w:rPr>
      </w:r>
    </w:p>
    <w:p>
      <w:pPr>
        <w:ind w:firstLine="708"/>
        <w:jc w:val="both"/>
        <w:spacing w:after="0"/>
        <w:rPr>
          <w:rFonts w:ascii="Times New Roman" w:hAnsi="Times New Roman"/>
          <w:sz w:val="28"/>
          <w:szCs w:val="28"/>
        </w:rPr>
      </w:pPr>
      <w:r>
        <w:rPr>
          <w:rFonts w:ascii="Times New Roman" w:hAnsi="Times New Roman" w:eastAsia="Times New Roman"/>
          <w:sz w:val="28"/>
          <w:szCs w:val="28"/>
        </w:rPr>
        <w:t xml:space="preserve">Вместе с тем важно отметить, что вышеуказанные проблемы </w:t>
      </w:r>
      <w:r>
        <w:rPr>
          <w:rFonts w:ascii="Times New Roman" w:hAnsi="Times New Roman" w:eastAsia="Times New Roman"/>
          <w:sz w:val="28"/>
          <w:szCs w:val="28"/>
        </w:rPr>
        <w:t xml:space="preserve">носят федеральное значение</w:t>
      </w:r>
      <w:r>
        <w:rPr>
          <w:rFonts w:ascii="Times New Roman" w:hAnsi="Times New Roman" w:eastAsia="Times New Roman"/>
          <w:sz w:val="28"/>
          <w:szCs w:val="28"/>
        </w:rPr>
        <w:t xml:space="preserve">, одним из самых эффективных решений которых станет проведение электронных голосований с использованием системы ГИС ЖКХ.</w:t>
      </w:r>
      <w:r>
        <w:rPr>
          <w:rFonts w:ascii="Times New Roman" w:hAnsi="Times New Roman"/>
          <w:sz w:val="28"/>
          <w:szCs w:val="28"/>
        </w:rPr>
      </w:r>
      <w:r>
        <w:rPr>
          <w:rFonts w:ascii="Times New Roman" w:hAnsi="Times New Roman"/>
          <w:sz w:val="28"/>
          <w:szCs w:val="28"/>
        </w:rPr>
      </w:r>
    </w:p>
    <w:p>
      <w:pPr>
        <w:ind w:firstLine="708"/>
        <w:jc w:val="both"/>
        <w:spacing w:after="0"/>
        <w:rPr>
          <w:rFonts w:ascii="Times New Roman" w:hAnsi="Times New Roman" w:eastAsia="Times New Roman"/>
          <w:sz w:val="28"/>
          <w:szCs w:val="28"/>
        </w:rPr>
      </w:pPr>
      <w:r>
        <w:rPr>
          <w:rFonts w:ascii="Times New Roman" w:hAnsi="Times New Roman" w:eastAsia="Times New Roman"/>
          <w:b/>
          <w:bCs/>
          <w:sz w:val="28"/>
          <w:szCs w:val="28"/>
        </w:rPr>
        <w:t xml:space="preserve">Какие вопросы ставят заявители в своих обращениях в адрес УПЧ?</w:t>
      </w:r>
      <w:r>
        <w:rPr>
          <w:rFonts w:ascii="Times New Roman" w:hAnsi="Times New Roman" w:eastAsia="Times New Roman"/>
          <w:sz w:val="28"/>
          <w:szCs w:val="28"/>
        </w:rPr>
        <w:t xml:space="preserve">  Это необоснованный рост тарифов, некачественное предоставление коммунальных услуг, непрозрачность расчетов, проблемы капитального ремонта и содержания общего имущества многоквартирных домов. </w:t>
      </w:r>
      <w:r>
        <w:rPr>
          <w:rFonts w:ascii="Times New Roman" w:hAnsi="Times New Roman" w:eastAsia="Times New Roman"/>
          <w:sz w:val="28"/>
          <w:szCs w:val="28"/>
        </w:rPr>
      </w:r>
      <w:r>
        <w:rPr>
          <w:rFonts w:ascii="Times New Roman" w:hAnsi="Times New Roman" w:eastAsia="Times New Roman"/>
          <w:sz w:val="28"/>
          <w:szCs w:val="28"/>
        </w:rPr>
      </w:r>
    </w:p>
    <w:p>
      <w:pPr>
        <w:ind w:firstLine="708"/>
        <w:jc w:val="both"/>
        <w:spacing w:after="0"/>
        <w:rPr>
          <w:rFonts w:ascii="Times New Roman" w:hAnsi="Times New Roman"/>
          <w:sz w:val="28"/>
          <w:szCs w:val="28"/>
        </w:rPr>
      </w:pPr>
      <w:r>
        <w:rPr>
          <w:rFonts w:ascii="Times New Roman" w:hAnsi="Times New Roman" w:eastAsia="Times New Roman"/>
          <w:sz w:val="28"/>
          <w:szCs w:val="28"/>
        </w:rPr>
        <w:t xml:space="preserve">Эти жалобы не просто фиксируют отдельные случаи — они выявляют системные проблемы, требующие  совместного внимания и конструктивных решений службы Уполномоченного, органов исполнительной власти, надзорных служб и, конечно же, коммерческих </w:t>
      </w:r>
      <w:r>
        <w:rPr>
          <w:rFonts w:ascii="Times New Roman" w:hAnsi="Times New Roman" w:eastAsia="Times New Roman"/>
          <w:sz w:val="28"/>
          <w:szCs w:val="28"/>
        </w:rPr>
        <w:t xml:space="preserve">ресурсоснабжающих</w:t>
      </w:r>
      <w:r>
        <w:rPr>
          <w:rFonts w:ascii="Times New Roman" w:hAnsi="Times New Roman" w:eastAsia="Times New Roman"/>
          <w:sz w:val="28"/>
          <w:szCs w:val="28"/>
        </w:rPr>
        <w:t xml:space="preserve"> организаций. </w:t>
      </w:r>
      <w:r>
        <w:rPr>
          <w:rFonts w:ascii="Times New Roman" w:hAnsi="Times New Roman"/>
          <w:sz w:val="28"/>
          <w:szCs w:val="28"/>
        </w:rPr>
      </w:r>
      <w:r>
        <w:rPr>
          <w:rFonts w:ascii="Times New Roman" w:hAnsi="Times New Roman"/>
          <w:sz w:val="28"/>
          <w:szCs w:val="28"/>
        </w:rPr>
      </w:r>
    </w:p>
    <w:p>
      <w:pPr>
        <w:ind w:firstLine="708"/>
        <w:jc w:val="both"/>
        <w:spacing w:after="0"/>
        <w:rPr>
          <w:rFonts w:ascii="Times New Roman" w:hAnsi="Times New Roman"/>
          <w:sz w:val="28"/>
          <w:szCs w:val="28"/>
        </w:rPr>
      </w:pPr>
      <w:r>
        <w:rPr>
          <w:rFonts w:ascii="Times New Roman" w:hAnsi="Times New Roman" w:eastAsia="Times New Roman"/>
          <w:sz w:val="28"/>
          <w:szCs w:val="28"/>
        </w:rPr>
        <w:t xml:space="preserve">За 2025 год к Уполномоченному по правам человека в Ивановской области поступило 333 обращения (35 письменных и 298 устных) обращений по вопросам ЖКХ.</w:t>
      </w:r>
      <w:r>
        <w:rPr>
          <w:rFonts w:ascii="Times New Roman" w:hAnsi="Times New Roman"/>
          <w:sz w:val="28"/>
          <w:szCs w:val="28"/>
        </w:rPr>
      </w:r>
      <w:r>
        <w:rPr>
          <w:rFonts w:ascii="Times New Roman" w:hAnsi="Times New Roman"/>
          <w:sz w:val="28"/>
          <w:szCs w:val="28"/>
        </w:rPr>
      </w:r>
    </w:p>
    <w:p>
      <w:pPr>
        <w:ind w:firstLine="708"/>
        <w:jc w:val="both"/>
        <w:spacing w:after="0"/>
        <w:rPr>
          <w:rFonts w:ascii="Times New Roman" w:hAnsi="Times New Roman"/>
          <w:sz w:val="28"/>
          <w:szCs w:val="28"/>
        </w:rPr>
      </w:pPr>
      <w:r>
        <w:rPr>
          <w:rFonts w:ascii="Times New Roman" w:hAnsi="Times New Roman" w:eastAsia="Times New Roman"/>
          <w:sz w:val="28"/>
          <w:szCs w:val="28"/>
        </w:rPr>
        <w:t xml:space="preserve">Это не просто цифры — за каждой жалобой стоит человек, столкнувшийся с реальной проблемой: пенсионер, которому нечем оплатить внезапно выросший платеж, семья с детьми в холодной квартире, инвалид, ожидающий ремонта кровли месяцами и т.д.</w:t>
      </w:r>
      <w:r>
        <w:rPr>
          <w:rFonts w:ascii="Times New Roman" w:hAnsi="Times New Roman"/>
          <w:sz w:val="28"/>
          <w:szCs w:val="28"/>
        </w:rPr>
      </w:r>
      <w:r>
        <w:rPr>
          <w:rFonts w:ascii="Times New Roman" w:hAnsi="Times New Roman"/>
          <w:sz w:val="28"/>
          <w:szCs w:val="28"/>
        </w:rPr>
      </w:r>
    </w:p>
    <w:p>
      <w:pPr>
        <w:ind w:firstLine="708"/>
        <w:jc w:val="both"/>
        <w:spacing w:after="0"/>
        <w:rPr>
          <w:rFonts w:ascii="Times New Roman" w:hAnsi="Times New Roman" w:eastAsia="Times New Roman"/>
          <w:bCs/>
          <w:i/>
          <w:sz w:val="28"/>
          <w:szCs w:val="28"/>
        </w:rPr>
      </w:pPr>
      <w:r>
        <w:rPr>
          <w:rFonts w:ascii="Times New Roman" w:hAnsi="Times New Roman" w:eastAsia="Times New Roman"/>
          <w:i/>
          <w:iCs/>
          <w:sz w:val="28"/>
          <w:szCs w:val="28"/>
        </w:rPr>
        <w:t xml:space="preserve">Так, с низкой теплоизоляцией, сквозняками, запотевшими стеклами, трудностями с открыванием и закрыванием окон и столкнулся житель областного центра.</w:t>
      </w:r>
      <w:r>
        <w:rPr>
          <w:rFonts w:ascii="Times New Roman" w:hAnsi="Times New Roman" w:eastAsia="Times New Roman"/>
          <w:bCs/>
          <w:i/>
          <w:sz w:val="28"/>
          <w:szCs w:val="28"/>
        </w:rPr>
      </w:r>
      <w:r>
        <w:rPr>
          <w:rFonts w:ascii="Times New Roman" w:hAnsi="Times New Roman" w:eastAsia="Times New Roman"/>
          <w:bCs/>
          <w:i/>
          <w:sz w:val="28"/>
          <w:szCs w:val="28"/>
        </w:rPr>
      </w:r>
    </w:p>
    <w:p>
      <w:pPr>
        <w:ind w:firstLine="708"/>
        <w:jc w:val="both"/>
        <w:spacing w:after="0"/>
        <w:rPr>
          <w:rFonts w:ascii="Times New Roman" w:hAnsi="Times New Roman"/>
          <w:bCs/>
          <w:i/>
          <w:sz w:val="28"/>
          <w:szCs w:val="28"/>
        </w:rPr>
      </w:pPr>
      <w:r>
        <w:rPr>
          <w:rFonts w:ascii="Times New Roman" w:hAnsi="Times New Roman" w:eastAsia="Times New Roman"/>
          <w:i/>
          <w:iCs/>
          <w:sz w:val="28"/>
          <w:szCs w:val="28"/>
        </w:rPr>
        <w:t xml:space="preserve">Гражданин К. обратился к Уполномоченному по правам человека в Ивановской области.</w:t>
      </w:r>
      <w:r>
        <w:rPr>
          <w:rFonts w:ascii="Times New Roman" w:hAnsi="Times New Roman"/>
          <w:bCs/>
          <w:i/>
          <w:sz w:val="28"/>
          <w:szCs w:val="28"/>
        </w:rPr>
      </w:r>
      <w:r>
        <w:rPr>
          <w:rFonts w:ascii="Times New Roman" w:hAnsi="Times New Roman"/>
          <w:bCs/>
          <w:i/>
          <w:sz w:val="28"/>
          <w:szCs w:val="28"/>
        </w:rPr>
      </w:r>
    </w:p>
    <w:p>
      <w:pPr>
        <w:ind w:firstLine="708"/>
        <w:jc w:val="both"/>
        <w:spacing w:after="0"/>
        <w:rPr>
          <w:rFonts w:ascii="Times New Roman" w:hAnsi="Times New Roman" w:eastAsia="Times New Roman"/>
          <w:bCs/>
          <w:i/>
          <w:sz w:val="28"/>
          <w:szCs w:val="28"/>
        </w:rPr>
      </w:pPr>
      <w:r>
        <w:rPr>
          <w:rFonts w:ascii="Times New Roman" w:hAnsi="Times New Roman" w:eastAsia="Times New Roman"/>
          <w:i/>
          <w:iCs/>
          <w:sz w:val="28"/>
          <w:szCs w:val="28"/>
        </w:rPr>
        <w:t xml:space="preserve">Выяснилось, что мужчина проживает в жилом помещении, принадл</w:t>
      </w:r>
      <w:r>
        <w:rPr>
          <w:rFonts w:ascii="Times New Roman" w:hAnsi="Times New Roman" w:eastAsia="Times New Roman"/>
          <w:i/>
          <w:iCs/>
          <w:sz w:val="28"/>
          <w:szCs w:val="28"/>
        </w:rPr>
        <w:t xml:space="preserve">ежащем на праве собственности муниципалитету. К. обратился в Управление жилищно-коммунального хозяйства Администрации города Иванова Ивановской области с просьбой заменить оконные и балконные блоки. Еще в августе 2024 года было принято решение о признании </w:t>
      </w:r>
      <w:r>
        <w:rPr>
          <w:rFonts w:ascii="Times New Roman" w:hAnsi="Times New Roman" w:eastAsia="Times New Roman"/>
          <w:i/>
          <w:iCs/>
          <w:sz w:val="28"/>
          <w:szCs w:val="28"/>
        </w:rPr>
        <w:t xml:space="preserve">необходимым и возможным проведение капитального ремонта жилого помещения в части замены всех оконных блоков и балконного блока. Однако наступила зима, а вопрос так и не разрешился. В связи с этим, земл</w:t>
      </w:r>
      <w:r>
        <w:rPr>
          <w:rFonts w:ascii="Times New Roman" w:hAnsi="Times New Roman" w:eastAsia="Times New Roman"/>
          <w:i/>
          <w:iCs/>
          <w:sz w:val="28"/>
          <w:szCs w:val="28"/>
        </w:rPr>
        <w:t xml:space="preserve">як обратился в правозащитную службу. Было принято решение направить мотивированное письмо Главе города Иванова. Пришел ответ из администрации, что работы по замене окон начались. А в аппарат Уполномоченного поступил добрый звонок от благодарного заявителя.</w:t>
      </w:r>
      <w:r>
        <w:rPr>
          <w:rFonts w:ascii="Times New Roman" w:hAnsi="Times New Roman" w:eastAsia="Times New Roman"/>
          <w:bCs/>
          <w:i/>
          <w:sz w:val="28"/>
          <w:szCs w:val="28"/>
        </w:rPr>
      </w:r>
      <w:r>
        <w:rPr>
          <w:rFonts w:ascii="Times New Roman" w:hAnsi="Times New Roman" w:eastAsia="Times New Roman"/>
          <w:bCs/>
          <w:i/>
          <w:sz w:val="28"/>
          <w:szCs w:val="28"/>
        </w:rPr>
      </w:r>
    </w:p>
    <w:p>
      <w:pPr>
        <w:ind w:firstLine="708"/>
        <w:jc w:val="both"/>
        <w:spacing w:after="0"/>
        <w:rPr>
          <w:rFonts w:ascii="Times New Roman" w:hAnsi="Times New Roman"/>
          <w:sz w:val="28"/>
          <w:szCs w:val="28"/>
        </w:rPr>
      </w:pPr>
      <w:r>
        <w:rPr>
          <w:rFonts w:ascii="Times New Roman" w:hAnsi="Times New Roman" w:eastAsia="Times New Roman"/>
          <w:sz w:val="28"/>
          <w:szCs w:val="28"/>
        </w:rPr>
        <w:t xml:space="preserve">Отдельно хочется затронуть тему обязанности по внесению платы за жилое помещение и коммунальные услуги,</w:t>
      </w:r>
      <w:r>
        <w:rPr>
          <w:rFonts w:ascii="Times New Roman" w:hAnsi="Times New Roman" w:eastAsia="Times New Roman"/>
          <w:sz w:val="28"/>
          <w:szCs w:val="28"/>
        </w:rPr>
        <w:t xml:space="preserve"> которая возникает у нанимателя жилого помещения по договору найма жилого помещения государственного или муниципального жилищного фонда с момента заключения такого договора согласно части 2 статьи 153 Жилищного кодекса Российской Федерации (далее – ЖК РФ).</w:t>
      </w:r>
      <w:r>
        <w:rPr>
          <w:rFonts w:ascii="Times New Roman" w:hAnsi="Times New Roman"/>
          <w:sz w:val="28"/>
          <w:szCs w:val="28"/>
        </w:rPr>
      </w:r>
      <w:r>
        <w:rPr>
          <w:rFonts w:ascii="Times New Roman" w:hAnsi="Times New Roman"/>
          <w:sz w:val="28"/>
          <w:szCs w:val="28"/>
        </w:rPr>
      </w:r>
    </w:p>
    <w:p>
      <w:pPr>
        <w:ind w:firstLine="708"/>
        <w:jc w:val="both"/>
        <w:spacing w:after="0"/>
        <w:rPr>
          <w:rFonts w:ascii="Times New Roman" w:hAnsi="Times New Roman"/>
          <w:sz w:val="28"/>
          <w:szCs w:val="28"/>
        </w:rPr>
      </w:pPr>
      <w:r>
        <w:rPr>
          <w:rFonts w:ascii="Times New Roman" w:hAnsi="Times New Roman" w:eastAsia="Times New Roman"/>
          <w:sz w:val="28"/>
          <w:szCs w:val="28"/>
        </w:rPr>
        <w:t xml:space="preserve">В силу пункта 5 части 3 статьи 67 ЖК РФ наниматель жилого помещения по договору социального найма обязан своевременно вносить плату за жилое помещение и коммунальные услуги. </w:t>
      </w:r>
      <w:r>
        <w:rPr>
          <w:rFonts w:ascii="Times New Roman" w:hAnsi="Times New Roman"/>
          <w:sz w:val="28"/>
          <w:szCs w:val="28"/>
        </w:rPr>
      </w:r>
      <w:r>
        <w:rPr>
          <w:rFonts w:ascii="Times New Roman" w:hAnsi="Times New Roman"/>
          <w:sz w:val="28"/>
          <w:szCs w:val="28"/>
        </w:rPr>
      </w:r>
    </w:p>
    <w:p>
      <w:pPr>
        <w:ind w:firstLine="708"/>
        <w:jc w:val="both"/>
        <w:spacing w:after="0"/>
        <w:rPr>
          <w:rFonts w:ascii="Times New Roman" w:hAnsi="Times New Roman" w:eastAsia="Times New Roman"/>
          <w:bCs/>
          <w:i/>
          <w:sz w:val="28"/>
          <w:szCs w:val="28"/>
        </w:rPr>
      </w:pPr>
      <w:r>
        <w:rPr>
          <w:rFonts w:ascii="Times New Roman" w:hAnsi="Times New Roman" w:eastAsia="Times New Roman"/>
          <w:i/>
          <w:iCs/>
          <w:sz w:val="28"/>
          <w:szCs w:val="28"/>
        </w:rPr>
        <w:t xml:space="preserve">В адрес регионального омбудс</w:t>
      </w:r>
      <w:r>
        <w:rPr>
          <w:rFonts w:ascii="Times New Roman" w:hAnsi="Times New Roman" w:eastAsia="Times New Roman"/>
          <w:i/>
          <w:iCs/>
          <w:sz w:val="28"/>
          <w:szCs w:val="28"/>
        </w:rPr>
        <w:t xml:space="preserve">мена обратилась гражданка Б., которая сообщала о том, что ее супруг, являющийся нанимателем жилого помещения, отправился в зону проведения специальной военной операции и фактически не присутствует в квартире. Женщина просила произвести перерасчет платы за </w:t>
      </w:r>
      <w:r>
        <w:rPr>
          <w:rFonts w:ascii="Times New Roman" w:hAnsi="Times New Roman" w:eastAsia="Times New Roman"/>
          <w:i/>
          <w:iCs/>
          <w:sz w:val="28"/>
          <w:szCs w:val="28"/>
        </w:rPr>
        <w:t xml:space="preserve">найм</w:t>
      </w:r>
      <w:r>
        <w:rPr>
          <w:rFonts w:ascii="Times New Roman" w:hAnsi="Times New Roman" w:eastAsia="Times New Roman"/>
          <w:i/>
          <w:iCs/>
          <w:sz w:val="28"/>
          <w:szCs w:val="28"/>
        </w:rPr>
        <w:t xml:space="preserve"> и</w:t>
      </w:r>
      <w:r>
        <w:rPr>
          <w:rFonts w:ascii="Times New Roman" w:hAnsi="Times New Roman" w:eastAsia="Times New Roman"/>
          <w:i/>
          <w:iCs/>
          <w:sz w:val="28"/>
          <w:szCs w:val="28"/>
        </w:rPr>
        <w:t xml:space="preserve"> коммунальные услуги.</w:t>
      </w:r>
      <w:r>
        <w:rPr>
          <w:rFonts w:ascii="Times New Roman" w:hAnsi="Times New Roman" w:eastAsia="Times New Roman"/>
          <w:bCs/>
          <w:i/>
          <w:sz w:val="28"/>
          <w:szCs w:val="28"/>
        </w:rPr>
      </w:r>
      <w:r>
        <w:rPr>
          <w:rFonts w:ascii="Times New Roman" w:hAnsi="Times New Roman" w:eastAsia="Times New Roman"/>
          <w:bCs/>
          <w:i/>
          <w:sz w:val="28"/>
          <w:szCs w:val="28"/>
        </w:rPr>
      </w:r>
    </w:p>
    <w:p>
      <w:pPr>
        <w:ind w:firstLine="708"/>
        <w:jc w:val="both"/>
        <w:spacing w:after="0"/>
        <w:rPr>
          <w:rFonts w:ascii="Times New Roman" w:hAnsi="Times New Roman"/>
          <w:bCs/>
          <w:i/>
          <w:sz w:val="28"/>
          <w:szCs w:val="28"/>
        </w:rPr>
      </w:pPr>
      <w:r>
        <w:rPr>
          <w:rFonts w:ascii="Times New Roman" w:hAnsi="Times New Roman" w:eastAsia="Times New Roman"/>
          <w:i/>
          <w:iCs/>
          <w:sz w:val="28"/>
          <w:szCs w:val="28"/>
        </w:rPr>
        <w:t xml:space="preserve">Установлено, что в соответствии с частью 11 статьи 155 ЖК РФ  использование собственниками, нанимателями и иными лицами помещений не является основанием невнесения платы за жилое помещение и коммунальные услуги. При временном отсутствии граждан внесение пл</w:t>
      </w:r>
      <w:r>
        <w:rPr>
          <w:rFonts w:ascii="Times New Roman" w:hAnsi="Times New Roman" w:eastAsia="Times New Roman"/>
          <w:i/>
          <w:iCs/>
          <w:sz w:val="28"/>
          <w:szCs w:val="28"/>
        </w:rPr>
        <w:t xml:space="preserve">аты за отдельные виды коммунальных услуг, рассчитываемой исходя из нормативов потребления, осуществляется с учетом перерасчета платежей за период временного отсутствия граждан в порядке и в случаях, которые утверждаются Правительством Российской Федерации.</w:t>
      </w:r>
      <w:r>
        <w:rPr>
          <w:rFonts w:ascii="Times New Roman" w:hAnsi="Times New Roman"/>
          <w:bCs/>
          <w:i/>
          <w:sz w:val="28"/>
          <w:szCs w:val="28"/>
        </w:rPr>
      </w:r>
      <w:r>
        <w:rPr>
          <w:rFonts w:ascii="Times New Roman" w:hAnsi="Times New Roman"/>
          <w:bCs/>
          <w:i/>
          <w:sz w:val="28"/>
          <w:szCs w:val="28"/>
        </w:rPr>
      </w:r>
    </w:p>
    <w:p>
      <w:pPr>
        <w:ind w:firstLine="708"/>
        <w:jc w:val="both"/>
        <w:spacing w:after="0"/>
        <w:rPr>
          <w:rFonts w:ascii="Times New Roman" w:hAnsi="Times New Roman"/>
          <w:bCs/>
          <w:i/>
          <w:sz w:val="28"/>
          <w:szCs w:val="28"/>
        </w:rPr>
      </w:pPr>
      <w:r>
        <w:rPr>
          <w:rFonts w:ascii="Times New Roman" w:hAnsi="Times New Roman" w:eastAsia="Times New Roman"/>
          <w:i/>
          <w:iCs/>
          <w:sz w:val="28"/>
          <w:szCs w:val="28"/>
        </w:rPr>
        <w:t xml:space="preserve">Начисление платы за отопление, содержание жилого помещения производитс</w:t>
      </w:r>
      <w:r>
        <w:rPr>
          <w:rFonts w:ascii="Times New Roman" w:hAnsi="Times New Roman" w:eastAsia="Times New Roman"/>
          <w:i/>
          <w:iCs/>
          <w:sz w:val="28"/>
          <w:szCs w:val="28"/>
        </w:rPr>
        <w:t xml:space="preserve">я на 1 кв.м. общей площади жилого помещения и не зависит от фактического проживания или отсутствия потребителя. Поэтому перерасчет платы за отопление, содержание жилого помещения в период временного отсутствия не предусмотрен действующим законодательством.</w:t>
      </w:r>
      <w:r>
        <w:rPr>
          <w:rFonts w:ascii="Times New Roman" w:hAnsi="Times New Roman"/>
          <w:bCs/>
          <w:i/>
          <w:sz w:val="28"/>
          <w:szCs w:val="28"/>
        </w:rPr>
      </w:r>
      <w:r>
        <w:rPr>
          <w:rFonts w:ascii="Times New Roman" w:hAnsi="Times New Roman"/>
          <w:bCs/>
          <w:i/>
          <w:sz w:val="28"/>
          <w:szCs w:val="28"/>
        </w:rPr>
      </w:r>
    </w:p>
    <w:p>
      <w:pPr>
        <w:ind w:firstLine="708"/>
        <w:jc w:val="both"/>
        <w:spacing w:after="0"/>
        <w:rPr>
          <w:rFonts w:ascii="Times New Roman" w:hAnsi="Times New Roman"/>
          <w:bCs/>
          <w:i/>
          <w:sz w:val="28"/>
          <w:szCs w:val="28"/>
        </w:rPr>
      </w:pPr>
      <w:r>
        <w:rPr>
          <w:rFonts w:ascii="Times New Roman" w:hAnsi="Times New Roman" w:eastAsia="Times New Roman"/>
          <w:i/>
          <w:iCs/>
          <w:sz w:val="28"/>
          <w:szCs w:val="28"/>
        </w:rPr>
        <w:t xml:space="preserve">Отдельно следует поговорить о перерасчете платы за </w:t>
      </w:r>
      <w:r>
        <w:rPr>
          <w:rFonts w:ascii="Times New Roman" w:hAnsi="Times New Roman" w:eastAsia="Times New Roman"/>
          <w:i/>
          <w:iCs/>
          <w:sz w:val="28"/>
          <w:szCs w:val="28"/>
        </w:rPr>
        <w:t xml:space="preserve">найм</w:t>
      </w:r>
      <w:r>
        <w:rPr>
          <w:rFonts w:ascii="Times New Roman" w:hAnsi="Times New Roman" w:eastAsia="Times New Roman"/>
          <w:i/>
          <w:iCs/>
          <w:sz w:val="28"/>
          <w:szCs w:val="28"/>
        </w:rPr>
        <w:t xml:space="preserve"> жилого помещения.</w:t>
      </w:r>
      <w:r>
        <w:rPr>
          <w:rFonts w:ascii="Times New Roman" w:hAnsi="Times New Roman"/>
          <w:bCs/>
          <w:i/>
          <w:sz w:val="28"/>
          <w:szCs w:val="28"/>
        </w:rPr>
      </w:r>
      <w:r>
        <w:rPr>
          <w:rFonts w:ascii="Times New Roman" w:hAnsi="Times New Roman"/>
          <w:bCs/>
          <w:i/>
          <w:sz w:val="28"/>
          <w:szCs w:val="28"/>
        </w:rPr>
      </w:r>
    </w:p>
    <w:p>
      <w:pPr>
        <w:ind w:firstLine="708"/>
        <w:jc w:val="both"/>
        <w:spacing w:after="0"/>
        <w:rPr>
          <w:rFonts w:ascii="Times New Roman" w:hAnsi="Times New Roman"/>
          <w:bCs/>
          <w:i/>
          <w:sz w:val="28"/>
          <w:szCs w:val="28"/>
        </w:rPr>
      </w:pPr>
      <w:r>
        <w:rPr>
          <w:rFonts w:ascii="Times New Roman" w:hAnsi="Times New Roman" w:eastAsia="Times New Roman"/>
          <w:i/>
          <w:iCs/>
          <w:sz w:val="28"/>
          <w:szCs w:val="28"/>
        </w:rPr>
        <w:t xml:space="preserve">Порядок принятия решения об освобождении нанимателей из числа лиц, принимающих участие в специальной военной операции, а также </w:t>
      </w:r>
      <w:r>
        <w:rPr>
          <w:rFonts w:ascii="Times New Roman" w:hAnsi="Times New Roman" w:eastAsia="Times New Roman"/>
          <w:i/>
          <w:iCs/>
          <w:sz w:val="28"/>
          <w:szCs w:val="28"/>
        </w:rPr>
        <w:t xml:space="preserve">нанимателей из числа членов их семей от внесения платы за наем жилого помещения, находящегося в собственности города Иванова, утвержден постановлением Администрации города Иванова от 19.07.2024 № 1428 (далее — Порядок).</w:t>
      </w:r>
      <w:r>
        <w:rPr>
          <w:rFonts w:ascii="Times New Roman" w:hAnsi="Times New Roman"/>
          <w:bCs/>
          <w:i/>
          <w:sz w:val="28"/>
          <w:szCs w:val="28"/>
        </w:rPr>
      </w:r>
      <w:r>
        <w:rPr>
          <w:rFonts w:ascii="Times New Roman" w:hAnsi="Times New Roman"/>
          <w:bCs/>
          <w:i/>
          <w:sz w:val="28"/>
          <w:szCs w:val="28"/>
        </w:rPr>
      </w:r>
    </w:p>
    <w:p>
      <w:pPr>
        <w:ind w:firstLine="708"/>
        <w:jc w:val="both"/>
        <w:spacing w:after="0"/>
        <w:rPr>
          <w:rFonts w:ascii="Times New Roman" w:hAnsi="Times New Roman"/>
          <w:bCs/>
          <w:i/>
          <w:sz w:val="28"/>
          <w:szCs w:val="28"/>
        </w:rPr>
      </w:pPr>
      <w:r>
        <w:rPr>
          <w:rFonts w:ascii="Times New Roman" w:hAnsi="Times New Roman" w:eastAsia="Times New Roman"/>
          <w:i/>
          <w:iCs/>
          <w:sz w:val="28"/>
          <w:szCs w:val="28"/>
        </w:rPr>
        <w:t xml:space="preserve">В соответствии с пунктом 2 Порядка для предоставления вышеназванной меры социальной подде</w:t>
      </w:r>
      <w:r>
        <w:rPr>
          <w:rFonts w:ascii="Times New Roman" w:hAnsi="Times New Roman" w:eastAsia="Times New Roman"/>
          <w:i/>
          <w:iCs/>
          <w:sz w:val="28"/>
          <w:szCs w:val="28"/>
        </w:rPr>
        <w:t xml:space="preserve">ржки участник специальной военной операции либо член его семьи, законный представитель члена семьи участника специальной военной операции или уполномоченный членом семьи участника специальной военной операции на основании доверенности представитель должны </w:t>
      </w:r>
      <w:r>
        <w:rPr>
          <w:rFonts w:ascii="Times New Roman" w:hAnsi="Times New Roman" w:eastAsia="Times New Roman"/>
          <w:i/>
          <w:iCs/>
          <w:sz w:val="28"/>
          <w:szCs w:val="28"/>
        </w:rPr>
        <w:t xml:space="preserve">предоставить следующие документы</w:t>
      </w:r>
      <w:r>
        <w:rPr>
          <w:rFonts w:ascii="Times New Roman" w:hAnsi="Times New Roman" w:eastAsia="Times New Roman"/>
          <w:i/>
          <w:iCs/>
          <w:sz w:val="28"/>
          <w:szCs w:val="28"/>
        </w:rPr>
        <w:t xml:space="preserve">:</w:t>
      </w:r>
      <w:r>
        <w:rPr>
          <w:rFonts w:ascii="Times New Roman" w:hAnsi="Times New Roman"/>
          <w:bCs/>
          <w:i/>
          <w:sz w:val="28"/>
          <w:szCs w:val="28"/>
        </w:rPr>
      </w:r>
      <w:r>
        <w:rPr>
          <w:rFonts w:ascii="Times New Roman" w:hAnsi="Times New Roman"/>
          <w:bCs/>
          <w:i/>
          <w:sz w:val="28"/>
          <w:szCs w:val="28"/>
        </w:rPr>
      </w:r>
    </w:p>
    <w:p>
      <w:pPr>
        <w:ind w:firstLine="708"/>
        <w:jc w:val="both"/>
        <w:spacing w:after="0"/>
        <w:rPr>
          <w:rFonts w:ascii="Times New Roman" w:hAnsi="Times New Roman"/>
          <w:bCs/>
          <w:i/>
          <w:sz w:val="28"/>
          <w:szCs w:val="28"/>
        </w:rPr>
      </w:pPr>
      <w:r>
        <w:rPr>
          <w:rFonts w:ascii="Times New Roman" w:hAnsi="Times New Roman" w:eastAsia="Times New Roman"/>
          <w:i/>
          <w:iCs/>
          <w:sz w:val="28"/>
          <w:szCs w:val="28"/>
        </w:rPr>
        <w:t xml:space="preserve">1)</w:t>
      </w:r>
      <w:r>
        <w:rPr>
          <w:rFonts w:ascii="Times New Roman" w:hAnsi="Times New Roman" w:eastAsia="Times New Roman"/>
          <w:i/>
          <w:iCs/>
          <w:sz w:val="28"/>
          <w:szCs w:val="28"/>
        </w:rPr>
        <w:tab/>
        <w:t xml:space="preserve">заявление по форме согласно приложению к настоящему По</w:t>
      </w:r>
      <w:r>
        <w:rPr>
          <w:rFonts w:ascii="Times New Roman" w:hAnsi="Times New Roman" w:eastAsia="Times New Roman"/>
          <w:i/>
          <w:iCs/>
          <w:sz w:val="28"/>
          <w:szCs w:val="28"/>
        </w:rPr>
        <w:t xml:space="preserve">рядку об освобождении участника специальной военной операции либо члена его семьи от внесения платы с указанием способа направления уведомления о принятом решении по результатам рассмотрения заявления (путем почтового отправления участнику специальной воен</w:t>
      </w:r>
      <w:r>
        <w:rPr>
          <w:rFonts w:ascii="Times New Roman" w:hAnsi="Times New Roman" w:eastAsia="Times New Roman"/>
          <w:i/>
          <w:iCs/>
          <w:sz w:val="28"/>
          <w:szCs w:val="28"/>
        </w:rPr>
        <w:t xml:space="preserve">ной операции; члену его семьи, законному представителю члена семьи или представителю члена семьи участника специальной военной операции либо направления по адресу электронной почты участника специальной военной операции, члена его семьи или представителя);</w:t>
      </w:r>
      <w:r>
        <w:rPr>
          <w:rFonts w:ascii="Times New Roman" w:hAnsi="Times New Roman"/>
          <w:bCs/>
          <w:i/>
          <w:sz w:val="28"/>
          <w:szCs w:val="28"/>
        </w:rPr>
      </w:r>
      <w:r>
        <w:rPr>
          <w:rFonts w:ascii="Times New Roman" w:hAnsi="Times New Roman"/>
          <w:bCs/>
          <w:i/>
          <w:sz w:val="28"/>
          <w:szCs w:val="28"/>
        </w:rPr>
      </w:r>
    </w:p>
    <w:p>
      <w:pPr>
        <w:ind w:firstLine="708"/>
        <w:jc w:val="both"/>
        <w:spacing w:after="0"/>
        <w:rPr>
          <w:rFonts w:ascii="Times New Roman" w:hAnsi="Times New Roman"/>
          <w:bCs/>
          <w:i/>
          <w:sz w:val="28"/>
          <w:szCs w:val="28"/>
        </w:rPr>
      </w:pPr>
      <w:r>
        <w:rPr>
          <w:rFonts w:ascii="Times New Roman" w:hAnsi="Times New Roman" w:eastAsia="Times New Roman"/>
          <w:i/>
          <w:iCs/>
          <w:sz w:val="28"/>
          <w:szCs w:val="28"/>
        </w:rPr>
        <w:t xml:space="preserve">2)</w:t>
      </w:r>
      <w:r>
        <w:rPr>
          <w:rFonts w:ascii="Times New Roman" w:hAnsi="Times New Roman" w:eastAsia="Times New Roman"/>
          <w:i/>
          <w:iCs/>
          <w:sz w:val="28"/>
          <w:szCs w:val="28"/>
        </w:rPr>
        <w:tab/>
        <w:t xml:space="preserve">копию документа (справки), указанного (указанной) в абзаце первом пункта 2 Порядка освобождения нанимателей;</w:t>
      </w:r>
      <w:r>
        <w:rPr>
          <w:rFonts w:ascii="Times New Roman" w:hAnsi="Times New Roman"/>
          <w:bCs/>
          <w:i/>
          <w:sz w:val="28"/>
          <w:szCs w:val="28"/>
        </w:rPr>
      </w:r>
      <w:r>
        <w:rPr>
          <w:rFonts w:ascii="Times New Roman" w:hAnsi="Times New Roman"/>
          <w:bCs/>
          <w:i/>
          <w:sz w:val="28"/>
          <w:szCs w:val="28"/>
        </w:rPr>
      </w:r>
    </w:p>
    <w:p>
      <w:pPr>
        <w:ind w:firstLine="708"/>
        <w:jc w:val="both"/>
        <w:spacing w:after="0"/>
        <w:rPr>
          <w:rFonts w:ascii="Times New Roman" w:hAnsi="Times New Roman"/>
          <w:bCs/>
          <w:i/>
          <w:sz w:val="28"/>
          <w:szCs w:val="28"/>
        </w:rPr>
      </w:pPr>
      <w:r>
        <w:rPr>
          <w:rFonts w:ascii="Times New Roman" w:hAnsi="Times New Roman" w:eastAsia="Times New Roman"/>
          <w:i/>
          <w:iCs/>
          <w:sz w:val="28"/>
          <w:szCs w:val="28"/>
        </w:rPr>
        <w:t xml:space="preserve">3) копию документа, удостоверяющего личность участника специальной военной операции либо члена его семьи;</w:t>
      </w:r>
      <w:r>
        <w:rPr>
          <w:rFonts w:ascii="Times New Roman" w:hAnsi="Times New Roman"/>
          <w:bCs/>
          <w:i/>
          <w:sz w:val="28"/>
          <w:szCs w:val="28"/>
        </w:rPr>
      </w:r>
      <w:r>
        <w:rPr>
          <w:rFonts w:ascii="Times New Roman" w:hAnsi="Times New Roman"/>
          <w:bCs/>
          <w:i/>
          <w:sz w:val="28"/>
          <w:szCs w:val="28"/>
        </w:rPr>
      </w:r>
    </w:p>
    <w:p>
      <w:pPr>
        <w:ind w:firstLine="708"/>
        <w:jc w:val="both"/>
        <w:spacing w:after="0"/>
        <w:rPr>
          <w:rFonts w:ascii="Times New Roman" w:hAnsi="Times New Roman"/>
          <w:bCs/>
          <w:i/>
          <w:sz w:val="28"/>
          <w:szCs w:val="28"/>
        </w:rPr>
      </w:pPr>
      <w:r>
        <w:rPr>
          <w:rFonts w:ascii="Times New Roman" w:hAnsi="Times New Roman" w:eastAsia="Times New Roman"/>
          <w:i/>
          <w:iCs/>
          <w:sz w:val="28"/>
          <w:szCs w:val="28"/>
        </w:rPr>
        <w:t xml:space="preserve">4)</w:t>
      </w:r>
      <w:r>
        <w:rPr>
          <w:rFonts w:ascii="Times New Roman" w:hAnsi="Times New Roman" w:eastAsia="Times New Roman"/>
          <w:i/>
          <w:iCs/>
          <w:sz w:val="28"/>
          <w:szCs w:val="28"/>
        </w:rPr>
        <w:tab/>
        <w:t xml:space="preserve">копии документов, подтверждающих статус члена семьи участника специальной военной операции;</w:t>
      </w:r>
      <w:r>
        <w:rPr>
          <w:rFonts w:ascii="Times New Roman" w:hAnsi="Times New Roman"/>
          <w:bCs/>
          <w:i/>
          <w:sz w:val="28"/>
          <w:szCs w:val="28"/>
        </w:rPr>
      </w:r>
      <w:r>
        <w:rPr>
          <w:rFonts w:ascii="Times New Roman" w:hAnsi="Times New Roman"/>
          <w:bCs/>
          <w:i/>
          <w:sz w:val="28"/>
          <w:szCs w:val="28"/>
        </w:rPr>
      </w:r>
    </w:p>
    <w:p>
      <w:pPr>
        <w:ind w:firstLine="708"/>
        <w:jc w:val="both"/>
        <w:spacing w:after="0"/>
        <w:rPr>
          <w:rFonts w:ascii="Times New Roman" w:hAnsi="Times New Roman"/>
          <w:bCs/>
          <w:i/>
          <w:sz w:val="28"/>
          <w:szCs w:val="28"/>
        </w:rPr>
      </w:pPr>
      <w:r>
        <w:rPr>
          <w:rFonts w:ascii="Times New Roman" w:hAnsi="Times New Roman" w:eastAsia="Times New Roman"/>
          <w:i/>
          <w:iCs/>
          <w:sz w:val="28"/>
          <w:szCs w:val="28"/>
        </w:rPr>
        <w:t xml:space="preserve">5)</w:t>
      </w:r>
      <w:r>
        <w:rPr>
          <w:rFonts w:ascii="Times New Roman" w:hAnsi="Times New Roman" w:eastAsia="Times New Roman"/>
          <w:i/>
          <w:iCs/>
          <w:sz w:val="28"/>
          <w:szCs w:val="28"/>
        </w:rPr>
        <w:tab/>
        <w:t xml:space="preserve">копию паспорта гражданина Российской Федерации или иного документа, удостоверяющего личность законного представителя члена семьи участника специальной в</w:t>
      </w:r>
      <w:r>
        <w:rPr>
          <w:rFonts w:ascii="Times New Roman" w:hAnsi="Times New Roman" w:eastAsia="Times New Roman"/>
          <w:i/>
          <w:iCs/>
          <w:sz w:val="28"/>
          <w:szCs w:val="28"/>
        </w:rPr>
        <w:t xml:space="preserve">оенной операции, и копию документа, подтверждающего его полномочия по представлению интересов члена семьи участника специальной военной операции (в случае представления документов законным представителем члена семьи участника специальной военной операции);</w:t>
      </w:r>
      <w:r>
        <w:rPr>
          <w:rFonts w:ascii="Times New Roman" w:hAnsi="Times New Roman"/>
          <w:bCs/>
          <w:i/>
          <w:sz w:val="28"/>
          <w:szCs w:val="28"/>
        </w:rPr>
      </w:r>
      <w:r>
        <w:rPr>
          <w:rFonts w:ascii="Times New Roman" w:hAnsi="Times New Roman"/>
          <w:bCs/>
          <w:i/>
          <w:sz w:val="28"/>
          <w:szCs w:val="28"/>
        </w:rPr>
      </w:r>
    </w:p>
    <w:p>
      <w:pPr>
        <w:ind w:firstLine="708"/>
        <w:jc w:val="both"/>
        <w:spacing w:after="0"/>
        <w:rPr>
          <w:rFonts w:ascii="Times New Roman" w:hAnsi="Times New Roman"/>
          <w:bCs/>
          <w:i/>
          <w:sz w:val="28"/>
          <w:szCs w:val="28"/>
        </w:rPr>
      </w:pPr>
      <w:r>
        <w:rPr>
          <w:rFonts w:ascii="Times New Roman" w:hAnsi="Times New Roman" w:eastAsia="Times New Roman"/>
          <w:i/>
          <w:iCs/>
          <w:sz w:val="28"/>
          <w:szCs w:val="28"/>
        </w:rPr>
        <w:t xml:space="preserve">6)</w:t>
      </w:r>
      <w:r>
        <w:rPr>
          <w:rFonts w:ascii="Times New Roman" w:hAnsi="Times New Roman" w:eastAsia="Times New Roman"/>
          <w:i/>
          <w:iCs/>
          <w:sz w:val="28"/>
          <w:szCs w:val="28"/>
        </w:rPr>
        <w:tab/>
        <w:t xml:space="preserve">копию паспорта гражданина Российской Федерации или иного, документа, удостоверяющего личность представителя участника специальной военной операции либо члена семьи участника </w:t>
      </w:r>
      <w:r>
        <w:rPr>
          <w:rFonts w:ascii="Times New Roman" w:hAnsi="Times New Roman" w:eastAsia="Times New Roman"/>
          <w:i/>
          <w:iCs/>
          <w:sz w:val="28"/>
          <w:szCs w:val="28"/>
        </w:rPr>
        <w:t xml:space="preserve">специальной  военной операции, и копию доверенности, подтверждающей его полномочия по представлению интересов участника специальной военной операции либо члена семьи участника специальной военной операции (в случае представления документов представителем).</w:t>
      </w:r>
      <w:r>
        <w:rPr>
          <w:rFonts w:ascii="Times New Roman" w:hAnsi="Times New Roman"/>
          <w:bCs/>
          <w:i/>
          <w:sz w:val="28"/>
          <w:szCs w:val="28"/>
        </w:rPr>
      </w:r>
      <w:r>
        <w:rPr>
          <w:rFonts w:ascii="Times New Roman" w:hAnsi="Times New Roman"/>
          <w:bCs/>
          <w:i/>
          <w:sz w:val="28"/>
          <w:szCs w:val="28"/>
        </w:rPr>
      </w:r>
    </w:p>
    <w:p>
      <w:pPr>
        <w:ind w:firstLine="708"/>
        <w:jc w:val="both"/>
        <w:spacing w:after="0"/>
        <w:rPr>
          <w:rFonts w:ascii="Times New Roman" w:hAnsi="Times New Roman"/>
          <w:bCs/>
          <w:i/>
          <w:sz w:val="28"/>
          <w:szCs w:val="28"/>
        </w:rPr>
      </w:pPr>
      <w:r>
        <w:rPr>
          <w:rFonts w:ascii="Times New Roman" w:hAnsi="Times New Roman" w:eastAsia="Times New Roman"/>
          <w:i/>
          <w:iCs/>
          <w:sz w:val="28"/>
          <w:szCs w:val="28"/>
        </w:rPr>
        <w:t xml:space="preserve">Важно, что указанные документы предоставляются лично в муниципальное казенное учреждение по управлению жилищным фондом.</w:t>
      </w:r>
      <w:r>
        <w:rPr>
          <w:rFonts w:ascii="Times New Roman" w:hAnsi="Times New Roman"/>
          <w:bCs/>
          <w:i/>
          <w:sz w:val="28"/>
          <w:szCs w:val="28"/>
        </w:rPr>
      </w:r>
      <w:r>
        <w:rPr>
          <w:rFonts w:ascii="Times New Roman" w:hAnsi="Times New Roman"/>
          <w:bCs/>
          <w:i/>
          <w:sz w:val="28"/>
          <w:szCs w:val="28"/>
        </w:rPr>
      </w:r>
    </w:p>
    <w:p>
      <w:pPr>
        <w:ind w:firstLine="708"/>
        <w:jc w:val="both"/>
        <w:spacing w:after="0"/>
        <w:rPr>
          <w:rFonts w:ascii="Times New Roman" w:hAnsi="Times New Roman"/>
          <w:bCs/>
          <w:i/>
          <w:sz w:val="28"/>
          <w:szCs w:val="28"/>
        </w:rPr>
      </w:pPr>
      <w:r>
        <w:rPr>
          <w:rFonts w:ascii="Times New Roman" w:hAnsi="Times New Roman" w:eastAsia="Times New Roman"/>
          <w:i/>
          <w:iCs/>
          <w:sz w:val="28"/>
          <w:szCs w:val="28"/>
        </w:rPr>
        <w:t xml:space="preserve">Заявителя также интересовал вопрос перерасчета платы за коммунальные услуги по холодному и горячему водоснабжению при временном отсутствии.</w:t>
      </w:r>
      <w:r>
        <w:rPr>
          <w:rFonts w:ascii="Times New Roman" w:hAnsi="Times New Roman"/>
          <w:bCs/>
          <w:i/>
          <w:sz w:val="28"/>
          <w:szCs w:val="28"/>
        </w:rPr>
      </w:r>
      <w:r>
        <w:rPr>
          <w:rFonts w:ascii="Times New Roman" w:hAnsi="Times New Roman"/>
          <w:bCs/>
          <w:i/>
          <w:sz w:val="28"/>
          <w:szCs w:val="28"/>
        </w:rPr>
      </w:r>
    </w:p>
    <w:p>
      <w:pPr>
        <w:ind w:firstLine="708"/>
        <w:jc w:val="both"/>
        <w:spacing w:after="0"/>
        <w:rPr>
          <w:rFonts w:ascii="Times New Roman" w:hAnsi="Times New Roman"/>
          <w:bCs/>
          <w:i/>
          <w:sz w:val="28"/>
          <w:szCs w:val="28"/>
        </w:rPr>
      </w:pPr>
      <w:r>
        <w:rPr>
          <w:rFonts w:ascii="Times New Roman" w:hAnsi="Times New Roman" w:eastAsia="Times New Roman"/>
          <w:i/>
          <w:iCs/>
          <w:sz w:val="28"/>
          <w:szCs w:val="28"/>
        </w:rPr>
        <w:t xml:space="preserve">В настоящее время действуют Правила предоставления коммунальных услуг собст</w:t>
      </w:r>
      <w:r>
        <w:rPr>
          <w:rFonts w:ascii="Times New Roman" w:hAnsi="Times New Roman" w:eastAsia="Times New Roman"/>
          <w:i/>
          <w:iCs/>
          <w:sz w:val="28"/>
          <w:szCs w:val="28"/>
        </w:rPr>
        <w:t xml:space="preserve">венникам и пользователям помещений в многоквартирных домах и жилых домов, утвержденные постановлением Правительства Российской Федерации от 06.05.2011 № 354 «О предоставлении коммунальных услуг собственникам и пользователям помещений в многоквартирных дома</w:t>
      </w:r>
      <w:r>
        <w:rPr>
          <w:rFonts w:ascii="Times New Roman" w:hAnsi="Times New Roman" w:eastAsia="Times New Roman"/>
          <w:i/>
          <w:iCs/>
          <w:sz w:val="28"/>
          <w:szCs w:val="28"/>
        </w:rPr>
        <w:t xml:space="preserve">х и жилых домов» (далее — Правила № 354). Правила № 354 регулируют отношения между исполнителями и потребителями коммунальных услуг, устанавливают порядок определения размера платы за коммунальные услуги с использованием приборов учета и при их отсутствии.</w:t>
      </w:r>
      <w:r>
        <w:rPr>
          <w:rFonts w:ascii="Times New Roman" w:hAnsi="Times New Roman"/>
          <w:bCs/>
          <w:i/>
          <w:sz w:val="28"/>
          <w:szCs w:val="28"/>
        </w:rPr>
      </w:r>
      <w:r>
        <w:rPr>
          <w:rFonts w:ascii="Times New Roman" w:hAnsi="Times New Roman"/>
          <w:bCs/>
          <w:i/>
          <w:sz w:val="28"/>
          <w:szCs w:val="28"/>
        </w:rPr>
      </w:r>
    </w:p>
    <w:p>
      <w:pPr>
        <w:ind w:firstLine="708"/>
        <w:jc w:val="both"/>
        <w:spacing w:after="0"/>
        <w:rPr>
          <w:rFonts w:ascii="Times New Roman" w:hAnsi="Times New Roman"/>
          <w:bCs/>
          <w:i/>
          <w:sz w:val="28"/>
          <w:szCs w:val="28"/>
        </w:rPr>
      </w:pPr>
      <w:r>
        <w:rPr>
          <w:rFonts w:ascii="Times New Roman" w:hAnsi="Times New Roman" w:eastAsia="Times New Roman"/>
          <w:i/>
          <w:iCs/>
          <w:sz w:val="28"/>
          <w:szCs w:val="28"/>
        </w:rPr>
        <w:t xml:space="preserve">Согласно пункту 42 Правил № 354 при о</w:t>
      </w:r>
      <w:r>
        <w:rPr>
          <w:rFonts w:ascii="Times New Roman" w:hAnsi="Times New Roman" w:eastAsia="Times New Roman"/>
          <w:i/>
          <w:iCs/>
          <w:sz w:val="28"/>
          <w:szCs w:val="28"/>
        </w:rPr>
        <w:t xml:space="preserve">тсутствии индивидуальных приборов учета холодной воды, горячей воды начисление платы за указанные коммунальные услуги производится по нормативам потребления коммунальной услуги, исходя из количества постоянно и временно проживающих жилом помещении граждан.</w:t>
      </w:r>
      <w:r>
        <w:rPr>
          <w:rFonts w:ascii="Times New Roman" w:hAnsi="Times New Roman"/>
          <w:bCs/>
          <w:i/>
          <w:sz w:val="28"/>
          <w:szCs w:val="28"/>
        </w:rPr>
      </w:r>
      <w:r>
        <w:rPr>
          <w:rFonts w:ascii="Times New Roman" w:hAnsi="Times New Roman"/>
          <w:bCs/>
          <w:i/>
          <w:sz w:val="28"/>
          <w:szCs w:val="28"/>
        </w:rPr>
      </w:r>
    </w:p>
    <w:p>
      <w:pPr>
        <w:ind w:firstLine="708"/>
        <w:jc w:val="both"/>
        <w:spacing w:after="0"/>
        <w:rPr>
          <w:rFonts w:ascii="Times New Roman" w:hAnsi="Times New Roman"/>
          <w:bCs/>
          <w:i/>
          <w:sz w:val="28"/>
          <w:szCs w:val="28"/>
        </w:rPr>
      </w:pPr>
      <w:r>
        <w:rPr>
          <w:rFonts w:ascii="Times New Roman" w:hAnsi="Times New Roman" w:eastAsia="Times New Roman"/>
          <w:i/>
          <w:iCs/>
          <w:sz w:val="28"/>
          <w:szCs w:val="28"/>
        </w:rPr>
        <w:t xml:space="preserve">При этом пунктом 86 Правил № 354 предусмотрен перерасчет размера платы за коммунальные услуги при временном (более 5 полных календарных дней подряд) отсутствии потребителя  в жилом помещении, - </w:t>
      </w:r>
      <w:r>
        <w:rPr>
          <w:rFonts w:ascii="Times New Roman" w:hAnsi="Times New Roman" w:eastAsia="Times New Roman"/>
          <w:i/>
          <w:iCs/>
          <w:sz w:val="28"/>
          <w:szCs w:val="28"/>
        </w:rPr>
        <w:t xml:space="preserve">не оборудованном индивидуальным или общим (квартирным) прибором учета в связи с отсутствием технической возможности его установки, за исключением коммунальных услуг по отоплению, электроснабжению и газоснабжению на цели отопления жилых (нежилых) помещений.</w:t>
      </w:r>
      <w:r>
        <w:rPr>
          <w:rFonts w:ascii="Times New Roman" w:hAnsi="Times New Roman"/>
          <w:bCs/>
          <w:i/>
          <w:sz w:val="28"/>
          <w:szCs w:val="28"/>
        </w:rPr>
      </w:r>
      <w:r>
        <w:rPr>
          <w:rFonts w:ascii="Times New Roman" w:hAnsi="Times New Roman"/>
          <w:bCs/>
          <w:i/>
          <w:sz w:val="28"/>
          <w:szCs w:val="28"/>
        </w:rPr>
      </w:r>
    </w:p>
    <w:p>
      <w:pPr>
        <w:ind w:firstLine="708"/>
        <w:jc w:val="both"/>
        <w:spacing w:after="0"/>
        <w:rPr>
          <w:rFonts w:ascii="Times New Roman" w:hAnsi="Times New Roman"/>
          <w:bCs/>
          <w:i/>
          <w:sz w:val="28"/>
          <w:szCs w:val="28"/>
        </w:rPr>
      </w:pPr>
      <w:r>
        <w:rPr>
          <w:rFonts w:ascii="Times New Roman" w:hAnsi="Times New Roman" w:eastAsia="Times New Roman"/>
          <w:i/>
          <w:iCs/>
          <w:sz w:val="28"/>
          <w:szCs w:val="28"/>
        </w:rPr>
        <w:t xml:space="preserve">К заявлению о перерасчете должны п</w:t>
      </w:r>
      <w:r>
        <w:rPr>
          <w:rFonts w:ascii="Times New Roman" w:hAnsi="Times New Roman" w:eastAsia="Times New Roman"/>
          <w:i/>
          <w:iCs/>
          <w:sz w:val="28"/>
          <w:szCs w:val="28"/>
        </w:rPr>
        <w:t xml:space="preserve">рилагаться документы, подтверждающие продолжительность периода временного отсутствия потребителя, а также акт обследования на предмет отсутствия технической возможности установки индивидуального, общего (квартирного) приборов учета (пункт 92 Правил № 354).</w:t>
      </w:r>
      <w:r>
        <w:rPr>
          <w:rFonts w:ascii="Times New Roman" w:hAnsi="Times New Roman"/>
          <w:bCs/>
          <w:i/>
          <w:sz w:val="28"/>
          <w:szCs w:val="28"/>
        </w:rPr>
      </w:r>
      <w:r>
        <w:rPr>
          <w:rFonts w:ascii="Times New Roman" w:hAnsi="Times New Roman"/>
          <w:bCs/>
          <w:i/>
          <w:sz w:val="28"/>
          <w:szCs w:val="28"/>
        </w:rPr>
      </w:r>
    </w:p>
    <w:p>
      <w:pPr>
        <w:ind w:firstLine="708"/>
        <w:jc w:val="both"/>
        <w:spacing w:after="0"/>
        <w:rPr>
          <w:rFonts w:ascii="Times New Roman" w:hAnsi="Times New Roman"/>
          <w:bCs/>
          <w:i/>
          <w:sz w:val="28"/>
          <w:szCs w:val="28"/>
        </w:rPr>
      </w:pPr>
      <w:r>
        <w:rPr>
          <w:rFonts w:ascii="Times New Roman" w:hAnsi="Times New Roman" w:eastAsia="Times New Roman"/>
          <w:i/>
          <w:iCs/>
          <w:sz w:val="28"/>
          <w:szCs w:val="28"/>
        </w:rPr>
        <w:t xml:space="preserve">В связи с отсутс</w:t>
      </w:r>
      <w:r>
        <w:rPr>
          <w:rFonts w:ascii="Times New Roman" w:hAnsi="Times New Roman" w:eastAsia="Times New Roman"/>
          <w:i/>
          <w:iCs/>
          <w:sz w:val="28"/>
          <w:szCs w:val="28"/>
        </w:rPr>
        <w:t xml:space="preserve">твием акта обследования на предмет отсутствия технической возможности установки индивидуального, прибора учета горячей, холодной воды основания для проведения перерасчета платы за холодное и горячее водоснабжение у АО «Водоканал» и Ивановского филиала АО «</w:t>
      </w:r>
      <w:r>
        <w:rPr>
          <w:rFonts w:ascii="Times New Roman" w:hAnsi="Times New Roman" w:eastAsia="Times New Roman"/>
          <w:i/>
          <w:iCs/>
          <w:sz w:val="28"/>
          <w:szCs w:val="28"/>
        </w:rPr>
        <w:t xml:space="preserve">Энергосбыт</w:t>
      </w:r>
      <w:r>
        <w:rPr>
          <w:rFonts w:ascii="Times New Roman" w:hAnsi="Times New Roman" w:eastAsia="Times New Roman"/>
          <w:i/>
          <w:iCs/>
          <w:sz w:val="28"/>
          <w:szCs w:val="28"/>
        </w:rPr>
        <w:t xml:space="preserve"> Плюс» отсутствовали.</w:t>
      </w:r>
      <w:r>
        <w:rPr>
          <w:rFonts w:ascii="Times New Roman" w:hAnsi="Times New Roman"/>
          <w:bCs/>
          <w:i/>
          <w:sz w:val="28"/>
          <w:szCs w:val="28"/>
        </w:rPr>
      </w:r>
      <w:r>
        <w:rPr>
          <w:rFonts w:ascii="Times New Roman" w:hAnsi="Times New Roman"/>
          <w:bCs/>
          <w:i/>
          <w:sz w:val="28"/>
          <w:szCs w:val="28"/>
        </w:rPr>
      </w:r>
    </w:p>
    <w:p>
      <w:pPr>
        <w:ind w:firstLine="708"/>
        <w:jc w:val="both"/>
        <w:spacing w:after="0"/>
        <w:rPr>
          <w:rFonts w:ascii="Times New Roman" w:hAnsi="Times New Roman"/>
          <w:bCs/>
          <w:i/>
          <w:sz w:val="28"/>
          <w:szCs w:val="28"/>
        </w:rPr>
      </w:pPr>
      <w:r>
        <w:rPr>
          <w:rFonts w:ascii="Times New Roman" w:hAnsi="Times New Roman" w:eastAsia="Times New Roman"/>
          <w:i/>
          <w:iCs/>
          <w:sz w:val="28"/>
          <w:szCs w:val="28"/>
        </w:rPr>
        <w:t xml:space="preserve">Однако АО «Водоканал» принято решение о проведении перерасчета платы за холодное водоснабжение, водоотведение. На основании справки, </w:t>
      </w:r>
      <w:r>
        <w:rPr>
          <w:rFonts w:ascii="Times New Roman" w:hAnsi="Times New Roman" w:eastAsia="Times New Roman"/>
          <w:i/>
          <w:iCs/>
          <w:sz w:val="28"/>
          <w:szCs w:val="28"/>
        </w:rPr>
        <w:t xml:space="preserve">приложенной к обращению заявителя, АО «Водоканал» произвел перерасчет. Далее гражданке было разъяснено, что вновь необходимо будет представить подтверждающий документ в АО «Водоканал».</w:t>
      </w:r>
      <w:r>
        <w:rPr>
          <w:rFonts w:ascii="Times New Roman" w:hAnsi="Times New Roman"/>
          <w:bCs/>
          <w:i/>
          <w:sz w:val="28"/>
          <w:szCs w:val="28"/>
        </w:rPr>
      </w:r>
      <w:r>
        <w:rPr>
          <w:rFonts w:ascii="Times New Roman" w:hAnsi="Times New Roman"/>
          <w:bCs/>
          <w:i/>
          <w:sz w:val="28"/>
          <w:szCs w:val="28"/>
        </w:rPr>
      </w:r>
    </w:p>
    <w:p>
      <w:pPr>
        <w:ind w:firstLine="708"/>
        <w:jc w:val="both"/>
        <w:spacing w:after="0"/>
        <w:rPr>
          <w:rFonts w:ascii="Times New Roman" w:hAnsi="Times New Roman"/>
          <w:bCs/>
          <w:i/>
          <w:sz w:val="28"/>
          <w:szCs w:val="28"/>
        </w:rPr>
      </w:pPr>
      <w:r>
        <w:rPr>
          <w:rFonts w:ascii="Times New Roman" w:hAnsi="Times New Roman" w:eastAsia="Times New Roman"/>
          <w:i/>
          <w:iCs/>
          <w:sz w:val="28"/>
          <w:szCs w:val="28"/>
        </w:rPr>
        <w:t xml:space="preserve">Вопрос перерасчета по электроснабжению тоже был отражен в обращении заявителя. </w:t>
      </w:r>
      <w:r>
        <w:rPr>
          <w:rFonts w:ascii="Times New Roman" w:hAnsi="Times New Roman"/>
          <w:bCs/>
          <w:i/>
          <w:sz w:val="28"/>
          <w:szCs w:val="28"/>
        </w:rPr>
      </w:r>
      <w:r>
        <w:rPr>
          <w:rFonts w:ascii="Times New Roman" w:hAnsi="Times New Roman"/>
          <w:bCs/>
          <w:i/>
          <w:sz w:val="28"/>
          <w:szCs w:val="28"/>
        </w:rPr>
      </w:r>
    </w:p>
    <w:p>
      <w:pPr>
        <w:ind w:firstLine="708"/>
        <w:jc w:val="both"/>
        <w:spacing w:after="0"/>
        <w:rPr>
          <w:rFonts w:ascii="Times New Roman" w:hAnsi="Times New Roman"/>
          <w:bCs/>
          <w:i/>
          <w:sz w:val="28"/>
          <w:szCs w:val="28"/>
        </w:rPr>
      </w:pPr>
      <w:r>
        <w:rPr>
          <w:rFonts w:ascii="Times New Roman" w:hAnsi="Times New Roman" w:eastAsia="Times New Roman"/>
          <w:i/>
          <w:iCs/>
          <w:sz w:val="28"/>
          <w:szCs w:val="28"/>
        </w:rPr>
        <w:t xml:space="preserve">Начисление платы за коммунальную услугу по электроснабжению производится Ивановским филиалом АО «</w:t>
      </w:r>
      <w:r>
        <w:rPr>
          <w:rFonts w:ascii="Times New Roman" w:hAnsi="Times New Roman" w:eastAsia="Times New Roman"/>
          <w:i/>
          <w:iCs/>
          <w:sz w:val="28"/>
          <w:szCs w:val="28"/>
        </w:rPr>
        <w:t xml:space="preserve">Энергосбыт</w:t>
      </w:r>
      <w:r>
        <w:rPr>
          <w:rFonts w:ascii="Times New Roman" w:hAnsi="Times New Roman" w:eastAsia="Times New Roman"/>
          <w:i/>
          <w:iCs/>
          <w:sz w:val="28"/>
          <w:szCs w:val="28"/>
        </w:rPr>
        <w:t xml:space="preserve"> Плюс» согласно передаваемым показаниям индивидуального прибора учета электрической энергии.</w:t>
      </w:r>
      <w:r>
        <w:rPr>
          <w:rFonts w:ascii="Times New Roman" w:hAnsi="Times New Roman"/>
          <w:bCs/>
          <w:i/>
          <w:sz w:val="28"/>
          <w:szCs w:val="28"/>
        </w:rPr>
      </w:r>
      <w:r>
        <w:rPr>
          <w:rFonts w:ascii="Times New Roman" w:hAnsi="Times New Roman"/>
          <w:bCs/>
          <w:i/>
          <w:sz w:val="28"/>
          <w:szCs w:val="28"/>
        </w:rPr>
      </w:r>
    </w:p>
    <w:p>
      <w:pPr>
        <w:ind w:firstLine="708"/>
        <w:jc w:val="both"/>
        <w:spacing w:after="0"/>
        <w:rPr>
          <w:rFonts w:ascii="Times New Roman" w:hAnsi="Times New Roman"/>
          <w:bCs/>
          <w:i/>
          <w:sz w:val="28"/>
          <w:szCs w:val="28"/>
        </w:rPr>
      </w:pPr>
      <w:r>
        <w:rPr>
          <w:rFonts w:ascii="Times New Roman" w:hAnsi="Times New Roman" w:eastAsia="Times New Roman"/>
          <w:i/>
          <w:iCs/>
          <w:sz w:val="28"/>
          <w:szCs w:val="28"/>
        </w:rPr>
        <w:t xml:space="preserve">В соответствии со статьей 9.1 Федерального закона от 07.10.2022 № 378-ФЗ «О внесении изменений в статьи 166 и 169 Жилищного кодекса Российской 4 Федерации и  Федеральный закон  «О</w:t>
      </w:r>
      <w:r>
        <w:rPr>
          <w:rFonts w:ascii="Times New Roman" w:hAnsi="Times New Roman" w:eastAsia="Times New Roman"/>
          <w:i/>
          <w:iCs/>
          <w:sz w:val="28"/>
          <w:szCs w:val="28"/>
        </w:rPr>
        <w:t xml:space="preserve"> внесении изменений в отдельные законодательные акты Российской Федерации» граждане Российской Федерации, заключившие контракт о прохождении военной службы в связи с призывом на военную службу по мобилизации в Вооруженные Силы Российской Федерации, и члены</w:t>
      </w:r>
      <w:r>
        <w:rPr>
          <w:rFonts w:ascii="Times New Roman" w:hAnsi="Times New Roman" w:eastAsia="Times New Roman"/>
          <w:i/>
          <w:iCs/>
          <w:sz w:val="28"/>
          <w:szCs w:val="28"/>
        </w:rPr>
        <w:t xml:space="preserve"> их семей до прекращения действия указанного контракта освобождаются от начисления пеней в случае несвоевременного и (или) неполного внесения ими платы за жилое помещение и коммунальные услуги.</w:t>
      </w:r>
      <w:r>
        <w:rPr>
          <w:rFonts w:ascii="Times New Roman" w:hAnsi="Times New Roman"/>
          <w:bCs/>
          <w:i/>
          <w:sz w:val="28"/>
          <w:szCs w:val="28"/>
        </w:rPr>
      </w:r>
      <w:r>
        <w:rPr>
          <w:rFonts w:ascii="Times New Roman" w:hAnsi="Times New Roman"/>
          <w:bCs/>
          <w:i/>
          <w:sz w:val="28"/>
          <w:szCs w:val="28"/>
        </w:rPr>
      </w:r>
    </w:p>
    <w:p>
      <w:pPr>
        <w:ind w:firstLine="708"/>
        <w:jc w:val="both"/>
        <w:spacing w:after="0"/>
        <w:rPr>
          <w:rFonts w:ascii="Times New Roman" w:hAnsi="Times New Roman"/>
          <w:bCs/>
          <w:i/>
          <w:sz w:val="28"/>
          <w:szCs w:val="28"/>
        </w:rPr>
      </w:pPr>
      <w:r>
        <w:rPr>
          <w:rFonts w:ascii="Times New Roman" w:hAnsi="Times New Roman" w:eastAsia="Times New Roman"/>
          <w:i/>
          <w:iCs/>
          <w:sz w:val="28"/>
          <w:szCs w:val="28"/>
        </w:rPr>
        <w:t xml:space="preserve">На основании прилагаемой к обращению справки Ивановским филиалом АО «</w:t>
      </w:r>
      <w:r>
        <w:rPr>
          <w:rFonts w:ascii="Times New Roman" w:hAnsi="Times New Roman" w:eastAsia="Times New Roman"/>
          <w:i/>
          <w:iCs/>
          <w:sz w:val="28"/>
          <w:szCs w:val="28"/>
        </w:rPr>
        <w:t xml:space="preserve">Энергосбыт</w:t>
      </w:r>
      <w:r>
        <w:rPr>
          <w:rFonts w:ascii="Times New Roman" w:hAnsi="Times New Roman" w:eastAsia="Times New Roman"/>
          <w:i/>
          <w:iCs/>
          <w:sz w:val="28"/>
          <w:szCs w:val="28"/>
        </w:rPr>
        <w:t xml:space="preserve"> Плюс» внесены изменения в программное обеспечение в отношении жилого помещения обратившейся, а именно, проставлен запрет начислений пени с начала прохождения военной службы.</w:t>
      </w:r>
      <w:r>
        <w:rPr>
          <w:rFonts w:ascii="Times New Roman" w:hAnsi="Times New Roman"/>
          <w:bCs/>
          <w:i/>
          <w:sz w:val="28"/>
          <w:szCs w:val="28"/>
        </w:rPr>
      </w:r>
      <w:r>
        <w:rPr>
          <w:rFonts w:ascii="Times New Roman" w:hAnsi="Times New Roman"/>
          <w:bCs/>
          <w:i/>
          <w:sz w:val="28"/>
          <w:szCs w:val="28"/>
        </w:rPr>
      </w:r>
    </w:p>
    <w:p>
      <w:pPr>
        <w:ind w:firstLine="708"/>
        <w:jc w:val="both"/>
        <w:spacing w:after="0"/>
        <w:rPr>
          <w:rFonts w:ascii="Times New Roman" w:hAnsi="Times New Roman" w:eastAsia="Times New Roman"/>
          <w:sz w:val="28"/>
          <w:szCs w:val="28"/>
        </w:rPr>
      </w:pPr>
      <w:r>
        <w:rPr>
          <w:rFonts w:ascii="Times New Roman" w:hAnsi="Times New Roman" w:eastAsia="Times New Roman"/>
          <w:sz w:val="28"/>
          <w:szCs w:val="28"/>
        </w:rPr>
        <w:t xml:space="preserve">Центральный исполнительный орган государственной власти, который проводит государственную полити</w:t>
      </w:r>
      <w:r>
        <w:rPr>
          <w:rFonts w:ascii="Times New Roman" w:hAnsi="Times New Roman" w:eastAsia="Times New Roman"/>
          <w:sz w:val="28"/>
          <w:szCs w:val="28"/>
        </w:rPr>
        <w:t xml:space="preserve">ку и осуществляет межотраслевое управление, координацию, нормативное правовое и функциональное регулирование в сфере ЖКХ и коммунальной энергетики на территории региона – Департамент жилищно-коммунального хозяйства Ивановской области (далее – Департамент).</w:t>
      </w:r>
      <w:r>
        <w:rPr>
          <w:rFonts w:ascii="Times New Roman" w:hAnsi="Times New Roman" w:eastAsia="Times New Roman"/>
          <w:sz w:val="28"/>
          <w:szCs w:val="28"/>
        </w:rPr>
      </w:r>
      <w:r>
        <w:rPr>
          <w:rFonts w:ascii="Times New Roman" w:hAnsi="Times New Roman" w:eastAsia="Times New Roman"/>
          <w:sz w:val="28"/>
          <w:szCs w:val="28"/>
        </w:rPr>
      </w:r>
    </w:p>
    <w:p>
      <w:pPr>
        <w:ind w:firstLine="708"/>
        <w:jc w:val="both"/>
        <w:spacing w:after="0"/>
        <w:rPr>
          <w:rFonts w:ascii="Times New Roman" w:hAnsi="Times New Roman"/>
          <w:sz w:val="28"/>
          <w:szCs w:val="28"/>
        </w:rPr>
      </w:pPr>
      <w:r>
        <w:rPr>
          <w:rFonts w:ascii="Times New Roman" w:hAnsi="Times New Roman" w:eastAsia="Times New Roman"/>
          <w:sz w:val="28"/>
          <w:szCs w:val="28"/>
        </w:rPr>
        <w:t xml:space="preserve">Вышеуказанным органом была предоставлена информация по реализации значимых проектов на территории нашей области.</w:t>
      </w:r>
      <w:r>
        <w:rPr>
          <w:rFonts w:ascii="Times New Roman" w:hAnsi="Times New Roman" w:eastAsia="Times New Roman"/>
          <w:sz w:val="28"/>
          <w:szCs w:val="28"/>
        </w:rPr>
        <w:t xml:space="preserve"> .</w:t>
      </w:r>
      <w:r>
        <w:rPr>
          <w:rFonts w:ascii="Times New Roman" w:hAnsi="Times New Roman"/>
          <w:sz w:val="28"/>
          <w:szCs w:val="28"/>
        </w:rPr>
      </w:r>
      <w:r>
        <w:rPr>
          <w:rFonts w:ascii="Times New Roman" w:hAnsi="Times New Roman"/>
          <w:sz w:val="28"/>
          <w:szCs w:val="28"/>
        </w:rPr>
      </w:r>
    </w:p>
    <w:p>
      <w:pPr>
        <w:ind w:firstLine="708"/>
        <w:jc w:val="both"/>
        <w:spacing w:after="0"/>
        <w:rPr>
          <w:rFonts w:ascii="Times New Roman" w:hAnsi="Times New Roman"/>
          <w:sz w:val="28"/>
          <w:szCs w:val="28"/>
        </w:rPr>
      </w:pPr>
      <w:r>
        <w:rPr>
          <w:rFonts w:ascii="Times New Roman" w:hAnsi="Times New Roman" w:eastAsia="Times New Roman"/>
          <w:sz w:val="28"/>
          <w:szCs w:val="28"/>
        </w:rPr>
        <w:t xml:space="preserve">Так, с 2025 года реализация мероприятий по переселению граждан из аварийного жилищного фонда осуществляется в рамках регионального проекта «Жилье».</w:t>
      </w:r>
      <w:r>
        <w:rPr>
          <w:rFonts w:ascii="Times New Roman" w:hAnsi="Times New Roman"/>
          <w:sz w:val="28"/>
          <w:szCs w:val="28"/>
        </w:rPr>
      </w:r>
      <w:r>
        <w:rPr>
          <w:rFonts w:ascii="Times New Roman" w:hAnsi="Times New Roman"/>
          <w:sz w:val="28"/>
          <w:szCs w:val="28"/>
        </w:rPr>
      </w:r>
    </w:p>
    <w:p>
      <w:pPr>
        <w:ind w:firstLine="708"/>
        <w:jc w:val="both"/>
        <w:spacing w:after="0"/>
        <w:rPr>
          <w:rFonts w:ascii="Times New Roman" w:hAnsi="Times New Roman" w:eastAsia="Times New Roman"/>
          <w:sz w:val="28"/>
          <w:szCs w:val="28"/>
        </w:rPr>
      </w:pPr>
      <w:r>
        <w:rPr>
          <w:rFonts w:ascii="Times New Roman" w:hAnsi="Times New Roman" w:eastAsia="Times New Roman"/>
          <w:sz w:val="28"/>
          <w:szCs w:val="28"/>
        </w:rPr>
        <w:t xml:space="preserve">В </w:t>
      </w:r>
      <w:r>
        <w:rPr>
          <w:rFonts w:ascii="Times New Roman" w:hAnsi="Times New Roman" w:eastAsia="Times New Roman"/>
          <w:sz w:val="28"/>
          <w:szCs w:val="28"/>
        </w:rPr>
        <w:t xml:space="preserve">прошлом году Департаментом жилищно-коммунального хозяйства Ивановской области (далее – Департамент)  в рамках взаимодействия с публично-правовой компанией «Фонд развития территорий» была продолжена реализация региональной адресной программы по переселению </w:t>
      </w:r>
      <w:r>
        <w:rPr>
          <w:rFonts w:ascii="Times New Roman" w:hAnsi="Times New Roman" w:eastAsia="Times New Roman"/>
          <w:sz w:val="28"/>
          <w:szCs w:val="28"/>
        </w:rPr>
        <w:t xml:space="preserve">граждан из аварийного жилищного фонда на территории Ивановской области  (далее – программа переселения граждан).</w:t>
      </w:r>
      <w:r>
        <w:rPr>
          <w:rFonts w:ascii="Times New Roman" w:hAnsi="Times New Roman" w:eastAsia="Times New Roman"/>
          <w:sz w:val="28"/>
          <w:szCs w:val="28"/>
        </w:rPr>
      </w:r>
      <w:r>
        <w:rPr>
          <w:rFonts w:ascii="Times New Roman" w:hAnsi="Times New Roman" w:eastAsia="Times New Roman"/>
          <w:sz w:val="28"/>
          <w:szCs w:val="28"/>
        </w:rPr>
      </w:r>
    </w:p>
    <w:p>
      <w:pPr>
        <w:ind w:firstLine="708"/>
        <w:jc w:val="both"/>
        <w:spacing w:after="0"/>
        <w:rPr>
          <w:rFonts w:ascii="Times New Roman" w:hAnsi="Times New Roman"/>
          <w:sz w:val="28"/>
          <w:szCs w:val="28"/>
        </w:rPr>
      </w:pPr>
      <w:r>
        <w:rPr>
          <w:rFonts w:ascii="Times New Roman" w:hAnsi="Times New Roman" w:eastAsia="Times New Roman"/>
          <w:sz w:val="28"/>
          <w:szCs w:val="28"/>
        </w:rPr>
        <w:t xml:space="preserve">В 2025 году в 2 му</w:t>
      </w:r>
      <w:r>
        <w:rPr>
          <w:rFonts w:ascii="Times New Roman" w:hAnsi="Times New Roman" w:eastAsia="Times New Roman"/>
          <w:sz w:val="28"/>
          <w:szCs w:val="28"/>
        </w:rPr>
        <w:t xml:space="preserve">ниципальных образованиях области  для участников программы переселения граждан из аварийного жилищного фонда реализовывались мероприятия по переселению граждан из аварийного жилья, это в городах Иваново и Кинешма (расселено 0,238 тыс. граждан из 3,9 тыс. м</w:t>
      </w:r>
      <w:r>
        <w:rPr>
          <w:rFonts w:ascii="Times New Roman" w:hAnsi="Times New Roman" w:eastAsia="Times New Roman"/>
          <w:sz w:val="28"/>
          <w:szCs w:val="28"/>
        </w:rPr>
        <w:t xml:space="preserve">2</w:t>
      </w:r>
      <w:r>
        <w:rPr>
          <w:rFonts w:ascii="Times New Roman" w:hAnsi="Times New Roman" w:eastAsia="Times New Roman"/>
          <w:sz w:val="28"/>
          <w:szCs w:val="28"/>
        </w:rPr>
        <w:t xml:space="preserve">).</w:t>
      </w:r>
      <w:r>
        <w:rPr>
          <w:rFonts w:ascii="Times New Roman" w:hAnsi="Times New Roman"/>
          <w:sz w:val="28"/>
          <w:szCs w:val="28"/>
        </w:rPr>
      </w:r>
      <w:r>
        <w:rPr>
          <w:rFonts w:ascii="Times New Roman" w:hAnsi="Times New Roman"/>
          <w:sz w:val="28"/>
          <w:szCs w:val="28"/>
        </w:rPr>
      </w:r>
    </w:p>
    <w:p>
      <w:pPr>
        <w:ind w:firstLine="708"/>
        <w:jc w:val="both"/>
        <w:spacing w:after="0"/>
        <w:rPr>
          <w:rFonts w:ascii="Times New Roman" w:hAnsi="Times New Roman"/>
          <w:sz w:val="28"/>
          <w:szCs w:val="28"/>
        </w:rPr>
      </w:pPr>
      <w:r>
        <w:rPr>
          <w:rFonts w:ascii="Times New Roman" w:hAnsi="Times New Roman" w:eastAsia="Times New Roman"/>
          <w:sz w:val="28"/>
          <w:szCs w:val="28"/>
        </w:rPr>
        <w:t xml:space="preserve">Начиная с 2019 года в нашем регионе ликвидировано 26,44 </w:t>
      </w:r>
      <w:r>
        <w:rPr>
          <w:rFonts w:ascii="Times New Roman" w:hAnsi="Times New Roman" w:eastAsia="Times New Roman"/>
          <w:sz w:val="28"/>
          <w:szCs w:val="28"/>
        </w:rPr>
        <w:t xml:space="preserve">тыс</w:t>
      </w:r>
      <w:r>
        <w:rPr>
          <w:rFonts w:ascii="Times New Roman" w:hAnsi="Times New Roman" w:eastAsia="Times New Roman"/>
          <w:sz w:val="28"/>
          <w:szCs w:val="28"/>
        </w:rPr>
        <w:t xml:space="preserve">, м2 аварийного жилья, более 1,5 тыс. граждан улучшили свои жилищные условия.</w:t>
      </w:r>
      <w:r>
        <w:rPr>
          <w:rFonts w:ascii="Times New Roman" w:hAnsi="Times New Roman"/>
          <w:sz w:val="28"/>
          <w:szCs w:val="28"/>
        </w:rPr>
      </w:r>
      <w:r>
        <w:rPr>
          <w:rFonts w:ascii="Times New Roman" w:hAnsi="Times New Roman"/>
          <w:sz w:val="28"/>
          <w:szCs w:val="28"/>
        </w:rPr>
      </w:r>
    </w:p>
    <w:p>
      <w:pPr>
        <w:ind w:firstLine="708"/>
        <w:jc w:val="both"/>
        <w:spacing w:after="0"/>
        <w:rPr>
          <w:rFonts w:ascii="Times New Roman" w:hAnsi="Times New Roman"/>
          <w:sz w:val="28"/>
          <w:szCs w:val="28"/>
        </w:rPr>
      </w:pPr>
      <w:r>
        <w:rPr>
          <w:rFonts w:ascii="Times New Roman" w:hAnsi="Times New Roman" w:eastAsia="Times New Roman"/>
          <w:sz w:val="28"/>
          <w:szCs w:val="28"/>
        </w:rPr>
        <w:t xml:space="preserve">По итогам 2025 года в рамках реализ</w:t>
      </w:r>
      <w:r>
        <w:rPr>
          <w:rFonts w:ascii="Times New Roman" w:hAnsi="Times New Roman" w:eastAsia="Times New Roman"/>
          <w:sz w:val="28"/>
          <w:szCs w:val="28"/>
        </w:rPr>
        <w:t xml:space="preserve">ации региональной программы капитального ремонта общего имущества в многоквартирных домах, расположенных на территории Ивановской области (далее – программа ремонта) было отремонтировано 286 многоквартирных домов, в которых проживает свыше 40 тыс. человек.</w:t>
      </w:r>
      <w:r>
        <w:rPr>
          <w:rFonts w:ascii="Times New Roman" w:hAnsi="Times New Roman"/>
          <w:sz w:val="28"/>
          <w:szCs w:val="28"/>
        </w:rPr>
      </w:r>
      <w:r>
        <w:rPr>
          <w:rFonts w:ascii="Times New Roman" w:hAnsi="Times New Roman"/>
          <w:sz w:val="28"/>
          <w:szCs w:val="28"/>
        </w:rPr>
      </w:r>
    </w:p>
    <w:p>
      <w:pPr>
        <w:ind w:firstLine="708"/>
        <w:jc w:val="both"/>
        <w:spacing w:after="0"/>
        <w:rPr>
          <w:rFonts w:ascii="Times New Roman" w:hAnsi="Times New Roman"/>
          <w:sz w:val="28"/>
          <w:szCs w:val="28"/>
        </w:rPr>
      </w:pPr>
      <w:r>
        <w:rPr>
          <w:rFonts w:ascii="Times New Roman" w:hAnsi="Times New Roman" w:eastAsia="Times New Roman"/>
          <w:sz w:val="28"/>
          <w:szCs w:val="28"/>
        </w:rPr>
        <w:t xml:space="preserve">Для оказания финансовой помощи некоммерческой организации «Региональный фонд капитального ремонта многоквартирных домов Ивановской области» (далее - региональный оператор) на исполнение плана реализации региональной программы 2025 года, а также выпо</w:t>
      </w:r>
      <w:r>
        <w:rPr>
          <w:rFonts w:ascii="Times New Roman" w:hAnsi="Times New Roman" w:eastAsia="Times New Roman"/>
          <w:sz w:val="28"/>
          <w:szCs w:val="28"/>
        </w:rPr>
        <w:t xml:space="preserve">лнение неисполненных планов прошлых отчетных периодов законом Ивановской области об областном бюджете в 2025 году региональному оператору была предусмотрена субсидия на финансовое обеспечение затрат, связанных с оказанием услуг и (или) выполнением работ по</w:t>
      </w:r>
      <w:r>
        <w:rPr>
          <w:rFonts w:ascii="Times New Roman" w:hAnsi="Times New Roman" w:eastAsia="Times New Roman"/>
          <w:sz w:val="28"/>
          <w:szCs w:val="28"/>
        </w:rPr>
        <w:t xml:space="preserve"> капитальному ремонту общего имущества в многоквартирных; домах, расположенных на территории Ивановской области, в размере 200,00 млн. руб.</w:t>
      </w:r>
      <w:r>
        <w:rPr>
          <w:rFonts w:ascii="Times New Roman" w:hAnsi="Times New Roman"/>
          <w:sz w:val="28"/>
          <w:szCs w:val="28"/>
        </w:rPr>
      </w:r>
      <w:r>
        <w:rPr>
          <w:rFonts w:ascii="Times New Roman" w:hAnsi="Times New Roman"/>
          <w:sz w:val="28"/>
          <w:szCs w:val="28"/>
        </w:rPr>
      </w:r>
    </w:p>
    <w:p>
      <w:pPr>
        <w:ind w:firstLine="708"/>
        <w:jc w:val="both"/>
        <w:spacing w:after="0"/>
        <w:rPr>
          <w:rFonts w:ascii="Times New Roman" w:hAnsi="Times New Roman"/>
          <w:sz w:val="28"/>
          <w:szCs w:val="28"/>
        </w:rPr>
      </w:pPr>
      <w:r>
        <w:rPr>
          <w:rFonts w:ascii="Times New Roman" w:hAnsi="Times New Roman" w:eastAsia="Times New Roman"/>
          <w:sz w:val="28"/>
          <w:szCs w:val="28"/>
        </w:rPr>
        <w:t xml:space="preserve">По состоянию на 01.01.2026 региональным оператором в 16 многоквартирных домах выполнены работы по замене 51 лифта, в том числе 45 лифтов были отремонтированы с привлечением средств вышеуказанной субсидии.</w:t>
      </w:r>
      <w:r>
        <w:rPr>
          <w:rFonts w:ascii="Times New Roman" w:hAnsi="Times New Roman"/>
          <w:sz w:val="28"/>
          <w:szCs w:val="28"/>
        </w:rPr>
      </w:r>
      <w:r>
        <w:rPr>
          <w:rFonts w:ascii="Times New Roman" w:hAnsi="Times New Roman"/>
          <w:sz w:val="28"/>
          <w:szCs w:val="28"/>
        </w:rPr>
      </w:r>
    </w:p>
    <w:p>
      <w:pPr>
        <w:ind w:firstLine="708"/>
        <w:jc w:val="both"/>
        <w:spacing w:after="0"/>
        <w:rPr>
          <w:rFonts w:ascii="Times New Roman" w:hAnsi="Times New Roman"/>
          <w:sz w:val="28"/>
          <w:szCs w:val="28"/>
        </w:rPr>
      </w:pPr>
      <w:r>
        <w:rPr>
          <w:rFonts w:ascii="Times New Roman" w:hAnsi="Times New Roman" w:eastAsia="Times New Roman"/>
          <w:sz w:val="28"/>
          <w:szCs w:val="28"/>
        </w:rPr>
        <w:t xml:space="preserve">Работа по реализации программы продолжается.</w:t>
      </w:r>
      <w:r>
        <w:rPr>
          <w:rFonts w:ascii="Times New Roman" w:hAnsi="Times New Roman"/>
          <w:sz w:val="28"/>
          <w:szCs w:val="28"/>
        </w:rPr>
      </w:r>
      <w:r>
        <w:rPr>
          <w:rFonts w:ascii="Times New Roman" w:hAnsi="Times New Roman"/>
          <w:sz w:val="28"/>
          <w:szCs w:val="28"/>
        </w:rPr>
      </w:r>
    </w:p>
    <w:p>
      <w:pPr>
        <w:ind w:firstLine="708"/>
        <w:jc w:val="both"/>
        <w:spacing w:after="0"/>
        <w:rPr>
          <w:rFonts w:ascii="Times New Roman" w:hAnsi="Times New Roman"/>
          <w:sz w:val="28"/>
          <w:szCs w:val="28"/>
        </w:rPr>
      </w:pPr>
      <w:r>
        <w:rPr>
          <w:rFonts w:ascii="Times New Roman" w:hAnsi="Times New Roman" w:eastAsia="Times New Roman"/>
          <w:sz w:val="28"/>
          <w:szCs w:val="28"/>
        </w:rPr>
        <w:t xml:space="preserve">В рамках ре</w:t>
      </w:r>
      <w:r>
        <w:rPr>
          <w:rFonts w:ascii="Times New Roman" w:hAnsi="Times New Roman" w:eastAsia="Times New Roman"/>
          <w:sz w:val="28"/>
          <w:szCs w:val="28"/>
        </w:rPr>
        <w:t xml:space="preserve">ализации федерального проекта «Модернизация коммунальной инфраструктуры» национального проекта «Инфраструктура для жизни» в 2025 году для Ивановской области было предусмотрено выделение 194,097 млн. pу6., из них: федерального бюджета — 128,093 млн. рублей.</w:t>
      </w:r>
      <w:r>
        <w:rPr>
          <w:rFonts w:ascii="Times New Roman" w:hAnsi="Times New Roman"/>
          <w:sz w:val="28"/>
          <w:szCs w:val="28"/>
        </w:rPr>
      </w:r>
      <w:r>
        <w:rPr>
          <w:rFonts w:ascii="Times New Roman" w:hAnsi="Times New Roman"/>
          <w:sz w:val="28"/>
          <w:szCs w:val="28"/>
        </w:rPr>
      </w:r>
    </w:p>
    <w:p>
      <w:pPr>
        <w:ind w:firstLine="708"/>
        <w:jc w:val="both"/>
        <w:spacing w:after="0"/>
        <w:rPr>
          <w:rFonts w:ascii="Times New Roman" w:hAnsi="Times New Roman"/>
          <w:sz w:val="28"/>
          <w:szCs w:val="28"/>
        </w:rPr>
      </w:pPr>
      <w:r>
        <w:rPr>
          <w:rFonts w:ascii="Times New Roman" w:hAnsi="Times New Roman" w:eastAsia="Times New Roman"/>
          <w:sz w:val="28"/>
          <w:szCs w:val="28"/>
        </w:rPr>
        <w:t xml:space="preserve">Всего по итогам 2025 года выполнены работы на 16 объектах.</w:t>
      </w:r>
      <w:r>
        <w:rPr>
          <w:rFonts w:ascii="Times New Roman" w:hAnsi="Times New Roman"/>
          <w:sz w:val="28"/>
          <w:szCs w:val="28"/>
        </w:rPr>
      </w:r>
      <w:r>
        <w:rPr>
          <w:rFonts w:ascii="Times New Roman" w:hAnsi="Times New Roman"/>
          <w:sz w:val="28"/>
          <w:szCs w:val="28"/>
        </w:rPr>
      </w:r>
    </w:p>
    <w:p>
      <w:pPr>
        <w:ind w:firstLine="708"/>
        <w:jc w:val="both"/>
        <w:spacing w:after="0"/>
        <w:rPr>
          <w:rFonts w:ascii="Times New Roman" w:hAnsi="Times New Roman"/>
          <w:sz w:val="28"/>
          <w:szCs w:val="28"/>
        </w:rPr>
      </w:pPr>
      <w:r>
        <w:rPr>
          <w:rFonts w:ascii="Times New Roman" w:hAnsi="Times New Roman" w:eastAsia="Times New Roman"/>
          <w:sz w:val="28"/>
          <w:szCs w:val="28"/>
        </w:rPr>
        <w:t xml:space="preserve">Фактический кассовый расход по состоянию на 01.01.2026 составил: 185,15 млн. рублей, из них федеральные средства 122,195 млн. рублей.</w:t>
      </w:r>
      <w:r>
        <w:rPr>
          <w:rFonts w:ascii="Times New Roman" w:hAnsi="Times New Roman"/>
          <w:sz w:val="28"/>
          <w:szCs w:val="28"/>
        </w:rPr>
      </w:r>
      <w:r>
        <w:rPr>
          <w:rFonts w:ascii="Times New Roman" w:hAnsi="Times New Roman"/>
          <w:sz w:val="28"/>
          <w:szCs w:val="28"/>
        </w:rPr>
      </w:r>
    </w:p>
    <w:p>
      <w:pPr>
        <w:ind w:firstLine="708"/>
        <w:jc w:val="both"/>
        <w:spacing w:after="0"/>
        <w:rPr>
          <w:rFonts w:ascii="Times New Roman" w:hAnsi="Times New Roman"/>
          <w:sz w:val="28"/>
          <w:szCs w:val="28"/>
        </w:rPr>
      </w:pPr>
      <w:r>
        <w:rPr>
          <w:rFonts w:ascii="Times New Roman" w:hAnsi="Times New Roman" w:eastAsia="Times New Roman"/>
          <w:sz w:val="28"/>
          <w:szCs w:val="28"/>
        </w:rPr>
        <w:t xml:space="preserve">С учетом завершенных 16 мероприятий в настоящее время капитально отремонтировано 11 698,55 метров сетей тепло-, водоснабжения.</w:t>
      </w:r>
      <w:r>
        <w:rPr>
          <w:rFonts w:ascii="Times New Roman" w:hAnsi="Times New Roman"/>
          <w:sz w:val="28"/>
          <w:szCs w:val="28"/>
        </w:rPr>
      </w:r>
      <w:r>
        <w:rPr>
          <w:rFonts w:ascii="Times New Roman" w:hAnsi="Times New Roman"/>
          <w:sz w:val="28"/>
          <w:szCs w:val="28"/>
        </w:rPr>
      </w:r>
    </w:p>
    <w:p>
      <w:pPr>
        <w:ind w:firstLine="708"/>
        <w:jc w:val="both"/>
        <w:spacing w:after="0"/>
        <w:rPr>
          <w:rFonts w:ascii="Times New Roman" w:hAnsi="Times New Roman"/>
          <w:sz w:val="28"/>
          <w:szCs w:val="28"/>
        </w:rPr>
      </w:pPr>
      <w:r>
        <w:rPr>
          <w:rFonts w:ascii="Times New Roman" w:hAnsi="Times New Roman" w:eastAsia="Times New Roman"/>
          <w:sz w:val="28"/>
          <w:szCs w:val="28"/>
        </w:rPr>
        <w:t xml:space="preserve">Численность населения, для которого улучшилось качество предоставляемых коммунальных услуг в сфере тепло-, водоснабжения составила 28,5 тыс. человек.</w:t>
      </w:r>
      <w:r>
        <w:rPr>
          <w:rFonts w:ascii="Times New Roman" w:hAnsi="Times New Roman"/>
          <w:sz w:val="28"/>
          <w:szCs w:val="28"/>
        </w:rPr>
      </w:r>
      <w:r>
        <w:rPr>
          <w:rFonts w:ascii="Times New Roman" w:hAnsi="Times New Roman"/>
          <w:sz w:val="28"/>
          <w:szCs w:val="28"/>
        </w:rPr>
      </w:r>
    </w:p>
    <w:p>
      <w:pPr>
        <w:ind w:firstLine="708"/>
        <w:jc w:val="both"/>
        <w:spacing w:after="0"/>
        <w:rPr>
          <w:rFonts w:ascii="Times New Roman" w:hAnsi="Times New Roman"/>
          <w:sz w:val="28"/>
          <w:szCs w:val="28"/>
        </w:rPr>
      </w:pPr>
      <w:r>
        <w:rPr>
          <w:rFonts w:ascii="Times New Roman" w:hAnsi="Times New Roman" w:eastAsia="Times New Roman"/>
          <w:sz w:val="28"/>
          <w:szCs w:val="28"/>
        </w:rPr>
        <w:t xml:space="preserve">Также в рамках реализации мероприятий по модернизации объектов коммунальной инфраструктуры в 2025 го</w:t>
      </w:r>
      <w:r>
        <w:rPr>
          <w:rFonts w:ascii="Times New Roman" w:hAnsi="Times New Roman" w:eastAsia="Times New Roman"/>
          <w:sz w:val="28"/>
          <w:szCs w:val="28"/>
        </w:rPr>
        <w:t xml:space="preserve">ду муниципальным образованиям Ивановской области перечислено 148,9 млн. рублей, с использованием которых выполнены мероприятия, направленные на улучшение качества коммунальных услуг по теплоснабжению, водоснабжению и водоотведению для 133,754 тыс. граждан.</w:t>
      </w:r>
      <w:r>
        <w:rPr>
          <w:rFonts w:ascii="Times New Roman" w:hAnsi="Times New Roman"/>
          <w:sz w:val="28"/>
          <w:szCs w:val="28"/>
        </w:rPr>
      </w:r>
      <w:r>
        <w:rPr>
          <w:rFonts w:ascii="Times New Roman" w:hAnsi="Times New Roman"/>
          <w:sz w:val="28"/>
          <w:szCs w:val="28"/>
        </w:rPr>
      </w:r>
    </w:p>
    <w:p>
      <w:pPr>
        <w:ind w:firstLine="708"/>
        <w:jc w:val="both"/>
        <w:spacing w:after="0"/>
        <w:rPr>
          <w:rFonts w:ascii="Times New Roman" w:hAnsi="Times New Roman"/>
          <w:sz w:val="28"/>
          <w:szCs w:val="28"/>
        </w:rPr>
      </w:pPr>
      <w:r>
        <w:rPr>
          <w:rFonts w:ascii="Times New Roman" w:hAnsi="Times New Roman" w:eastAsia="Times New Roman"/>
          <w:sz w:val="28"/>
          <w:szCs w:val="28"/>
        </w:rPr>
        <w:t xml:space="preserve">Важно обращать внимание на то, что многие граждане не до конца понимают свои права и обязанности в сфере ЖКХ, а также не знают, как действовать в случае нарушений со стороны управляющих компаний или </w:t>
      </w:r>
      <w:r>
        <w:rPr>
          <w:rFonts w:ascii="Times New Roman" w:hAnsi="Times New Roman" w:eastAsia="Times New Roman"/>
          <w:sz w:val="28"/>
          <w:szCs w:val="28"/>
        </w:rPr>
        <w:t xml:space="preserve">ресурсоснабжающих</w:t>
      </w:r>
      <w:r>
        <w:rPr>
          <w:rFonts w:ascii="Times New Roman" w:hAnsi="Times New Roman" w:eastAsia="Times New Roman"/>
          <w:sz w:val="28"/>
          <w:szCs w:val="28"/>
        </w:rPr>
        <w:t xml:space="preserve"> организаций. В целях повышения правовой культуры </w:t>
      </w:r>
      <w:r>
        <w:rPr>
          <w:rFonts w:ascii="Times New Roman" w:hAnsi="Times New Roman" w:eastAsia="Times New Roman"/>
          <w:sz w:val="28"/>
          <w:szCs w:val="28"/>
        </w:rPr>
        <w:t xml:space="preserve">населения</w:t>
      </w:r>
      <w:r>
        <w:rPr>
          <w:rFonts w:ascii="Times New Roman" w:hAnsi="Times New Roman" w:eastAsia="Times New Roman"/>
          <w:sz w:val="28"/>
          <w:szCs w:val="28"/>
        </w:rPr>
        <w:t xml:space="preserve"> Уполномоченный по правам человека совместно с социальными партнерами – генеральным директором ООО «ЮК </w:t>
      </w:r>
      <w:r>
        <w:rPr>
          <w:rFonts w:ascii="Times New Roman" w:hAnsi="Times New Roman" w:eastAsia="Times New Roman"/>
          <w:sz w:val="28"/>
          <w:szCs w:val="28"/>
        </w:rPr>
        <w:t xml:space="preserve">Трикверт</w:t>
      </w:r>
      <w:r>
        <w:rPr>
          <w:rFonts w:ascii="Times New Roman" w:hAnsi="Times New Roman" w:eastAsia="Times New Roman"/>
          <w:sz w:val="28"/>
          <w:szCs w:val="28"/>
        </w:rPr>
        <w:t xml:space="preserve">», председателем Ивановской региональной общественной организации «Общес</w:t>
      </w:r>
      <w:r>
        <w:rPr>
          <w:rFonts w:ascii="Times New Roman" w:hAnsi="Times New Roman" w:eastAsia="Times New Roman"/>
          <w:sz w:val="28"/>
          <w:szCs w:val="28"/>
        </w:rPr>
        <w:t xml:space="preserve">тво защиты прав потребителей – собственников недвижимости и членом Штаба Регионального Отделения Общероссийского Общественного Движения "Народный Фронт "За Россию" в Ивановской области ежемесячно проводят традиционный прием граждан по вопросам в сфере ЖКХ.</w:t>
      </w:r>
      <w:r>
        <w:rPr>
          <w:rFonts w:ascii="Times New Roman" w:hAnsi="Times New Roman"/>
          <w:sz w:val="28"/>
          <w:szCs w:val="28"/>
        </w:rPr>
      </w:r>
      <w:r>
        <w:rPr>
          <w:rFonts w:ascii="Times New Roman" w:hAnsi="Times New Roman"/>
          <w:sz w:val="28"/>
          <w:szCs w:val="28"/>
        </w:rPr>
      </w:r>
    </w:p>
    <w:p>
      <w:pPr>
        <w:ind w:firstLine="708"/>
        <w:jc w:val="both"/>
        <w:spacing w:after="0"/>
        <w:rPr>
          <w:rFonts w:ascii="Times New Roman" w:hAnsi="Times New Roman"/>
          <w:sz w:val="28"/>
          <w:szCs w:val="28"/>
        </w:rPr>
      </w:pPr>
      <w:r>
        <w:rPr>
          <w:rFonts w:ascii="Times New Roman" w:hAnsi="Times New Roman" w:eastAsia="Times New Roman"/>
          <w:sz w:val="28"/>
          <w:szCs w:val="28"/>
        </w:rPr>
        <w:t xml:space="preserve">Подобные бесплатные приемы дают возможность людям получить квалифицированную юридическую помощь, понять нюансы законодательства, разобраться в</w:t>
      </w:r>
      <w:r>
        <w:rPr>
          <w:rFonts w:ascii="Times New Roman" w:hAnsi="Times New Roman" w:eastAsia="Times New Roman"/>
          <w:sz w:val="28"/>
          <w:szCs w:val="28"/>
        </w:rPr>
        <w:t xml:space="preserve"> механизмах начисления платы за услуги, порядке проведения ремонтов и других вопросах. Это помогает гражданам эффективнее защищать свои интересы, оградить себя от попадания в сети мошенников, которые недобросовестно относятся к рассмотрению жалоб земляков.</w:t>
      </w:r>
      <w:r>
        <w:rPr>
          <w:rFonts w:ascii="Times New Roman" w:hAnsi="Times New Roman"/>
          <w:sz w:val="28"/>
          <w:szCs w:val="28"/>
        </w:rPr>
      </w:r>
      <w:r>
        <w:rPr>
          <w:rFonts w:ascii="Times New Roman" w:hAnsi="Times New Roman"/>
          <w:sz w:val="28"/>
          <w:szCs w:val="28"/>
        </w:rPr>
      </w:r>
    </w:p>
    <w:p>
      <w:pPr>
        <w:ind w:firstLine="708"/>
        <w:jc w:val="both"/>
        <w:spacing w:after="0"/>
        <w:rPr>
          <w:rFonts w:ascii="Times New Roman" w:hAnsi="Times New Roman"/>
          <w:sz w:val="28"/>
          <w:szCs w:val="28"/>
        </w:rPr>
      </w:pPr>
      <w:r>
        <w:rPr>
          <w:rFonts w:ascii="Times New Roman" w:hAnsi="Times New Roman" w:eastAsia="Times New Roman"/>
          <w:sz w:val="28"/>
          <w:szCs w:val="28"/>
        </w:rPr>
        <w:t xml:space="preserve">В 2025 году на такие приемы обратились 162 гражданина. </w:t>
      </w:r>
      <w:r>
        <w:rPr>
          <w:rFonts w:ascii="Times New Roman" w:hAnsi="Times New Roman"/>
          <w:sz w:val="28"/>
          <w:szCs w:val="28"/>
        </w:rPr>
      </w:r>
      <w:r>
        <w:rPr>
          <w:rFonts w:ascii="Times New Roman" w:hAnsi="Times New Roman"/>
          <w:sz w:val="28"/>
          <w:szCs w:val="28"/>
        </w:rPr>
      </w:r>
    </w:p>
    <w:p>
      <w:pPr>
        <w:ind w:firstLine="708"/>
        <w:jc w:val="both"/>
        <w:spacing w:after="0"/>
        <w:rPr>
          <w:rFonts w:ascii="Times New Roman" w:hAnsi="Times New Roman"/>
          <w:sz w:val="28"/>
          <w:szCs w:val="28"/>
        </w:rPr>
      </w:pPr>
      <w:r>
        <w:rPr>
          <w:rFonts w:ascii="Times New Roman" w:hAnsi="Times New Roman" w:eastAsia="Times New Roman"/>
          <w:sz w:val="28"/>
          <w:szCs w:val="28"/>
        </w:rPr>
        <w:t xml:space="preserve">Нерешенные проблемы в сфере ЖКХ часто становятся причиной недовольства и конфликтов между гражданами и управляющими компаниями.</w:t>
      </w:r>
      <w:r>
        <w:rPr>
          <w:rFonts w:ascii="Times New Roman" w:hAnsi="Times New Roman"/>
          <w:sz w:val="28"/>
          <w:szCs w:val="28"/>
        </w:rPr>
      </w:r>
      <w:r>
        <w:rPr>
          <w:rFonts w:ascii="Times New Roman" w:hAnsi="Times New Roman"/>
          <w:sz w:val="28"/>
          <w:szCs w:val="28"/>
        </w:rPr>
      </w:r>
    </w:p>
    <w:p>
      <w:pPr>
        <w:ind w:firstLine="708"/>
        <w:jc w:val="both"/>
        <w:spacing w:after="0"/>
        <w:rPr>
          <w:rFonts w:ascii="Times New Roman" w:hAnsi="Times New Roman"/>
          <w:sz w:val="28"/>
          <w:szCs w:val="28"/>
        </w:rPr>
      </w:pPr>
      <w:r>
        <w:rPr>
          <w:rFonts w:ascii="Times New Roman" w:hAnsi="Times New Roman" w:eastAsia="Times New Roman"/>
          <w:sz w:val="28"/>
          <w:szCs w:val="28"/>
        </w:rPr>
        <w:t xml:space="preserve">Бесплатные приемы позволяют оперативно реагировать на обращения, что снижает уровень социальной напряженности и повышает доверие к власти и институтам защиты прав.</w:t>
      </w:r>
      <w:r>
        <w:rPr>
          <w:rFonts w:ascii="Times New Roman" w:hAnsi="Times New Roman"/>
          <w:sz w:val="28"/>
          <w:szCs w:val="28"/>
        </w:rPr>
      </w:r>
      <w:r>
        <w:rPr>
          <w:rFonts w:ascii="Times New Roman" w:hAnsi="Times New Roman"/>
          <w:sz w:val="28"/>
          <w:szCs w:val="28"/>
        </w:rPr>
      </w:r>
    </w:p>
    <w:p>
      <w:pPr>
        <w:jc w:val="both"/>
        <w:spacing w:after="0"/>
        <w:rPr>
          <w:rFonts w:ascii="Times New Roman" w:hAnsi="Times New Roman"/>
          <w:sz w:val="28"/>
          <w:szCs w:val="28"/>
        </w:rPr>
      </w:pPr>
      <w:r>
        <w:rPr>
          <w:rFonts w:ascii="Times New Roman" w:hAnsi="Times New Roman"/>
          <w:sz w:val="28"/>
          <w:szCs w:val="28"/>
        </w:rPr>
      </w:r>
      <w:r>
        <w:rPr>
          <w:rFonts w:ascii="Times New Roman" w:hAnsi="Times New Roman"/>
          <w:sz w:val="28"/>
          <w:szCs w:val="28"/>
        </w:rPr>
      </w:r>
      <w:r>
        <w:rPr>
          <w:rFonts w:ascii="Times New Roman" w:hAnsi="Times New Roman"/>
          <w:sz w:val="28"/>
          <w:szCs w:val="28"/>
        </w:rPr>
      </w:r>
    </w:p>
    <w:p>
      <w:pPr>
        <w:pStyle w:val="1226"/>
        <w:rPr>
          <w:rFonts w:ascii="Times New Roman" w:hAnsi="Times New Roman"/>
          <w:b/>
          <w:color w:val="000000" w:themeColor="text1"/>
          <w:sz w:val="28"/>
          <w:szCs w:val="28"/>
        </w:rPr>
      </w:pPr>
      <w:r/>
      <w:bookmarkStart w:id="30" w:name="_Toc8"/>
      <w:r>
        <w:rPr>
          <w:rStyle w:val="1252"/>
          <w:rFonts w:ascii="Times New Roman" w:hAnsi="Times New Roman" w:eastAsia="Times New Roman" w:cs="Times New Roman"/>
          <w:color w:val="000000" w:themeColor="text1"/>
          <w:sz w:val="28"/>
          <w:szCs w:val="28"/>
        </w:rPr>
        <w:t xml:space="preserve">Уполномоченный рекомендует</w:t>
      </w:r>
      <w:r>
        <w:rPr>
          <w:rFonts w:ascii="Times New Roman" w:hAnsi="Times New Roman"/>
          <w:b/>
          <w:color w:val="000000" w:themeColor="text1"/>
          <w:sz w:val="28"/>
          <w:szCs w:val="28"/>
        </w:rPr>
        <w:t xml:space="preserve">:</w:t>
      </w:r>
      <w:r>
        <w:rPr>
          <w:rFonts w:ascii="Times New Roman" w:hAnsi="Times New Roman"/>
          <w:b/>
          <w:color w:val="000000" w:themeColor="text1"/>
          <w:sz w:val="28"/>
          <w:szCs w:val="28"/>
        </w:rPr>
      </w:r>
      <w:bookmarkEnd w:id="30"/>
      <w:r>
        <w:rPr>
          <w:rFonts w:ascii="Times New Roman" w:hAnsi="Times New Roman"/>
          <w:b/>
          <w:color w:val="000000" w:themeColor="text1"/>
          <w:sz w:val="28"/>
          <w:szCs w:val="28"/>
        </w:rPr>
      </w:r>
      <w:r>
        <w:rPr>
          <w:rFonts w:ascii="Times New Roman" w:hAnsi="Times New Roman"/>
          <w:b/>
          <w:color w:val="000000" w:themeColor="text1"/>
          <w:sz w:val="28"/>
          <w:szCs w:val="28"/>
        </w:rPr>
      </w:r>
    </w:p>
    <w:p>
      <w:pPr>
        <w:jc w:val="both"/>
        <w:spacing w:after="0"/>
        <w:rPr>
          <w:rFonts w:ascii="Times New Roman" w:hAnsi="Times New Roman"/>
          <w:b/>
          <w:color w:val="ff0000"/>
          <w:sz w:val="28"/>
          <w:szCs w:val="28"/>
        </w:rPr>
      </w:pPr>
      <w:r>
        <w:rPr>
          <w:rFonts w:ascii="Times New Roman" w:hAnsi="Times New Roman"/>
          <w:b/>
          <w:color w:val="ff0000"/>
          <w:sz w:val="28"/>
          <w:szCs w:val="28"/>
        </w:rPr>
      </w:r>
      <w:r>
        <w:rPr>
          <w:rFonts w:ascii="Times New Roman" w:hAnsi="Times New Roman"/>
          <w:b/>
          <w:color w:val="ff0000"/>
          <w:sz w:val="28"/>
          <w:szCs w:val="28"/>
        </w:rPr>
      </w:r>
      <w:r>
        <w:rPr>
          <w:rFonts w:ascii="Times New Roman" w:hAnsi="Times New Roman"/>
          <w:b/>
          <w:color w:val="ff0000"/>
          <w:sz w:val="28"/>
          <w:szCs w:val="28"/>
        </w:rPr>
      </w:r>
    </w:p>
    <w:p>
      <w:pPr>
        <w:ind w:firstLine="709"/>
        <w:jc w:val="both"/>
        <w:spacing w:after="0"/>
        <w:rPr>
          <w:rFonts w:ascii="Times New Roman" w:hAnsi="Times New Roman"/>
          <w:b/>
          <w:i/>
          <w:color w:val="000000" w:themeColor="text1"/>
          <w:sz w:val="28"/>
          <w:szCs w:val="28"/>
        </w:rPr>
      </w:pPr>
      <w:r>
        <w:rPr>
          <w:rFonts w:ascii="Times New Roman" w:hAnsi="Times New Roman"/>
          <w:b/>
          <w:i/>
          <w:color w:val="000000" w:themeColor="text1"/>
          <w:sz w:val="28"/>
          <w:szCs w:val="28"/>
        </w:rPr>
        <w:t xml:space="preserve">Правительству Ивановской области:</w:t>
      </w:r>
      <w:r>
        <w:rPr>
          <w:rFonts w:ascii="Times New Roman" w:hAnsi="Times New Roman"/>
          <w:b/>
          <w:i/>
          <w:color w:val="000000" w:themeColor="text1"/>
          <w:sz w:val="28"/>
          <w:szCs w:val="28"/>
        </w:rPr>
      </w:r>
      <w:r>
        <w:rPr>
          <w:rFonts w:ascii="Times New Roman" w:hAnsi="Times New Roman"/>
          <w:b/>
          <w:i/>
          <w:color w:val="000000" w:themeColor="text1"/>
          <w:sz w:val="28"/>
          <w:szCs w:val="28"/>
        </w:rPr>
      </w:r>
    </w:p>
    <w:p>
      <w:pPr>
        <w:pStyle w:val="1227"/>
        <w:numPr>
          <w:ilvl w:val="0"/>
          <w:numId w:val="111"/>
        </w:numPr>
        <w:ind w:left="0" w:firstLine="709"/>
        <w:jc w:val="both"/>
        <w:spacing w:line="276" w:lineRule="auto"/>
        <w:rPr>
          <w:color w:val="000000" w:themeColor="text1"/>
          <w:lang w:val="ru-RU"/>
        </w:rPr>
      </w:pPr>
      <w:r>
        <w:rPr>
          <w:rFonts w:ascii="Times New Roman" w:hAnsi="Times New Roman"/>
          <w:color w:val="000000" w:themeColor="text1"/>
          <w:sz w:val="28"/>
          <w:szCs w:val="28"/>
          <w:lang w:val="ru-RU"/>
        </w:rPr>
        <w:t xml:space="preserve"> разработать  план поэтапного сокращения очереди на жилье для детей-сирот с указанием ежегодных целевых показателей;</w:t>
      </w:r>
      <w:r>
        <w:rPr>
          <w:color w:val="000000" w:themeColor="text1"/>
          <w:lang w:val="ru-RU"/>
        </w:rPr>
      </w:r>
      <w:r>
        <w:rPr>
          <w:color w:val="000000" w:themeColor="text1"/>
          <w:lang w:val="ru-RU"/>
        </w:rPr>
      </w:r>
    </w:p>
    <w:p>
      <w:pPr>
        <w:pStyle w:val="1227"/>
        <w:numPr>
          <w:ilvl w:val="0"/>
          <w:numId w:val="111"/>
        </w:numPr>
        <w:ind w:left="0" w:firstLine="709"/>
        <w:jc w:val="both"/>
        <w:spacing w:line="276" w:lineRule="auto"/>
        <w:rPr>
          <w:lang w:val="ru-RU"/>
        </w:rPr>
      </w:pPr>
      <w:r>
        <w:rPr>
          <w:rFonts w:ascii="Times New Roman" w:hAnsi="Times New Roman"/>
          <w:color w:val="000000" w:themeColor="text1"/>
          <w:sz w:val="28"/>
          <w:szCs w:val="28"/>
          <w:lang w:val="ru-RU"/>
        </w:rPr>
        <w:t xml:space="preserve"> усилить координацию между Департаментом жилищно-коммунального хозяйства и органами местного самоуправления для ускорения переселения граждан из аварийного жилья в рамках региональной программы на 2024–2030 годы;</w:t>
      </w:r>
      <w:r>
        <w:rPr>
          <w:lang w:val="ru-RU"/>
        </w:rPr>
      </w:r>
      <w:r>
        <w:rPr>
          <w:lang w:val="ru-RU"/>
        </w:rPr>
      </w:r>
    </w:p>
    <w:p>
      <w:pPr>
        <w:pStyle w:val="1227"/>
        <w:numPr>
          <w:ilvl w:val="0"/>
          <w:numId w:val="111"/>
        </w:numPr>
        <w:ind w:left="0" w:firstLine="709"/>
        <w:jc w:val="both"/>
        <w:spacing w:line="276" w:lineRule="auto"/>
        <w:rPr>
          <w:rFonts w:ascii="Times New Roman" w:hAnsi="Times New Roman"/>
          <w:color w:val="000000" w:themeColor="text1"/>
          <w:sz w:val="28"/>
          <w:szCs w:val="28"/>
          <w:lang w:val="ru-RU"/>
        </w:rPr>
      </w:pPr>
      <w:r>
        <w:rPr>
          <w:rFonts w:ascii="Times New Roman" w:hAnsi="Times New Roman"/>
          <w:color w:val="000000" w:themeColor="text1"/>
          <w:sz w:val="28"/>
          <w:szCs w:val="28"/>
          <w:lang w:val="ru-RU"/>
        </w:rPr>
        <w:t xml:space="preserve">обеспечить ежеквартальную публикацию на официальном сайте Правительства и в </w:t>
      </w:r>
      <w:r>
        <w:rPr>
          <w:rFonts w:ascii="Times New Roman" w:hAnsi="Times New Roman"/>
          <w:color w:val="000000" w:themeColor="text1"/>
          <w:sz w:val="28"/>
          <w:szCs w:val="28"/>
          <w:lang w:val="ru-RU"/>
        </w:rPr>
        <w:t xml:space="preserve">СМИ</w:t>
      </w:r>
      <w:r>
        <w:rPr>
          <w:rFonts w:ascii="Times New Roman" w:hAnsi="Times New Roman"/>
          <w:color w:val="000000" w:themeColor="text1"/>
          <w:sz w:val="28"/>
          <w:szCs w:val="28"/>
          <w:lang w:val="ru-RU"/>
        </w:rPr>
        <w:t xml:space="preserve"> данных о ходе реализации программы переселения из аварийного жилья;</w:t>
      </w:r>
      <w:r>
        <w:rPr>
          <w:rFonts w:ascii="Times New Roman" w:hAnsi="Times New Roman"/>
          <w:color w:val="000000" w:themeColor="text1"/>
          <w:sz w:val="28"/>
          <w:szCs w:val="28"/>
          <w:lang w:val="ru-RU"/>
        </w:rPr>
      </w:r>
      <w:r>
        <w:rPr>
          <w:rFonts w:ascii="Times New Roman" w:hAnsi="Times New Roman"/>
          <w:color w:val="000000" w:themeColor="text1"/>
          <w:sz w:val="28"/>
          <w:szCs w:val="28"/>
          <w:lang w:val="ru-RU"/>
        </w:rPr>
      </w:r>
    </w:p>
    <w:p>
      <w:pPr>
        <w:pStyle w:val="1227"/>
        <w:numPr>
          <w:ilvl w:val="0"/>
          <w:numId w:val="111"/>
        </w:numPr>
        <w:ind w:left="0" w:firstLine="709"/>
        <w:jc w:val="both"/>
        <w:spacing w:line="276" w:lineRule="auto"/>
        <w:rPr>
          <w:rFonts w:ascii="Times New Roman" w:hAnsi="Times New Roman"/>
          <w:color w:val="000000" w:themeColor="text1"/>
          <w:sz w:val="28"/>
          <w:szCs w:val="28"/>
          <w:lang w:val="ru-RU"/>
        </w:rPr>
      </w:pPr>
      <w:r>
        <w:rPr>
          <w:rFonts w:ascii="Times New Roman" w:hAnsi="Times New Roman"/>
          <w:color w:val="000000" w:themeColor="text1"/>
          <w:sz w:val="28"/>
          <w:szCs w:val="28"/>
          <w:lang w:val="ru-RU"/>
        </w:rPr>
        <w:t xml:space="preserve">предусмотреть меры по расширению программ сопровождения выпускников организаций для детей</w:t>
      </w:r>
      <w:r>
        <w:rPr>
          <w:rFonts w:ascii="MS Mincho" w:hAnsi="MS Mincho" w:eastAsia="MS Mincho" w:cs="MS Mincho"/>
          <w:color w:val="000000" w:themeColor="text1"/>
          <w:sz w:val="28"/>
          <w:szCs w:val="28"/>
          <w:lang w:val="ru-RU"/>
        </w:rPr>
        <w:t xml:space="preserve">-</w:t>
      </w:r>
      <w:r>
        <w:rPr>
          <w:rFonts w:ascii="Times New Roman" w:hAnsi="Times New Roman"/>
          <w:color w:val="000000" w:themeColor="text1"/>
          <w:sz w:val="28"/>
          <w:szCs w:val="28"/>
          <w:lang w:val="ru-RU"/>
        </w:rPr>
        <w:t xml:space="preserve">сирот после получения жилья, включающих юридическую, психологическую и социальную поддержку, а также обучение навыкам самостоятельного ведения хозяйства и управления жилым помещением.</w:t>
      </w:r>
      <w:r>
        <w:rPr>
          <w:rFonts w:ascii="Times New Roman" w:hAnsi="Times New Roman"/>
          <w:color w:val="000000" w:themeColor="text1"/>
          <w:sz w:val="28"/>
          <w:szCs w:val="28"/>
          <w:lang w:val="ru-RU"/>
        </w:rPr>
      </w:r>
      <w:r>
        <w:rPr>
          <w:rFonts w:ascii="Times New Roman" w:hAnsi="Times New Roman"/>
          <w:color w:val="000000" w:themeColor="text1"/>
          <w:sz w:val="28"/>
          <w:szCs w:val="28"/>
          <w:lang w:val="ru-RU"/>
        </w:rPr>
      </w:r>
    </w:p>
    <w:p>
      <w:pPr>
        <w:pStyle w:val="1227"/>
        <w:ind w:left="709"/>
        <w:jc w:val="both"/>
        <w:spacing w:line="276" w:lineRule="auto"/>
        <w:rPr>
          <w:rFonts w:ascii="Times New Roman" w:hAnsi="Times New Roman"/>
          <w:color w:val="000000" w:themeColor="text1"/>
          <w:sz w:val="28"/>
          <w:szCs w:val="28"/>
          <w:lang w:val="ru-RU"/>
        </w:rPr>
      </w:pPr>
      <w:r>
        <w:rPr>
          <w:rFonts w:ascii="Times New Roman" w:hAnsi="Times New Roman"/>
          <w:color w:val="000000" w:themeColor="text1"/>
          <w:sz w:val="28"/>
          <w:szCs w:val="28"/>
          <w:lang w:val="ru-RU"/>
        </w:rPr>
      </w:r>
      <w:r>
        <w:rPr>
          <w:rFonts w:ascii="Times New Roman" w:hAnsi="Times New Roman"/>
          <w:color w:val="000000" w:themeColor="text1"/>
          <w:sz w:val="28"/>
          <w:szCs w:val="28"/>
          <w:lang w:val="ru-RU"/>
        </w:rPr>
      </w:r>
      <w:r>
        <w:rPr>
          <w:rFonts w:ascii="Times New Roman" w:hAnsi="Times New Roman"/>
          <w:color w:val="000000" w:themeColor="text1"/>
          <w:sz w:val="28"/>
          <w:szCs w:val="28"/>
          <w:lang w:val="ru-RU"/>
        </w:rPr>
      </w:r>
    </w:p>
    <w:p>
      <w:pPr>
        <w:ind w:firstLine="708"/>
        <w:jc w:val="both"/>
        <w:spacing w:after="0"/>
        <w:rPr>
          <w:rFonts w:ascii="Times New Roman" w:hAnsi="Times New Roman" w:eastAsia="Times New Roman"/>
          <w:b/>
          <w:bCs/>
          <w:i/>
          <w:sz w:val="28"/>
          <w:szCs w:val="28"/>
        </w:rPr>
      </w:pPr>
      <w:r>
        <w:rPr>
          <w:rFonts w:ascii="Times New Roman" w:hAnsi="Times New Roman" w:eastAsia="Times New Roman"/>
          <w:b/>
          <w:bCs/>
          <w:i/>
          <w:sz w:val="28"/>
          <w:szCs w:val="28"/>
        </w:rPr>
        <w:t xml:space="preserve">Службе государственной жилищной инспекции Ивановской области:</w:t>
      </w:r>
      <w:r>
        <w:rPr>
          <w:rFonts w:ascii="Times New Roman" w:hAnsi="Times New Roman" w:eastAsia="Times New Roman"/>
          <w:b/>
          <w:bCs/>
          <w:i/>
          <w:sz w:val="28"/>
          <w:szCs w:val="28"/>
        </w:rPr>
      </w:r>
      <w:r>
        <w:rPr>
          <w:rFonts w:ascii="Times New Roman" w:hAnsi="Times New Roman" w:eastAsia="Times New Roman"/>
          <w:b/>
          <w:bCs/>
          <w:i/>
          <w:sz w:val="28"/>
          <w:szCs w:val="28"/>
        </w:rPr>
      </w:r>
    </w:p>
    <w:p>
      <w:pPr>
        <w:pStyle w:val="1227"/>
        <w:numPr>
          <w:ilvl w:val="0"/>
          <w:numId w:val="122"/>
        </w:numPr>
        <w:ind w:left="0" w:firstLine="709"/>
        <w:jc w:val="both"/>
        <w:rPr>
          <w:rFonts w:ascii="Times New Roman" w:hAnsi="Times New Roman"/>
          <w:sz w:val="28"/>
          <w:szCs w:val="28"/>
          <w:lang w:val="ru-RU"/>
        </w:rPr>
      </w:pPr>
      <w:r>
        <w:rPr>
          <w:rFonts w:ascii="Times New Roman" w:hAnsi="Times New Roman"/>
          <w:sz w:val="28"/>
          <w:szCs w:val="28"/>
          <w:lang w:val="ru-RU"/>
        </w:rPr>
        <w:t xml:space="preserve">усилить </w:t>
      </w:r>
      <w:r>
        <w:rPr>
          <w:rFonts w:ascii="Times New Roman" w:hAnsi="Times New Roman"/>
          <w:sz w:val="28"/>
          <w:szCs w:val="28"/>
          <w:lang w:val="ru-RU"/>
        </w:rPr>
        <w:t xml:space="preserve">контроль за</w:t>
      </w:r>
      <w:r>
        <w:rPr>
          <w:rFonts w:ascii="Times New Roman" w:hAnsi="Times New Roman"/>
          <w:sz w:val="28"/>
          <w:szCs w:val="28"/>
          <w:lang w:val="ru-RU"/>
        </w:rPr>
        <w:t xml:space="preserve"> соблюдением жилищных прав граждан, включая своевременное реагирование на нарушения;</w:t>
      </w:r>
      <w:r>
        <w:rPr>
          <w:rFonts w:ascii="Times New Roman" w:hAnsi="Times New Roman"/>
          <w:sz w:val="28"/>
          <w:szCs w:val="28"/>
          <w:lang w:val="ru-RU"/>
        </w:rPr>
      </w:r>
      <w:r>
        <w:rPr>
          <w:rFonts w:ascii="Times New Roman" w:hAnsi="Times New Roman"/>
          <w:sz w:val="28"/>
          <w:szCs w:val="28"/>
          <w:lang w:val="ru-RU"/>
        </w:rPr>
      </w:r>
    </w:p>
    <w:p>
      <w:pPr>
        <w:pStyle w:val="1227"/>
        <w:numPr>
          <w:ilvl w:val="0"/>
          <w:numId w:val="116"/>
        </w:numPr>
        <w:ind w:left="0" w:firstLine="709"/>
        <w:jc w:val="both"/>
        <w:spacing w:line="276" w:lineRule="auto"/>
        <w:rPr>
          <w:rFonts w:ascii="Times New Roman" w:hAnsi="Times New Roman"/>
          <w:sz w:val="28"/>
          <w:szCs w:val="28"/>
          <w:lang w:val="ru-RU"/>
        </w:rPr>
      </w:pPr>
      <w:r>
        <w:rPr>
          <w:rFonts w:ascii="Times New Roman" w:hAnsi="Times New Roman" w:eastAsia="Times New Roman"/>
          <w:sz w:val="28"/>
          <w:szCs w:val="28"/>
          <w:lang w:val="ru-RU"/>
        </w:rPr>
        <w:t xml:space="preserve">предусмотреть совместные приемы граждан со службой регионального уполномоченного по вопросам оказания квалифицированной юридической помощи заявителям (по отдельному графику).</w:t>
      </w:r>
      <w:r>
        <w:rPr>
          <w:rFonts w:ascii="Times New Roman" w:hAnsi="Times New Roman"/>
          <w:sz w:val="28"/>
          <w:szCs w:val="28"/>
          <w:lang w:val="ru-RU"/>
        </w:rPr>
      </w:r>
      <w:r>
        <w:rPr>
          <w:rFonts w:ascii="Times New Roman" w:hAnsi="Times New Roman"/>
          <w:sz w:val="28"/>
          <w:szCs w:val="28"/>
          <w:lang w:val="ru-RU"/>
        </w:rPr>
      </w:r>
    </w:p>
    <w:p>
      <w:pPr>
        <w:pStyle w:val="1227"/>
        <w:ind w:left="709"/>
        <w:jc w:val="both"/>
        <w:spacing w:line="276" w:lineRule="auto"/>
        <w:rPr>
          <w:rFonts w:ascii="Times New Roman" w:hAnsi="Times New Roman"/>
          <w:sz w:val="28"/>
          <w:szCs w:val="28"/>
          <w:lang w:val="ru-RU"/>
        </w:rPr>
      </w:pPr>
      <w:r>
        <w:rPr>
          <w:rFonts w:ascii="Times New Roman" w:hAnsi="Times New Roman"/>
          <w:sz w:val="28"/>
          <w:szCs w:val="28"/>
          <w:lang w:val="ru-RU"/>
        </w:rPr>
      </w:r>
      <w:r>
        <w:rPr>
          <w:rFonts w:ascii="Times New Roman" w:hAnsi="Times New Roman"/>
          <w:sz w:val="28"/>
          <w:szCs w:val="28"/>
          <w:lang w:val="ru-RU"/>
        </w:rPr>
      </w:r>
      <w:r>
        <w:rPr>
          <w:rFonts w:ascii="Times New Roman" w:hAnsi="Times New Roman"/>
          <w:sz w:val="28"/>
          <w:szCs w:val="28"/>
          <w:lang w:val="ru-RU"/>
        </w:rPr>
      </w:r>
    </w:p>
    <w:p>
      <w:pPr>
        <w:ind w:firstLine="708"/>
        <w:jc w:val="both"/>
        <w:spacing w:after="0"/>
        <w:rPr>
          <w:rFonts w:ascii="Times New Roman" w:hAnsi="Times New Roman"/>
          <w:b/>
          <w:bCs/>
          <w:i/>
          <w:color w:val="000000" w:themeColor="text1"/>
          <w:sz w:val="28"/>
          <w:szCs w:val="28"/>
        </w:rPr>
      </w:pPr>
      <w:r>
        <w:rPr>
          <w:rFonts w:ascii="Times New Roman" w:hAnsi="Times New Roman"/>
          <w:b/>
          <w:bCs/>
          <w:i/>
          <w:iCs/>
          <w:color w:val="000000" w:themeColor="text1"/>
          <w:sz w:val="28"/>
          <w:szCs w:val="28"/>
        </w:rPr>
        <w:t xml:space="preserve">Органам местного самоуправления: </w:t>
      </w:r>
      <w:r>
        <w:rPr>
          <w:rFonts w:ascii="Times New Roman" w:hAnsi="Times New Roman"/>
          <w:b/>
          <w:bCs/>
          <w:i/>
          <w:color w:val="000000" w:themeColor="text1"/>
          <w:sz w:val="28"/>
          <w:szCs w:val="28"/>
        </w:rPr>
      </w:r>
      <w:r>
        <w:rPr>
          <w:rFonts w:ascii="Times New Roman" w:hAnsi="Times New Roman"/>
          <w:b/>
          <w:bCs/>
          <w:i/>
          <w:color w:val="000000" w:themeColor="text1"/>
          <w:sz w:val="28"/>
          <w:szCs w:val="28"/>
        </w:rPr>
      </w:r>
    </w:p>
    <w:p>
      <w:pPr>
        <w:pStyle w:val="1227"/>
        <w:numPr>
          <w:ilvl w:val="0"/>
          <w:numId w:val="112"/>
        </w:numPr>
        <w:ind w:left="0" w:firstLine="709"/>
        <w:jc w:val="both"/>
        <w:spacing w:line="276" w:lineRule="auto"/>
        <w:rPr>
          <w:rFonts w:ascii="Times New Roman" w:hAnsi="Times New Roman"/>
          <w:color w:val="000000" w:themeColor="text1"/>
          <w:sz w:val="28"/>
          <w:szCs w:val="28"/>
          <w:lang w:val="ru-RU"/>
        </w:rPr>
      </w:pPr>
      <w:r>
        <w:rPr>
          <w:rFonts w:ascii="Times New Roman" w:hAnsi="Times New Roman"/>
          <w:color w:val="000000" w:themeColor="text1"/>
          <w:sz w:val="28"/>
          <w:szCs w:val="28"/>
          <w:lang w:val="ru-RU"/>
        </w:rPr>
        <w:t xml:space="preserve">провести инвентаризацию объектов маневренного фонда на подведомственных территориях, установив четкие сроки приведения помещений в соответствие с санитарными и техническими нормами;</w:t>
      </w:r>
      <w:r>
        <w:rPr>
          <w:rFonts w:ascii="Times New Roman" w:hAnsi="Times New Roman"/>
          <w:color w:val="000000" w:themeColor="text1"/>
          <w:sz w:val="28"/>
          <w:szCs w:val="28"/>
          <w:lang w:val="ru-RU"/>
        </w:rPr>
      </w:r>
      <w:r>
        <w:rPr>
          <w:rFonts w:ascii="Times New Roman" w:hAnsi="Times New Roman"/>
          <w:color w:val="000000" w:themeColor="text1"/>
          <w:sz w:val="28"/>
          <w:szCs w:val="28"/>
          <w:lang w:val="ru-RU"/>
        </w:rPr>
      </w:r>
    </w:p>
    <w:p>
      <w:pPr>
        <w:pStyle w:val="1227"/>
        <w:numPr>
          <w:ilvl w:val="0"/>
          <w:numId w:val="112"/>
        </w:numPr>
        <w:ind w:left="0" w:firstLine="709"/>
        <w:jc w:val="both"/>
        <w:spacing w:line="276" w:lineRule="auto"/>
        <w:rPr>
          <w:rFonts w:ascii="Times New Roman" w:hAnsi="Times New Roman"/>
          <w:color w:val="000000" w:themeColor="text1"/>
          <w:sz w:val="28"/>
          <w:szCs w:val="28"/>
          <w:lang w:val="ru-RU"/>
        </w:rPr>
      </w:pPr>
      <w:r>
        <w:rPr>
          <w:rFonts w:ascii="Times New Roman" w:hAnsi="Times New Roman"/>
          <w:color w:val="000000" w:themeColor="text1"/>
          <w:sz w:val="28"/>
          <w:szCs w:val="28"/>
          <w:lang w:val="ru-RU"/>
        </w:rPr>
        <w:t xml:space="preserve">обеспечить оперативное предоставление временного жилья гражданам, проживающим в аварийных домах;</w:t>
      </w:r>
      <w:r>
        <w:rPr>
          <w:rFonts w:ascii="Times New Roman" w:hAnsi="Times New Roman"/>
          <w:color w:val="000000" w:themeColor="text1"/>
          <w:sz w:val="28"/>
          <w:szCs w:val="28"/>
          <w:lang w:val="ru-RU"/>
        </w:rPr>
      </w:r>
      <w:r>
        <w:rPr>
          <w:rFonts w:ascii="Times New Roman" w:hAnsi="Times New Roman"/>
          <w:color w:val="000000" w:themeColor="text1"/>
          <w:sz w:val="28"/>
          <w:szCs w:val="28"/>
          <w:lang w:val="ru-RU"/>
        </w:rPr>
      </w:r>
    </w:p>
    <w:p>
      <w:pPr>
        <w:pStyle w:val="1227"/>
        <w:numPr>
          <w:ilvl w:val="0"/>
          <w:numId w:val="112"/>
        </w:numPr>
        <w:ind w:left="0" w:firstLine="709"/>
        <w:jc w:val="both"/>
        <w:spacing w:line="276" w:lineRule="auto"/>
        <w:rPr>
          <w:rFonts w:ascii="Times New Roman" w:hAnsi="Times New Roman"/>
          <w:color w:val="000000" w:themeColor="text1"/>
          <w:sz w:val="28"/>
          <w:szCs w:val="28"/>
          <w:lang w:val="ru-RU"/>
        </w:rPr>
      </w:pPr>
      <w:r>
        <w:rPr>
          <w:rFonts w:ascii="Times New Roman" w:hAnsi="Times New Roman"/>
          <w:color w:val="000000" w:themeColor="text1"/>
          <w:sz w:val="28"/>
          <w:szCs w:val="28"/>
          <w:lang w:val="ru-RU"/>
        </w:rPr>
        <w:t xml:space="preserve">провести на территории муниципальных образований аудит жилья, занимаемого инвалидами, с целью выявления объектов, не адаптированных под их потребности (отсутствие пандусов, подъемников, поручней и т. д.);</w:t>
      </w:r>
      <w:r>
        <w:rPr>
          <w:rFonts w:ascii="Times New Roman" w:hAnsi="Times New Roman"/>
          <w:color w:val="000000" w:themeColor="text1"/>
          <w:sz w:val="28"/>
          <w:szCs w:val="28"/>
          <w:lang w:val="ru-RU"/>
        </w:rPr>
      </w:r>
      <w:r>
        <w:rPr>
          <w:rFonts w:ascii="Times New Roman" w:hAnsi="Times New Roman"/>
          <w:color w:val="000000" w:themeColor="text1"/>
          <w:sz w:val="28"/>
          <w:szCs w:val="28"/>
          <w:lang w:val="ru-RU"/>
        </w:rPr>
      </w:r>
    </w:p>
    <w:p>
      <w:pPr>
        <w:pStyle w:val="1227"/>
        <w:numPr>
          <w:ilvl w:val="0"/>
          <w:numId w:val="112"/>
        </w:numPr>
        <w:ind w:left="0" w:firstLine="709"/>
        <w:jc w:val="both"/>
        <w:spacing w:line="276" w:lineRule="auto"/>
        <w:rPr>
          <w:rFonts w:ascii="Times New Roman" w:hAnsi="Times New Roman"/>
          <w:color w:val="000000" w:themeColor="text1"/>
          <w:sz w:val="28"/>
          <w:szCs w:val="28"/>
          <w:lang w:val="ru-RU"/>
        </w:rPr>
      </w:pPr>
      <w:r>
        <w:rPr>
          <w:rFonts w:ascii="Times New Roman" w:hAnsi="Times New Roman"/>
          <w:color w:val="000000" w:themeColor="text1"/>
          <w:sz w:val="28"/>
          <w:szCs w:val="28"/>
          <w:lang w:val="ru-RU"/>
        </w:rPr>
        <w:t xml:space="preserve">организовать на муниципальном уровне регулярные встречи с представителями льготных категорий граждан (дети</w:t>
      </w:r>
      <w:r>
        <w:rPr>
          <w:rFonts w:ascii="MS Mincho" w:hAnsi="MS Mincho" w:eastAsia="MS Mincho" w:cs="MS Mincho"/>
          <w:color w:val="000000" w:themeColor="text1"/>
          <w:sz w:val="28"/>
          <w:szCs w:val="28"/>
          <w:lang w:val="ru-RU"/>
        </w:rPr>
        <w:t xml:space="preserve">-</w:t>
      </w:r>
      <w:r>
        <w:rPr>
          <w:rFonts w:ascii="Times New Roman" w:hAnsi="Times New Roman"/>
          <w:color w:val="000000" w:themeColor="text1"/>
          <w:sz w:val="28"/>
          <w:szCs w:val="28"/>
          <w:lang w:val="ru-RU"/>
        </w:rPr>
        <w:t xml:space="preserve">сироты, инвалиды, ветераны и др.) для разъяснения их прав и возможностей в сфере обеспечения жильем;</w:t>
      </w:r>
      <w:r>
        <w:rPr>
          <w:rFonts w:ascii="Times New Roman" w:hAnsi="Times New Roman"/>
          <w:color w:val="000000" w:themeColor="text1"/>
          <w:sz w:val="28"/>
          <w:szCs w:val="28"/>
          <w:lang w:val="ru-RU"/>
        </w:rPr>
      </w:r>
      <w:r>
        <w:rPr>
          <w:rFonts w:ascii="Times New Roman" w:hAnsi="Times New Roman"/>
          <w:color w:val="000000" w:themeColor="text1"/>
          <w:sz w:val="28"/>
          <w:szCs w:val="28"/>
          <w:lang w:val="ru-RU"/>
        </w:rPr>
      </w:r>
    </w:p>
    <w:p>
      <w:pPr>
        <w:pStyle w:val="1227"/>
        <w:numPr>
          <w:ilvl w:val="0"/>
          <w:numId w:val="112"/>
        </w:numPr>
        <w:ind w:left="0" w:firstLine="709"/>
        <w:jc w:val="both"/>
        <w:spacing w:line="276" w:lineRule="auto"/>
        <w:rPr>
          <w:rFonts w:ascii="Times New Roman" w:hAnsi="Times New Roman"/>
          <w:color w:val="000000" w:themeColor="text1"/>
          <w:sz w:val="28"/>
          <w:szCs w:val="28"/>
          <w:lang w:val="ru-RU"/>
        </w:rPr>
      </w:pPr>
      <w:r>
        <w:rPr>
          <w:rFonts w:ascii="Times New Roman" w:hAnsi="Times New Roman"/>
          <w:color w:val="000000" w:themeColor="text1"/>
          <w:sz w:val="28"/>
          <w:szCs w:val="28"/>
          <w:lang w:val="ru-RU"/>
        </w:rPr>
        <w:t xml:space="preserve">содействовать расширению сети центров социальной адаптации и социальных гостиниц для выпускников организаций для детей</w:t>
      </w:r>
      <w:r>
        <w:rPr>
          <w:rFonts w:ascii="MS Mincho" w:hAnsi="MS Mincho" w:eastAsia="MS Mincho" w:cs="MS Mincho"/>
          <w:color w:val="000000" w:themeColor="text1"/>
          <w:sz w:val="28"/>
          <w:szCs w:val="28"/>
          <w:lang w:val="ru-RU"/>
        </w:rPr>
        <w:t xml:space="preserve">-</w:t>
      </w:r>
      <w:r>
        <w:rPr>
          <w:rFonts w:ascii="Times New Roman" w:hAnsi="Times New Roman"/>
          <w:color w:val="000000" w:themeColor="text1"/>
          <w:sz w:val="28"/>
          <w:szCs w:val="28"/>
          <w:lang w:val="ru-RU"/>
        </w:rPr>
        <w:t xml:space="preserve">сирот с учетом реального спроса на местах.</w:t>
      </w:r>
      <w:r>
        <w:rPr>
          <w:rFonts w:ascii="Times New Roman" w:hAnsi="Times New Roman"/>
          <w:color w:val="000000" w:themeColor="text1"/>
          <w:sz w:val="28"/>
          <w:szCs w:val="28"/>
          <w:lang w:val="ru-RU"/>
        </w:rPr>
      </w:r>
      <w:r>
        <w:rPr>
          <w:rFonts w:ascii="Times New Roman" w:hAnsi="Times New Roman"/>
          <w:color w:val="000000" w:themeColor="text1"/>
          <w:sz w:val="28"/>
          <w:szCs w:val="28"/>
          <w:lang w:val="ru-RU"/>
        </w:rPr>
      </w:r>
    </w:p>
    <w:p>
      <w:pPr>
        <w:jc w:val="both"/>
        <w:spacing w:after="0"/>
        <w:rPr>
          <w:rFonts w:ascii="Times New Roman" w:hAnsi="Times New Roman"/>
          <w:sz w:val="28"/>
          <w:szCs w:val="28"/>
        </w:rPr>
      </w:pPr>
      <w:r>
        <w:rPr>
          <w:rFonts w:ascii="Times New Roman" w:hAnsi="Times New Roman"/>
          <w:sz w:val="28"/>
          <w:szCs w:val="28"/>
        </w:rPr>
      </w:r>
      <w:r>
        <w:rPr>
          <w:rFonts w:ascii="Times New Roman" w:hAnsi="Times New Roman"/>
          <w:sz w:val="28"/>
          <w:szCs w:val="28"/>
        </w:rPr>
      </w:r>
      <w:r>
        <w:rPr>
          <w:rFonts w:ascii="Times New Roman" w:hAnsi="Times New Roman"/>
          <w:sz w:val="28"/>
          <w:szCs w:val="28"/>
        </w:rPr>
      </w:r>
    </w:p>
    <w:p>
      <w:pPr>
        <w:ind w:firstLine="708"/>
        <w:jc w:val="both"/>
        <w:spacing w:after="0"/>
        <w:rPr>
          <w:rFonts w:ascii="Times New Roman" w:hAnsi="Times New Roman"/>
          <w:i/>
          <w:sz w:val="28"/>
          <w:szCs w:val="28"/>
        </w:rPr>
      </w:pPr>
      <w:r>
        <w:rPr>
          <w:rFonts w:ascii="Times New Roman" w:hAnsi="Times New Roman" w:eastAsia="Times New Roman"/>
          <w:b/>
          <w:bCs/>
          <w:i/>
          <w:sz w:val="28"/>
          <w:szCs w:val="28"/>
        </w:rPr>
        <w:t xml:space="preserve">Управляющим компаниям:</w:t>
      </w:r>
      <w:r>
        <w:rPr>
          <w:rFonts w:ascii="Times New Roman" w:hAnsi="Times New Roman"/>
          <w:i/>
          <w:sz w:val="28"/>
          <w:szCs w:val="28"/>
        </w:rPr>
      </w:r>
      <w:r>
        <w:rPr>
          <w:rFonts w:ascii="Times New Roman" w:hAnsi="Times New Roman"/>
          <w:i/>
          <w:sz w:val="28"/>
          <w:szCs w:val="28"/>
        </w:rPr>
      </w:r>
    </w:p>
    <w:p>
      <w:pPr>
        <w:pStyle w:val="1227"/>
        <w:numPr>
          <w:ilvl w:val="0"/>
          <w:numId w:val="115"/>
        </w:numPr>
        <w:ind w:left="0" w:firstLine="709"/>
        <w:jc w:val="both"/>
        <w:spacing w:line="276" w:lineRule="auto"/>
        <w:rPr>
          <w:rFonts w:ascii="Times New Roman" w:hAnsi="Times New Roman"/>
          <w:sz w:val="28"/>
          <w:szCs w:val="28"/>
          <w:lang w:val="ru-RU"/>
        </w:rPr>
      </w:pPr>
      <w:r>
        <w:rPr>
          <w:rFonts w:ascii="Times New Roman" w:hAnsi="Times New Roman" w:eastAsia="Times New Roman"/>
          <w:sz w:val="28"/>
          <w:szCs w:val="28"/>
          <w:lang w:val="ru-RU"/>
        </w:rPr>
        <w:t xml:space="preserve">своевременно и в полном объеме принимать меры к подрядным организациям, допустившим неисполнение принятых договорных обязательств;</w:t>
      </w:r>
      <w:r>
        <w:rPr>
          <w:rFonts w:ascii="Times New Roman" w:hAnsi="Times New Roman"/>
          <w:sz w:val="28"/>
          <w:szCs w:val="28"/>
          <w:lang w:val="ru-RU"/>
        </w:rPr>
      </w:r>
      <w:r>
        <w:rPr>
          <w:rFonts w:ascii="Times New Roman" w:hAnsi="Times New Roman"/>
          <w:sz w:val="28"/>
          <w:szCs w:val="28"/>
          <w:lang w:val="ru-RU"/>
        </w:rPr>
      </w:r>
    </w:p>
    <w:p>
      <w:pPr>
        <w:pStyle w:val="1227"/>
        <w:numPr>
          <w:ilvl w:val="0"/>
          <w:numId w:val="115"/>
        </w:numPr>
        <w:ind w:left="0" w:firstLine="709"/>
        <w:jc w:val="both"/>
        <w:spacing w:line="276" w:lineRule="auto"/>
        <w:rPr>
          <w:rFonts w:ascii="Times New Roman" w:hAnsi="Times New Roman"/>
          <w:sz w:val="28"/>
          <w:szCs w:val="28"/>
          <w:lang w:val="ru-RU"/>
        </w:rPr>
      </w:pPr>
      <w:r>
        <w:rPr>
          <w:rFonts w:ascii="Times New Roman" w:hAnsi="Times New Roman" w:eastAsia="Times New Roman"/>
          <w:sz w:val="28"/>
          <w:szCs w:val="28"/>
          <w:lang w:val="ru-RU"/>
        </w:rPr>
        <w:t xml:space="preserve">обеспечивать своевременное и качественное проведение капитального ремонта общего имущества в многоквартирных домах;</w:t>
      </w:r>
      <w:r>
        <w:rPr>
          <w:rFonts w:ascii="Times New Roman" w:hAnsi="Times New Roman"/>
          <w:sz w:val="28"/>
          <w:szCs w:val="28"/>
          <w:lang w:val="ru-RU"/>
        </w:rPr>
      </w:r>
      <w:r>
        <w:rPr>
          <w:rFonts w:ascii="Times New Roman" w:hAnsi="Times New Roman"/>
          <w:sz w:val="28"/>
          <w:szCs w:val="28"/>
          <w:lang w:val="ru-RU"/>
        </w:rPr>
      </w:r>
    </w:p>
    <w:p>
      <w:pPr>
        <w:pStyle w:val="1227"/>
        <w:numPr>
          <w:ilvl w:val="0"/>
          <w:numId w:val="115"/>
        </w:numPr>
        <w:ind w:left="0" w:firstLine="709"/>
        <w:jc w:val="both"/>
        <w:spacing w:line="276" w:lineRule="auto"/>
        <w:rPr>
          <w:rFonts w:ascii="Times New Roman" w:hAnsi="Times New Roman"/>
          <w:sz w:val="28"/>
          <w:szCs w:val="28"/>
          <w:lang w:val="ru-RU"/>
        </w:rPr>
      </w:pPr>
      <w:r>
        <w:rPr>
          <w:rFonts w:ascii="Times New Roman" w:hAnsi="Times New Roman" w:eastAsia="Times New Roman"/>
          <w:sz w:val="28"/>
          <w:szCs w:val="28"/>
          <w:lang w:val="ru-RU"/>
        </w:rPr>
        <w:t xml:space="preserve">усилить </w:t>
      </w:r>
      <w:r>
        <w:rPr>
          <w:rFonts w:ascii="Times New Roman" w:hAnsi="Times New Roman" w:eastAsia="Times New Roman"/>
          <w:sz w:val="28"/>
          <w:szCs w:val="28"/>
          <w:lang w:val="ru-RU"/>
        </w:rPr>
        <w:t xml:space="preserve">контроль за</w:t>
      </w:r>
      <w:r>
        <w:rPr>
          <w:rFonts w:ascii="Times New Roman" w:hAnsi="Times New Roman" w:eastAsia="Times New Roman"/>
          <w:sz w:val="28"/>
          <w:szCs w:val="28"/>
          <w:lang w:val="ru-RU"/>
        </w:rPr>
        <w:t xml:space="preserve"> качеством капитального ремонта общего имущества в многоквартирных домах, деятельностью подрядных организаций, с которыми заключены договоры на выполнение работ по капитальному ремонту.</w:t>
      </w:r>
      <w:r>
        <w:rPr>
          <w:rFonts w:ascii="Times New Roman" w:hAnsi="Times New Roman"/>
          <w:sz w:val="28"/>
          <w:szCs w:val="28"/>
          <w:lang w:val="ru-RU"/>
        </w:rPr>
      </w:r>
      <w:r>
        <w:rPr>
          <w:rFonts w:ascii="Times New Roman" w:hAnsi="Times New Roman"/>
          <w:sz w:val="28"/>
          <w:szCs w:val="28"/>
          <w:lang w:val="ru-RU"/>
        </w:rPr>
      </w:r>
      <w:r>
        <w:rPr>
          <w:rFonts w:ascii="Times New Roman" w:hAnsi="Times New Roman" w:eastAsia="Times New Roman"/>
          <w:sz w:val="28"/>
          <w:szCs w:val="28"/>
          <w:highlight w:val="none"/>
        </w:rPr>
      </w:r>
      <w:r>
        <w:rPr>
          <w:rFonts w:ascii="Times New Roman" w:hAnsi="Times New Roman" w:eastAsia="Times New Roman"/>
          <w:sz w:val="28"/>
          <w:szCs w:val="28"/>
          <w:highlight w:val="none"/>
        </w:rPr>
      </w:r>
      <w:r>
        <w:rPr>
          <w:rFonts w:ascii="Times New Roman" w:hAnsi="Times New Roman"/>
          <w:sz w:val="28"/>
          <w:szCs w:val="28"/>
          <w:lang w:val="ru-RU"/>
        </w:rPr>
      </w:r>
    </w:p>
    <w:p>
      <w:pPr>
        <w:pStyle w:val="1060"/>
        <w:jc w:val="center"/>
        <w:rPr>
          <w:rFonts w:ascii="Times New Roman" w:hAnsi="Times New Roman" w:cs="Times New Roman"/>
          <w:color w:val="auto"/>
          <w:sz w:val="28"/>
          <w:szCs w:val="28"/>
        </w:rPr>
      </w:pPr>
      <w:r/>
      <w:bookmarkStart w:id="31" w:name="_Toc9"/>
      <w:r>
        <w:rPr>
          <w:rFonts w:ascii="Times New Roman" w:hAnsi="Times New Roman" w:cs="Times New Roman"/>
          <w:color w:val="auto"/>
          <w:sz w:val="28"/>
          <w:szCs w:val="28"/>
        </w:rPr>
        <w:t xml:space="preserve">РАЗДЕЛ 4. ПРАВО НА ОХРАНУ ЗДОРОВЬЯ И МЕДИЦИНСКУЮ ПОМОЩЬ</w:t>
      </w:r>
      <w:r>
        <w:rPr>
          <w:rFonts w:ascii="Times New Roman" w:hAnsi="Times New Roman" w:cs="Times New Roman"/>
          <w:color w:val="auto"/>
          <w:sz w:val="28"/>
          <w:szCs w:val="28"/>
        </w:rPr>
      </w:r>
      <w:bookmarkEnd w:id="31"/>
      <w:r>
        <w:rPr>
          <w:rFonts w:ascii="Times New Roman" w:hAnsi="Times New Roman" w:cs="Times New Roman"/>
          <w:color w:val="auto"/>
          <w:sz w:val="28"/>
          <w:szCs w:val="28"/>
        </w:rPr>
      </w:r>
      <w:r>
        <w:rPr>
          <w:rFonts w:ascii="Times New Roman" w:hAnsi="Times New Roman" w:cs="Times New Roman"/>
          <w:color w:val="auto"/>
          <w:sz w:val="28"/>
          <w:szCs w:val="28"/>
        </w:rPr>
      </w:r>
    </w:p>
    <w:p>
      <w:pPr>
        <w:ind w:firstLine="567"/>
        <w:jc w:val="both"/>
        <w:spacing w:after="0"/>
        <w:rPr>
          <w:rFonts w:ascii="Times New Roman" w:hAnsi="Times New Roman"/>
          <w:sz w:val="28"/>
          <w:szCs w:val="28"/>
        </w:rPr>
      </w:pPr>
      <w:r>
        <w:rPr>
          <w:rFonts w:ascii="Times New Roman" w:hAnsi="Times New Roman"/>
          <w:sz w:val="28"/>
          <w:szCs w:val="28"/>
        </w:rPr>
      </w:r>
      <w:r>
        <w:rPr>
          <w:rFonts w:ascii="Times New Roman" w:hAnsi="Times New Roman"/>
          <w:sz w:val="28"/>
          <w:szCs w:val="28"/>
        </w:rPr>
      </w:r>
      <w:r>
        <w:rPr>
          <w:rFonts w:ascii="Times New Roman" w:hAnsi="Times New Roman"/>
          <w:sz w:val="28"/>
          <w:szCs w:val="28"/>
        </w:rPr>
      </w:r>
    </w:p>
    <w:p>
      <w:pPr>
        <w:ind w:firstLine="709"/>
        <w:jc w:val="both"/>
        <w:spacing w:after="0"/>
      </w:pPr>
      <w:r>
        <w:rPr>
          <w:rFonts w:ascii="Times New Roman" w:hAnsi="Times New Roman"/>
          <w:sz w:val="28"/>
          <w:szCs w:val="28"/>
        </w:rPr>
        <w:t xml:space="preserve">Конституционное право на охрану здоровья и медицинс</w:t>
      </w:r>
      <w:r>
        <w:rPr>
          <w:rFonts w:ascii="Times New Roman" w:hAnsi="Times New Roman"/>
          <w:sz w:val="28"/>
          <w:szCs w:val="28"/>
        </w:rPr>
        <w:t xml:space="preserve">кую помощь - одно из важнейших социальных прав человека и гражданина, закрепленное в статье 41 Конституции Российской Федерации. Оно гарантирует каждому доступ к медицинской помощи, профилактическим мероприятиям и созданию условий для поддержания здоровья.</w:t>
      </w:r>
      <w:r/>
    </w:p>
    <w:p>
      <w:pPr>
        <w:ind w:firstLine="709"/>
        <w:jc w:val="both"/>
        <w:spacing w:after="0"/>
      </w:pPr>
      <w:r>
        <w:rPr>
          <w:rFonts w:ascii="Times New Roman" w:hAnsi="Times New Roman"/>
          <w:sz w:val="28"/>
          <w:szCs w:val="28"/>
        </w:rPr>
        <w:t xml:space="preserve">В 2025 году в адрес Уполномоченного поступило значительное число обращений, касающихся соблюдения этого права: 48 письменных (что на 12 больше по сравнению с аналогичным периодом прошлого года, АППГ- 36) и 194 устных</w:t>
      </w:r>
      <w:r>
        <w:rPr>
          <w:rFonts w:ascii="Times New Roman" w:hAnsi="Times New Roman"/>
          <w:sz w:val="28"/>
          <w:szCs w:val="28"/>
        </w:rPr>
        <w:t xml:space="preserve"> обращения (рост на 45 по сравнению с АППГ </w:t>
      </w:r>
      <w:r>
        <w:rPr>
          <w:rFonts w:ascii="Times New Roman" w:hAnsi="Times New Roman"/>
          <w:sz w:val="28"/>
          <w:szCs w:val="28"/>
        </w:rPr>
        <w:t xml:space="preserve">- 149). Такая динамика свидетельствует о сохраняющейся актуальности проблем в сфере здравоохранения и одновременно - о росте доверия граждан к институту уполномоченных  и руководству органов власти, когда подключаем коллег к решению возникающих трудностей.</w:t>
      </w:r>
      <w:r/>
    </w:p>
    <w:p>
      <w:pPr>
        <w:ind w:firstLine="709"/>
        <w:jc w:val="both"/>
        <w:spacing w:after="0"/>
      </w:pPr>
      <w:r>
        <w:rPr>
          <w:rFonts w:ascii="Times New Roman" w:hAnsi="Times New Roman"/>
          <w:sz w:val="28"/>
          <w:szCs w:val="28"/>
        </w:rPr>
        <w:t xml:space="preserve">Анализ поступивших обращений позволяет выделить ключевые проблемные зоны. Чаще всего письменные заявления касаются: сложностей с получением медицинской помощи в лечебных учреждениях; трудностей с записью к врачам узких специал</w:t>
      </w:r>
      <w:r>
        <w:rPr>
          <w:rFonts w:ascii="Times New Roman" w:hAnsi="Times New Roman"/>
          <w:sz w:val="28"/>
          <w:szCs w:val="28"/>
        </w:rPr>
        <w:t xml:space="preserve">ьностей; длительного ожидания плановых консультаций и диагностических исследований; недостаточной информированности пациентов о порядке получения специализированной помощи; проблем с маршрутизацией пациентов между медицинскими организациями разного уровня.</w:t>
      </w:r>
      <w:r/>
    </w:p>
    <w:p>
      <w:pPr>
        <w:ind w:firstLine="709"/>
        <w:jc w:val="both"/>
        <w:spacing w:after="0"/>
      </w:pPr>
      <w:r>
        <w:rPr>
          <w:rFonts w:ascii="Times New Roman" w:hAnsi="Times New Roman"/>
          <w:sz w:val="28"/>
          <w:szCs w:val="28"/>
        </w:rPr>
        <w:t xml:space="preserve">Основной причиной возникновения подобных жалоб остается нехватка медицинских кадров на территории региона - как врачей, так и с</w:t>
      </w:r>
      <w:r>
        <w:rPr>
          <w:rFonts w:ascii="Times New Roman" w:hAnsi="Times New Roman"/>
          <w:sz w:val="28"/>
          <w:szCs w:val="28"/>
        </w:rPr>
        <w:t xml:space="preserve">реднего медицинского персонала. Эта проблема особенно остро проявляется в сельской местности и малых городах, где дефицит специалистов приводит к повышенной нагрузке на работающих медиков, увеличению сроков ожидания приема и снижению качества обслуживания.</w:t>
      </w:r>
      <w:r/>
    </w:p>
    <w:p>
      <w:pPr>
        <w:ind w:firstLine="709"/>
        <w:jc w:val="both"/>
        <w:spacing w:after="0"/>
      </w:pPr>
      <w:r>
        <w:rPr>
          <w:rFonts w:ascii="Times New Roman" w:hAnsi="Times New Roman"/>
          <w:sz w:val="28"/>
          <w:szCs w:val="28"/>
        </w:rPr>
        <w:t xml:space="preserve">Устные обращения, составляющие более 80 % от общего числа, чаще всего связаны с оперативной необходимостью решить конкретную ситуацию: ускорить запись к специалисту, получить разъяснения по порядку оказания помощи, разобраться в спорных слу</w:t>
      </w:r>
      <w:r>
        <w:rPr>
          <w:rFonts w:ascii="Times New Roman" w:hAnsi="Times New Roman"/>
          <w:sz w:val="28"/>
          <w:szCs w:val="28"/>
        </w:rPr>
        <w:t xml:space="preserve">чаях отказа или задержки в предоставлении услуг. Многие заявители обращаются после неудачных попыток решить вопрос на уровне медицинской организации, что подчеркивает важность роли правозащитников как посредника между гражданами и системой здравоохранения.</w:t>
      </w:r>
      <w:r/>
    </w:p>
    <w:p>
      <w:pPr>
        <w:ind w:firstLine="709"/>
        <w:jc w:val="both"/>
        <w:spacing w:after="0"/>
        <w:rPr>
          <w:rFonts w:ascii="Times New Roman" w:hAnsi="Times New Roman"/>
          <w:sz w:val="28"/>
          <w:szCs w:val="28"/>
        </w:rPr>
      </w:pPr>
      <w:r>
        <w:rPr>
          <w:rFonts w:ascii="Times New Roman" w:hAnsi="Times New Roman"/>
          <w:sz w:val="28"/>
          <w:szCs w:val="28"/>
        </w:rPr>
        <w:t xml:space="preserve">Выявленные тенденции требуют комплексного подхода к решению проблемы: усиления мер по привлечению и закреплению медицинских кадров, развития </w:t>
      </w:r>
      <w:r>
        <w:rPr>
          <w:rFonts w:ascii="Times New Roman" w:hAnsi="Times New Roman"/>
          <w:sz w:val="28"/>
          <w:szCs w:val="28"/>
        </w:rPr>
        <w:t xml:space="preserve">телемедицинских</w:t>
      </w:r>
      <w:r>
        <w:rPr>
          <w:rFonts w:ascii="Times New Roman" w:hAnsi="Times New Roman"/>
          <w:sz w:val="28"/>
          <w:szCs w:val="28"/>
        </w:rPr>
        <w:t xml:space="preserve"> технологий, совершенствования системы маршрутизации пациентов и повышения прозрачности оказания медицинской помощи. Только так можно обеспечить реализацию конституционного права каждого на охрану здоровья в полном объеме и на достойном уровне.</w:t>
      </w:r>
      <w:r>
        <w:rPr>
          <w:rFonts w:ascii="Times New Roman" w:hAnsi="Times New Roman"/>
          <w:sz w:val="28"/>
          <w:szCs w:val="28"/>
        </w:rPr>
      </w:r>
      <w:r>
        <w:rPr>
          <w:rFonts w:ascii="Times New Roman" w:hAnsi="Times New Roman"/>
          <w:sz w:val="28"/>
          <w:szCs w:val="28"/>
        </w:rPr>
      </w:r>
    </w:p>
    <w:p>
      <w:pPr>
        <w:ind w:firstLine="709"/>
        <w:jc w:val="both"/>
        <w:spacing w:after="0"/>
        <w:rPr>
          <w:rFonts w:ascii="Times New Roman" w:hAnsi="Times New Roman"/>
          <w:sz w:val="28"/>
          <w:szCs w:val="28"/>
        </w:rPr>
      </w:pPr>
      <w:r>
        <w:rPr>
          <w:rFonts w:ascii="Times New Roman" w:hAnsi="Times New Roman"/>
          <w:sz w:val="28"/>
          <w:szCs w:val="28"/>
        </w:rPr>
        <w:t xml:space="preserve"> В медицинских организациях нашей области работает 3 918 врачей и  8 270 средних медицинских работников, 569 младшего медицинского персонала. </w:t>
      </w:r>
      <w:r>
        <w:rPr>
          <w:rFonts w:ascii="Times New Roman" w:hAnsi="Times New Roman"/>
          <w:sz w:val="28"/>
          <w:szCs w:val="28"/>
        </w:rPr>
      </w:r>
      <w:r>
        <w:rPr>
          <w:rFonts w:ascii="Times New Roman" w:hAnsi="Times New Roman"/>
          <w:sz w:val="28"/>
          <w:szCs w:val="28"/>
        </w:rPr>
      </w:r>
    </w:p>
    <w:p>
      <w:pPr>
        <w:ind w:firstLine="709"/>
        <w:jc w:val="both"/>
        <w:spacing w:after="0"/>
      </w:pPr>
      <w:r>
        <w:rPr>
          <w:rFonts w:ascii="Times New Roman" w:hAnsi="Times New Roman"/>
          <w:sz w:val="28"/>
          <w:szCs w:val="28"/>
        </w:rPr>
        <w:t xml:space="preserve">При этом показатель обеспеченности составляет лишь 43,6 врача и 92,04 среднего медработника на 10 000 населения. Хотя укомплектованность амбулаторных учреждений формально близка к </w:t>
      </w:r>
      <w:r>
        <w:rPr>
          <w:rFonts w:ascii="Times New Roman" w:hAnsi="Times New Roman"/>
          <w:sz w:val="28"/>
          <w:szCs w:val="28"/>
        </w:rPr>
        <w:t xml:space="preserve">оптимальной</w:t>
      </w:r>
      <w:r>
        <w:rPr>
          <w:rFonts w:ascii="Times New Roman" w:hAnsi="Times New Roman"/>
          <w:sz w:val="28"/>
          <w:szCs w:val="28"/>
        </w:rPr>
        <w:t xml:space="preserve"> (95 % по врачам и среднему персоналу), сохраняется ощутимый дефицит: не хватает 240 врачей (10 %) и 242 специалистов со средним медицинским образованием (5 %).</w:t>
      </w:r>
      <w:r/>
    </w:p>
    <w:p>
      <w:pPr>
        <w:ind w:firstLine="709"/>
        <w:jc w:val="both"/>
        <w:spacing w:after="0"/>
      </w:pPr>
      <w:r>
        <w:rPr>
          <w:rFonts w:ascii="Times New Roman" w:hAnsi="Times New Roman"/>
          <w:sz w:val="28"/>
          <w:szCs w:val="28"/>
        </w:rPr>
        <w:t xml:space="preserve">Пока ситуация не из лучших складывается в сельской местности и малых городах. Нехватка специалистов здесь приводит к повышенной нагрузке на работающих медиков — нередко один врач обслуживает сразу несколь</w:t>
      </w:r>
      <w:r>
        <w:rPr>
          <w:rFonts w:ascii="Times New Roman" w:hAnsi="Times New Roman"/>
          <w:sz w:val="28"/>
          <w:szCs w:val="28"/>
        </w:rPr>
        <w:t xml:space="preserve">ко населенных пунктов. Это вызывает длительные сроки ожидания приема, снижение качества обслуживания и вынуждает жителей отдаленных районов ездить за медицинской помощью в областной центр, что создает дополнительные трудности, особенно для пожилых людей и </w:t>
      </w:r>
      <w:r>
        <w:rPr>
          <w:rFonts w:ascii="Times New Roman" w:hAnsi="Times New Roman"/>
          <w:sz w:val="28"/>
          <w:szCs w:val="28"/>
        </w:rPr>
        <w:t xml:space="preserve">маломобильных</w:t>
      </w:r>
      <w:r>
        <w:rPr>
          <w:rFonts w:ascii="Times New Roman" w:hAnsi="Times New Roman"/>
          <w:sz w:val="28"/>
          <w:szCs w:val="28"/>
        </w:rPr>
        <w:t xml:space="preserve"> граждан.</w:t>
      </w:r>
      <w:r/>
    </w:p>
    <w:p>
      <w:pPr>
        <w:ind w:firstLine="709"/>
        <w:jc w:val="both"/>
        <w:spacing w:after="0"/>
      </w:pPr>
      <w:r>
        <w:rPr>
          <w:rFonts w:ascii="Times New Roman" w:hAnsi="Times New Roman"/>
          <w:sz w:val="28"/>
          <w:szCs w:val="28"/>
        </w:rPr>
        <w:t xml:space="preserve">Для решения этой острой проблемы региональные органы власти </w:t>
      </w:r>
      <w:r>
        <w:rPr>
          <w:rFonts w:ascii="Times New Roman" w:hAnsi="Times New Roman"/>
          <w:sz w:val="28"/>
          <w:szCs w:val="28"/>
        </w:rPr>
        <w:t xml:space="preserve">реализуют комплекс мер по привлечению и закреплению медицинских кадров. Важнейшим инструментом восполнения кадрового дефицита стало целевое обучение в Ивановском государственном медицинском университете: в 2025 году выделено 143 места на </w:t>
      </w:r>
      <w:r>
        <w:rPr>
          <w:rFonts w:ascii="Times New Roman" w:hAnsi="Times New Roman"/>
          <w:sz w:val="28"/>
          <w:szCs w:val="28"/>
        </w:rPr>
        <w:t xml:space="preserve">специалитет</w:t>
      </w:r>
      <w:r>
        <w:rPr>
          <w:rFonts w:ascii="Times New Roman" w:hAnsi="Times New Roman"/>
          <w:sz w:val="28"/>
          <w:szCs w:val="28"/>
        </w:rPr>
        <w:t xml:space="preserve"> и 97 на ординатуру, а с того же года </w:t>
      </w:r>
      <w:r>
        <w:rPr>
          <w:rFonts w:ascii="Times New Roman" w:hAnsi="Times New Roman"/>
          <w:sz w:val="28"/>
          <w:szCs w:val="28"/>
        </w:rPr>
        <w:t xml:space="preserve">студенты-целевики</w:t>
      </w:r>
      <w:r>
        <w:rPr>
          <w:rFonts w:ascii="Times New Roman" w:hAnsi="Times New Roman"/>
          <w:sz w:val="28"/>
          <w:szCs w:val="28"/>
        </w:rPr>
        <w:t xml:space="preserve"> получают ежемесячную выплату 2 224 рубля из областного бюджета.</w:t>
      </w:r>
      <w:r/>
    </w:p>
    <w:p>
      <w:pPr>
        <w:ind w:firstLine="709"/>
        <w:jc w:val="both"/>
        <w:spacing w:after="0"/>
      </w:pPr>
      <w:r>
        <w:rPr>
          <w:rFonts w:ascii="Times New Roman" w:hAnsi="Times New Roman"/>
          <w:sz w:val="28"/>
          <w:szCs w:val="28"/>
        </w:rPr>
        <w:t xml:space="preserve">Существенную поддержку оказывают региональные выплаты </w:t>
      </w:r>
      <w:r>
        <w:rPr>
          <w:rFonts w:ascii="Times New Roman" w:hAnsi="Times New Roman"/>
          <w:sz w:val="28"/>
          <w:szCs w:val="28"/>
        </w:rPr>
        <w:t xml:space="preserve">для молодых специалистов. Так, врачи в возрасте до 40 лет могут получить единовременную выплату на оплату первоначального взноса по ипотечному кредиту — в 2025 году ее размер увеличен до 900 тыс. руб. На привлечение 50 специалистов в 2025 году выделено 15 </w:t>
      </w:r>
      <w:r>
        <w:rPr>
          <w:rFonts w:ascii="Times New Roman" w:hAnsi="Times New Roman"/>
          <w:sz w:val="28"/>
          <w:szCs w:val="28"/>
        </w:rPr>
        <w:t xml:space="preserve">млн</w:t>
      </w:r>
      <w:r>
        <w:rPr>
          <w:rFonts w:ascii="Times New Roman" w:hAnsi="Times New Roman"/>
          <w:sz w:val="28"/>
          <w:szCs w:val="28"/>
        </w:rPr>
        <w:t xml:space="preserve"> руб., а на 2026 год запланировано 45 </w:t>
      </w:r>
      <w:r>
        <w:rPr>
          <w:rFonts w:ascii="Times New Roman" w:hAnsi="Times New Roman"/>
          <w:sz w:val="28"/>
          <w:szCs w:val="28"/>
        </w:rPr>
        <w:t xml:space="preserve">млн</w:t>
      </w:r>
      <w:r>
        <w:rPr>
          <w:rFonts w:ascii="Times New Roman" w:hAnsi="Times New Roman"/>
          <w:sz w:val="28"/>
          <w:szCs w:val="28"/>
        </w:rPr>
        <w:t xml:space="preserve"> руб. для еще 50 человек. Выпускники-врачи до 35 лет, трудоустраивающиеся в учреждения здравоохранения региона, получают единовременную выплату 300 тыс. руб. — ежегодно на эти цели выделяется 9 </w:t>
      </w:r>
      <w:r>
        <w:rPr>
          <w:rFonts w:ascii="Times New Roman" w:hAnsi="Times New Roman"/>
          <w:sz w:val="28"/>
          <w:szCs w:val="28"/>
        </w:rPr>
        <w:t xml:space="preserve">млн</w:t>
      </w:r>
      <w:r>
        <w:rPr>
          <w:rFonts w:ascii="Times New Roman" w:hAnsi="Times New Roman"/>
          <w:sz w:val="28"/>
          <w:szCs w:val="28"/>
        </w:rPr>
        <w:t xml:space="preserve"> руб., что позволяет привлечь по 30 молодых специалистов. Фельдшерам скорой помощи, принятым на работу после окончания обучения, с 2025 года выплачивается 200 тыс. руб. (ранее — 100 тыс. руб.); на привлечение 20 специалистов выделено 2 </w:t>
      </w:r>
      <w:r>
        <w:rPr>
          <w:rFonts w:ascii="Times New Roman" w:hAnsi="Times New Roman"/>
          <w:sz w:val="28"/>
          <w:szCs w:val="28"/>
        </w:rPr>
        <w:t xml:space="preserve">млн</w:t>
      </w:r>
      <w:r>
        <w:rPr>
          <w:rFonts w:ascii="Times New Roman" w:hAnsi="Times New Roman"/>
          <w:sz w:val="28"/>
          <w:szCs w:val="28"/>
        </w:rPr>
        <w:t xml:space="preserve"> руб., аналогичная сумма запланирована на 2026 год.</w:t>
      </w:r>
      <w:r/>
    </w:p>
    <w:p>
      <w:pPr>
        <w:ind w:firstLine="709"/>
        <w:jc w:val="both"/>
        <w:spacing w:after="0"/>
      </w:pPr>
      <w:r>
        <w:rPr>
          <w:rFonts w:ascii="Times New Roman" w:hAnsi="Times New Roman"/>
          <w:sz w:val="28"/>
          <w:szCs w:val="28"/>
        </w:rPr>
        <w:t xml:space="preserve">Доказавшие свою эффективность программы «Земский доктор» и «Земский фельдшер» продолжают активно реализовывать: за период с 2012 по 2024 год в регион удалось привлечь 271 врача и 145 фельдшеров. Размер выплаты составляет 1 </w:t>
      </w:r>
      <w:r>
        <w:rPr>
          <w:rFonts w:ascii="Times New Roman" w:hAnsi="Times New Roman"/>
          <w:sz w:val="28"/>
          <w:szCs w:val="28"/>
        </w:rPr>
        <w:t xml:space="preserve">млн</w:t>
      </w:r>
      <w:r>
        <w:rPr>
          <w:rFonts w:ascii="Times New Roman" w:hAnsi="Times New Roman"/>
          <w:sz w:val="28"/>
          <w:szCs w:val="28"/>
        </w:rPr>
        <w:t xml:space="preserve"> руб. для врачей и 500 тыс. руб. для фельдшеров, а для специалистов, работающих в удаленных и труднодоступных районах (за исключением Иваново, Кинешмы и Шуи), суммы увеличены до 1,5 </w:t>
      </w:r>
      <w:r>
        <w:rPr>
          <w:rFonts w:ascii="Times New Roman" w:hAnsi="Times New Roman"/>
          <w:sz w:val="28"/>
          <w:szCs w:val="28"/>
        </w:rPr>
        <w:t xml:space="preserve">млн</w:t>
      </w:r>
      <w:r>
        <w:rPr>
          <w:rFonts w:ascii="Times New Roman" w:hAnsi="Times New Roman"/>
          <w:sz w:val="28"/>
          <w:szCs w:val="28"/>
        </w:rPr>
        <w:t xml:space="preserve"> руб. и 750 тыс. руб. соответственно. В 2025 году на эти программы направлено 51 </w:t>
      </w:r>
      <w:r>
        <w:rPr>
          <w:rFonts w:ascii="Times New Roman" w:hAnsi="Times New Roman"/>
          <w:sz w:val="28"/>
          <w:szCs w:val="28"/>
        </w:rPr>
        <w:t xml:space="preserve">млн</w:t>
      </w:r>
      <w:r>
        <w:rPr>
          <w:rFonts w:ascii="Times New Roman" w:hAnsi="Times New Roman"/>
          <w:sz w:val="28"/>
          <w:szCs w:val="28"/>
        </w:rPr>
        <w:t xml:space="preserve"> руб., что позволило привлечь 22 врача и 38 средних медработников, а на 2026 год выделено 47 </w:t>
      </w:r>
      <w:r>
        <w:rPr>
          <w:rFonts w:ascii="Times New Roman" w:hAnsi="Times New Roman"/>
          <w:sz w:val="28"/>
          <w:szCs w:val="28"/>
        </w:rPr>
        <w:t xml:space="preserve">млн</w:t>
      </w:r>
      <w:r>
        <w:rPr>
          <w:rFonts w:ascii="Times New Roman" w:hAnsi="Times New Roman"/>
          <w:sz w:val="28"/>
          <w:szCs w:val="28"/>
        </w:rPr>
        <w:t xml:space="preserve"> руб. для привлечения 25 врачей и 26 специалистов.</w:t>
      </w:r>
      <w:r/>
    </w:p>
    <w:p>
      <w:pPr>
        <w:ind w:firstLine="709"/>
        <w:jc w:val="both"/>
        <w:spacing w:after="0"/>
      </w:pPr>
      <w:r>
        <w:rPr>
          <w:rFonts w:ascii="Times New Roman" w:hAnsi="Times New Roman"/>
          <w:sz w:val="28"/>
          <w:szCs w:val="28"/>
        </w:rPr>
        <w:t xml:space="preserve">С 2023 года в регионе действует проект </w:t>
      </w:r>
      <w:r>
        <w:rPr>
          <w:rFonts w:ascii="Times New Roman" w:hAnsi="Times New Roman"/>
          <w:sz w:val="28"/>
          <w:szCs w:val="28"/>
        </w:rPr>
        <w:t xml:space="preserve">«Народный доктор», повышающий престиж медицинской профессии: победители народного голосования среди медиков получают разовую выплату 50 тыс. руб. В 2025 году такую поддержку получили 36 специалистов, и на 2026 год планируется оказать помощь еще 36 медикам.</w:t>
      </w:r>
      <w:r/>
    </w:p>
    <w:p>
      <w:pPr>
        <w:ind w:firstLine="709"/>
        <w:jc w:val="both"/>
        <w:spacing w:after="0"/>
      </w:pPr>
      <w:r>
        <w:rPr>
          <w:rFonts w:ascii="Times New Roman" w:hAnsi="Times New Roman"/>
          <w:sz w:val="28"/>
          <w:szCs w:val="28"/>
        </w:rPr>
        <w:t xml:space="preserve">Важным элементом системы поддержки стала жилищная помощь: в 14 муници</w:t>
      </w:r>
      <w:r>
        <w:rPr>
          <w:rFonts w:ascii="Times New Roman" w:hAnsi="Times New Roman"/>
          <w:sz w:val="28"/>
          <w:szCs w:val="28"/>
        </w:rPr>
        <w:t xml:space="preserve">палитетах действуют программы, предусматривающие предоставление служебного жилья, комнат в общежитиях и помещений с правом передачи в собственность после 15 лет работы. В 2025 году двое специалистов получили служебное жилье, а пятеро — комнаты в общежитии.</w:t>
      </w:r>
      <w:r/>
    </w:p>
    <w:p>
      <w:pPr>
        <w:ind w:firstLine="709"/>
        <w:jc w:val="both"/>
        <w:spacing w:after="0"/>
      </w:pPr>
      <w:r>
        <w:rPr>
          <w:rFonts w:ascii="Times New Roman" w:hAnsi="Times New Roman"/>
          <w:sz w:val="28"/>
          <w:szCs w:val="28"/>
        </w:rPr>
        <w:t xml:space="preserve">Расширяется и подготовка кадров в медицинских колледжах: с 2023 года 95 % мест отдано под целевое обучение</w:t>
      </w:r>
      <w:r>
        <w:rPr>
          <w:rFonts w:ascii="Times New Roman" w:hAnsi="Times New Roman"/>
          <w:sz w:val="28"/>
          <w:szCs w:val="28"/>
        </w:rPr>
        <w:t xml:space="preserve">. В 2023 году по целевым договорам было принято 216 студентов, а ежегодный выпуск составляет около 390 специалистов. В 2025 году контрольные цифры приема увеличены до 429 человек, что должно обеспечить дополнительный приток среднего медицинского персонала.</w:t>
      </w:r>
      <w:r/>
    </w:p>
    <w:p>
      <w:pPr>
        <w:ind w:firstLine="709"/>
        <w:jc w:val="both"/>
        <w:spacing w:after="0"/>
      </w:pPr>
      <w:r>
        <w:rPr>
          <w:rFonts w:ascii="Times New Roman" w:hAnsi="Times New Roman"/>
          <w:sz w:val="28"/>
          <w:szCs w:val="28"/>
        </w:rPr>
        <w:t xml:space="preserve">Результаты принятых мер уже заметны: в 2025 году в больницы региона трудоустроились 189 выпускников Ивановского </w:t>
      </w:r>
      <w:r>
        <w:rPr>
          <w:rFonts w:ascii="Times New Roman" w:hAnsi="Times New Roman"/>
          <w:sz w:val="28"/>
          <w:szCs w:val="28"/>
        </w:rPr>
        <w:t xml:space="preserve">мединститута</w:t>
      </w:r>
      <w:r>
        <w:rPr>
          <w:rFonts w:ascii="Times New Roman" w:hAnsi="Times New Roman"/>
          <w:sz w:val="28"/>
          <w:szCs w:val="28"/>
        </w:rPr>
        <w:t xml:space="preserve"> (в 2021 году — всего 67) и 121 специалист после колледжа (в 2021 году — 109).</w:t>
      </w:r>
      <w:r>
        <w:rPr>
          <w:rFonts w:ascii="Times New Roman" w:hAnsi="Times New Roman"/>
          <w:sz w:val="28"/>
          <w:szCs w:val="28"/>
        </w:rPr>
        <w:t xml:space="preserve"> Тем не </w:t>
      </w:r>
      <w:r>
        <w:rPr>
          <w:rFonts w:ascii="Times New Roman" w:hAnsi="Times New Roman"/>
          <w:sz w:val="28"/>
          <w:szCs w:val="28"/>
        </w:rPr>
        <w:t xml:space="preserve">менее</w:t>
      </w:r>
      <w:r>
        <w:rPr>
          <w:rFonts w:ascii="Times New Roman" w:hAnsi="Times New Roman"/>
          <w:sz w:val="28"/>
          <w:szCs w:val="28"/>
        </w:rPr>
        <w:t xml:space="preserve"> проблема кадрового дефицита остается актуальной и продолжает угрожать реализации конституционного права граждан на охрану здоровья.</w:t>
      </w:r>
      <w:r/>
    </w:p>
    <w:p>
      <w:pPr>
        <w:ind w:firstLine="709"/>
        <w:jc w:val="both"/>
        <w:spacing w:after="0"/>
      </w:pPr>
      <w:r>
        <w:rPr>
          <w:rFonts w:ascii="Times New Roman" w:hAnsi="Times New Roman"/>
          <w:sz w:val="28"/>
          <w:szCs w:val="28"/>
        </w:rPr>
        <w:t xml:space="preserve">Для обеспечения доступности качественной медицинской помощи всем жителям Ивановской области, особенно в сельской местности, критически важно продолжить и расширить действующие программы поддержки, развивать </w:t>
      </w:r>
      <w:r>
        <w:rPr>
          <w:rFonts w:ascii="Times New Roman" w:hAnsi="Times New Roman"/>
          <w:sz w:val="28"/>
          <w:szCs w:val="28"/>
        </w:rPr>
        <w:t xml:space="preserve">телемедицинские</w:t>
      </w:r>
      <w:r>
        <w:rPr>
          <w:rFonts w:ascii="Times New Roman" w:hAnsi="Times New Roman"/>
          <w:sz w:val="28"/>
          <w:szCs w:val="28"/>
        </w:rPr>
        <w:t xml:space="preserve"> технологии для консультаций с узкими </w:t>
      </w:r>
      <w:r>
        <w:rPr>
          <w:rFonts w:ascii="Times New Roman" w:hAnsi="Times New Roman"/>
          <w:sz w:val="28"/>
          <w:szCs w:val="28"/>
        </w:rPr>
        <w:t xml:space="preserve">специалистами без выезда в областной центр, совершенствовать систему маршрутизации пациентов, повышать прозрачность оказания медицинской помощи и создавать устойчивые условия для закрепления специалистов в регионе — не только через финансовые стимулы, но и</w:t>
      </w:r>
      <w:r>
        <w:rPr>
          <w:rFonts w:ascii="Times New Roman" w:hAnsi="Times New Roman"/>
          <w:sz w:val="28"/>
          <w:szCs w:val="28"/>
        </w:rPr>
        <w:t xml:space="preserve"> через карьерные перспективы и развитие социальной инфраструктуры. Только комплексный подход, сочетающий меры социальной поддержки, профессионального развития и инфраструктурного улучшения, позволит гарантировать каждому жителю Ивановской области </w:t>
      </w:r>
      <w:r>
        <w:rPr>
          <w:rFonts w:ascii="Times New Roman" w:hAnsi="Times New Roman"/>
          <w:sz w:val="28"/>
          <w:szCs w:val="28"/>
        </w:rPr>
        <w:t xml:space="preserve">реализацию конституционного права на охрану здоровья в полном объеме и на достойном уровне — независимо от места проживания. Это не просто задача региональной системы здравоохранения, а вопрос социальной справедливости и устойчивого развития всего региона.</w:t>
      </w:r>
      <w:r/>
    </w:p>
    <w:p>
      <w:pPr>
        <w:ind w:firstLine="709"/>
        <w:jc w:val="both"/>
        <w:spacing w:after="0"/>
      </w:pPr>
      <w:r>
        <w:rPr>
          <w:rFonts w:ascii="Times New Roman" w:hAnsi="Times New Roman"/>
          <w:sz w:val="28"/>
          <w:szCs w:val="28"/>
        </w:rPr>
        <w:t xml:space="preserve">В прошлом году остро встала проблема, связанная с ненадлежащим лекарственным обеспечением населения. </w:t>
      </w:r>
      <w:r>
        <w:rPr>
          <w:rFonts w:ascii="Times New Roman" w:hAnsi="Times New Roman"/>
          <w:sz w:val="28"/>
          <w:szCs w:val="28"/>
        </w:rPr>
        <w:t xml:space="preserve">Важность вопроса получения лекарственных препаратов трудно переоценить: доступ к необходимым медикаментам - не привилегия, а базовое условие для поддержания жизни и здоровья</w:t>
      </w:r>
      <w:r>
        <w:rPr>
          <w:rFonts w:ascii="Times New Roman" w:hAnsi="Times New Roman"/>
          <w:sz w:val="28"/>
          <w:szCs w:val="28"/>
        </w:rPr>
        <w:t xml:space="preserve"> людей. Для пациентов с хроническими заболеваниями (диабетом, гипертонией, онкологическими, аутоиммунными и другими патологиями) регулярный прием препаратов - вопрос не просто сохранения качества жизни, а зачастую выживания. Дети с редкими заболеваниями, п</w:t>
      </w:r>
      <w:r>
        <w:rPr>
          <w:rFonts w:ascii="Times New Roman" w:hAnsi="Times New Roman"/>
          <w:sz w:val="28"/>
          <w:szCs w:val="28"/>
        </w:rPr>
        <w:t xml:space="preserve">ожилые люди с множественными патологиями, инвалиды, семьи с низким доходом — именно эти категории населения наиболее уязвимы при сбоях в системе лекарственного обеспечения. Задержка или отсутствие необходимого лекарства для них может привести к обострению </w:t>
      </w:r>
      <w:r>
        <w:rPr>
          <w:rFonts w:ascii="Times New Roman" w:hAnsi="Times New Roman"/>
          <w:sz w:val="28"/>
          <w:szCs w:val="28"/>
        </w:rPr>
        <w:t xml:space="preserve">болезни, развитию осложнений, экстренной госпитализации и даже необратимым последствиям для здоровья.</w:t>
      </w:r>
      <w:r/>
    </w:p>
    <w:p>
      <w:pPr>
        <w:ind w:firstLine="709"/>
        <w:jc w:val="both"/>
        <w:spacing w:after="0"/>
        <w:rPr>
          <w:rFonts w:ascii="Times New Roman" w:hAnsi="Times New Roman"/>
          <w:sz w:val="28"/>
          <w:szCs w:val="28"/>
        </w:rPr>
      </w:pPr>
      <w:r>
        <w:rPr>
          <w:rFonts w:ascii="Times New Roman" w:hAnsi="Times New Roman"/>
          <w:sz w:val="28"/>
          <w:szCs w:val="28"/>
        </w:rPr>
        <w:t xml:space="preserve">Анализ поступивших обращений показывает масштаб и многогранность проблемы. </w:t>
      </w:r>
      <w:r>
        <w:rPr>
          <w:rFonts w:ascii="Times New Roman" w:hAnsi="Times New Roman"/>
          <w:sz w:val="28"/>
          <w:szCs w:val="28"/>
        </w:rPr>
        <w:t xml:space="preserve">Граждане с</w:t>
      </w:r>
      <w:r>
        <w:rPr>
          <w:rFonts w:ascii="Times New Roman" w:hAnsi="Times New Roman"/>
          <w:sz w:val="28"/>
          <w:szCs w:val="28"/>
        </w:rPr>
        <w:t xml:space="preserve">ообщают о самых разных аспектах ненадлежащего лекарственного обеспечения: о перебоях в поставках жизненно важных препаратов, длительных сроках ожидания льготных лекарств (иногда до нескольких месяцев), отсутствии в аптеках конкретных наименований или форм </w:t>
      </w:r>
      <w:r>
        <w:rPr>
          <w:rFonts w:ascii="Times New Roman" w:hAnsi="Times New Roman"/>
          <w:sz w:val="28"/>
          <w:szCs w:val="28"/>
        </w:rPr>
        <w:t xml:space="preserve">выпуска медикаментов, сложностях с оформлением рецептов и получением положенных по закону льгот, несоответствии фактического наличия лекарств перечню жизненно необходимых и важнейших лекарственных препаратов (ЖНВЛП), проблемах с обеспечением дорогостоящими</w:t>
      </w:r>
      <w:r>
        <w:rPr>
          <w:rFonts w:ascii="Times New Roman" w:hAnsi="Times New Roman"/>
          <w:sz w:val="28"/>
          <w:szCs w:val="28"/>
        </w:rPr>
        <w:t xml:space="preserve"> препаратами для лечения редких (</w:t>
      </w:r>
      <w:r>
        <w:rPr>
          <w:rFonts w:ascii="Times New Roman" w:hAnsi="Times New Roman"/>
          <w:sz w:val="28"/>
          <w:szCs w:val="28"/>
        </w:rPr>
        <w:t xml:space="preserve">орфанных</w:t>
      </w:r>
      <w:r>
        <w:rPr>
          <w:rFonts w:ascii="Times New Roman" w:hAnsi="Times New Roman"/>
          <w:sz w:val="28"/>
          <w:szCs w:val="28"/>
        </w:rPr>
        <w:t xml:space="preserve">) заболеваний. Особенно остро ситуация проявляется в сельской местности и малых городах, где доступность медицинской и фармацевтической помощи изначально ограничена.</w:t>
      </w:r>
      <w:r>
        <w:rPr>
          <w:rFonts w:ascii="Times New Roman" w:hAnsi="Times New Roman"/>
          <w:sz w:val="28"/>
          <w:szCs w:val="28"/>
        </w:rPr>
      </w:r>
      <w:r>
        <w:rPr>
          <w:rFonts w:ascii="Times New Roman" w:hAnsi="Times New Roman"/>
          <w:sz w:val="28"/>
          <w:szCs w:val="28"/>
        </w:rPr>
      </w:r>
    </w:p>
    <w:p>
      <w:pPr>
        <w:ind w:firstLine="709"/>
        <w:jc w:val="both"/>
        <w:spacing w:after="0"/>
        <w:rPr>
          <w:bCs/>
          <w:i/>
        </w:rPr>
      </w:pPr>
      <w:r>
        <w:rPr>
          <w:rFonts w:ascii="Times New Roman" w:hAnsi="Times New Roman"/>
          <w:i/>
          <w:iCs/>
          <w:sz w:val="28"/>
          <w:szCs w:val="28"/>
        </w:rPr>
        <w:t xml:space="preserve">В адрес Уполномоченного по правам человека в Ивановской области поступило обращение от жительницы Кинешемского района Ивановской области - женщины пожилого возраста, пенсионерки, имеющей инвалидность III гру</w:t>
      </w:r>
      <w:r>
        <w:rPr>
          <w:rFonts w:ascii="Times New Roman" w:hAnsi="Times New Roman"/>
          <w:i/>
          <w:iCs/>
          <w:sz w:val="28"/>
          <w:szCs w:val="28"/>
        </w:rPr>
        <w:t xml:space="preserve">ппы по общему заболеванию и страдающей сахарным диабетом. В своем заявлении она подняла важный и социально значимый вопрос: отсутствие возможности получить жизненно необходимый препарат - инсулин - по льготному рецепту в местной аптеке по месту жительства.</w:t>
      </w:r>
      <w:r>
        <w:rPr>
          <w:bCs/>
          <w:i/>
        </w:rPr>
      </w:r>
      <w:r>
        <w:rPr>
          <w:bCs/>
          <w:i/>
        </w:rPr>
      </w:r>
    </w:p>
    <w:p>
      <w:pPr>
        <w:ind w:firstLine="709"/>
        <w:jc w:val="both"/>
        <w:spacing w:after="0"/>
        <w:rPr>
          <w:bCs/>
          <w:i/>
        </w:rPr>
      </w:pPr>
      <w:r>
        <w:rPr>
          <w:rFonts w:ascii="Times New Roman" w:hAnsi="Times New Roman"/>
          <w:i/>
          <w:iCs/>
          <w:sz w:val="28"/>
          <w:szCs w:val="28"/>
        </w:rPr>
        <w:t xml:space="preserve">Понимая, наскольк</w:t>
      </w:r>
      <w:r>
        <w:rPr>
          <w:rFonts w:ascii="Times New Roman" w:hAnsi="Times New Roman"/>
          <w:i/>
          <w:iCs/>
          <w:sz w:val="28"/>
          <w:szCs w:val="28"/>
        </w:rPr>
        <w:t xml:space="preserve">о серьезна ситуация и как важно для здоровья женщины своевременно получать необходимые лекарства, региональный омбудсмен незамедлительно направила официальное обращение в Департамент здравоохранения Ивановской области (далее – Департамент). В обращении был</w:t>
      </w:r>
      <w:r>
        <w:rPr>
          <w:rFonts w:ascii="Times New Roman" w:hAnsi="Times New Roman"/>
          <w:i/>
          <w:iCs/>
          <w:sz w:val="28"/>
          <w:szCs w:val="28"/>
        </w:rPr>
        <w:t xml:space="preserve">и подробно изложены обстоятельства, указаны нормативные основания для обеспечения льготных категорий граждан бесплатными лекарствами, а также содержалась конкретная просьба оперативно восстановить нарушенное право и обеспечить выдачу положенного препарата.</w:t>
      </w:r>
      <w:r>
        <w:rPr>
          <w:bCs/>
          <w:i/>
        </w:rPr>
      </w:r>
      <w:r>
        <w:rPr>
          <w:bCs/>
          <w:i/>
        </w:rPr>
      </w:r>
    </w:p>
    <w:p>
      <w:pPr>
        <w:ind w:firstLine="709"/>
        <w:jc w:val="both"/>
        <w:spacing w:after="0"/>
        <w:rPr>
          <w:rFonts w:ascii="Times New Roman" w:hAnsi="Times New Roman"/>
          <w:bCs/>
          <w:i/>
          <w:sz w:val="28"/>
          <w:szCs w:val="28"/>
        </w:rPr>
      </w:pPr>
      <w:r>
        <w:rPr>
          <w:rFonts w:ascii="Times New Roman" w:hAnsi="Times New Roman"/>
          <w:i/>
          <w:iCs/>
          <w:sz w:val="28"/>
          <w:szCs w:val="28"/>
        </w:rPr>
        <w:t xml:space="preserve">Благодаря быстрой реакции и слаженной работе специалистов Департамента, вопрос был решен в кратчайшие сроки. Согласно официальному ответу </w:t>
      </w:r>
      <w:r>
        <w:rPr>
          <w:rFonts w:ascii="Times New Roman" w:hAnsi="Times New Roman"/>
          <w:i/>
          <w:iCs/>
          <w:sz w:val="28"/>
          <w:szCs w:val="28"/>
        </w:rPr>
        <w:t xml:space="preserve">ведомства, заявительница получила весь необходимый объем инсулина в аптечной организации по месту своего жительства. Таким образом, проблема была полностью устранена, а право женщины на социальную поддержку в части лекарственного обеспечения - реализовано.</w:t>
      </w:r>
      <w:r>
        <w:rPr>
          <w:rFonts w:ascii="Times New Roman" w:hAnsi="Times New Roman"/>
          <w:bCs/>
          <w:i/>
          <w:sz w:val="28"/>
          <w:szCs w:val="28"/>
        </w:rPr>
      </w:r>
      <w:r>
        <w:rPr>
          <w:rFonts w:ascii="Times New Roman" w:hAnsi="Times New Roman"/>
          <w:bCs/>
          <w:i/>
          <w:sz w:val="28"/>
          <w:szCs w:val="28"/>
        </w:rPr>
      </w:r>
    </w:p>
    <w:p>
      <w:pPr>
        <w:ind w:firstLine="709"/>
        <w:jc w:val="both"/>
        <w:spacing w:after="0"/>
      </w:pPr>
      <w:r>
        <w:rPr>
          <w:rFonts w:ascii="Times New Roman" w:hAnsi="Times New Roman"/>
          <w:sz w:val="28"/>
          <w:szCs w:val="28"/>
        </w:rPr>
        <w:t xml:space="preserve">Для отдельных категорий заявителей жизнь невозможна без медицинских препара</w:t>
      </w:r>
      <w:r>
        <w:rPr>
          <w:rFonts w:ascii="Times New Roman" w:hAnsi="Times New Roman"/>
          <w:sz w:val="28"/>
          <w:szCs w:val="28"/>
        </w:rPr>
        <w:t xml:space="preserve">тов. В соответствии с требованиями ст. 18 Федерального закона от 21.11.2011 № 323-ФЗ «Об основах охраны здоровья граждан в Российской Федерации» каждый имеет право на охрану здоровья, которое включает в себя и право на надлежащее лекарственное обеспечение.</w:t>
      </w:r>
      <w:r/>
    </w:p>
    <w:p>
      <w:pPr>
        <w:ind w:firstLine="709"/>
        <w:jc w:val="both"/>
        <w:spacing w:after="0"/>
        <w:rPr>
          <w:rFonts w:ascii="Times New Roman" w:hAnsi="Times New Roman"/>
          <w:bCs/>
          <w:i/>
          <w:sz w:val="28"/>
          <w:szCs w:val="28"/>
        </w:rPr>
      </w:pPr>
      <w:r>
        <w:rPr>
          <w:rFonts w:ascii="Times New Roman" w:hAnsi="Times New Roman"/>
          <w:i/>
          <w:iCs/>
          <w:sz w:val="28"/>
          <w:szCs w:val="28"/>
        </w:rPr>
        <w:t xml:space="preserve">В адрес Уполномоченного по правам человека в Ивановской области обратился житель областного центра.</w:t>
      </w:r>
      <w:r>
        <w:rPr>
          <w:rFonts w:ascii="Times New Roman" w:hAnsi="Times New Roman"/>
          <w:bCs/>
          <w:i/>
          <w:sz w:val="28"/>
          <w:szCs w:val="28"/>
        </w:rPr>
      </w:r>
      <w:r>
        <w:rPr>
          <w:rFonts w:ascii="Times New Roman" w:hAnsi="Times New Roman"/>
          <w:bCs/>
          <w:i/>
          <w:sz w:val="28"/>
          <w:szCs w:val="28"/>
        </w:rPr>
      </w:r>
      <w:r>
        <w:rPr>
          <w:rFonts w:ascii="Times New Roman" w:hAnsi="Times New Roman"/>
          <w:i/>
          <w:iCs/>
          <w:sz w:val="28"/>
          <w:szCs w:val="28"/>
        </w:rPr>
        <w:t xml:space="preserve">Заявитель сообщил, что его сын не обеспечивается назначенным ему по жизненным показаниям лекарственным препаратом, что негативно влияет на состояние здоровья и создает угрозу его жизни. </w:t>
      </w:r>
      <w:r>
        <w:rPr>
          <w:bCs/>
          <w:i/>
        </w:rPr>
      </w:r>
      <w:r>
        <w:rPr>
          <w:bCs/>
          <w:i/>
        </w:rPr>
      </w:r>
      <w:r>
        <w:rPr>
          <w:rFonts w:ascii="Times New Roman" w:hAnsi="Times New Roman"/>
          <w:bCs/>
          <w:i/>
          <w:sz w:val="28"/>
          <w:szCs w:val="28"/>
        </w:rPr>
      </w:r>
      <w:r>
        <w:rPr>
          <w:rFonts w:ascii="Times New Roman" w:hAnsi="Times New Roman"/>
          <w:i/>
          <w:iCs/>
          <w:sz w:val="28"/>
          <w:szCs w:val="28"/>
        </w:rPr>
        <w:t xml:space="preserve">Для проверки доводов заявителя и скорейшего восстановления его прав на здоровье обращение направлено в прокуратуру Ивановской области. </w:t>
      </w:r>
      <w:r>
        <w:rPr>
          <w:bCs/>
          <w:i/>
        </w:rPr>
      </w:r>
      <w:r>
        <w:rPr>
          <w:bCs/>
          <w:i/>
        </w:rPr>
      </w:r>
      <w:r>
        <w:rPr>
          <w:rFonts w:ascii="Times New Roman" w:hAnsi="Times New Roman"/>
          <w:bCs/>
          <w:i/>
          <w:sz w:val="28"/>
          <w:szCs w:val="28"/>
        </w:rPr>
      </w:r>
    </w:p>
    <w:p>
      <w:pPr>
        <w:ind w:firstLine="709"/>
        <w:jc w:val="both"/>
        <w:spacing w:after="0"/>
        <w:rPr>
          <w:rFonts w:ascii="Times New Roman" w:hAnsi="Times New Roman"/>
          <w:bCs/>
          <w:i/>
          <w:sz w:val="28"/>
          <w:szCs w:val="28"/>
        </w:rPr>
      </w:pPr>
      <w:r>
        <w:rPr>
          <w:rFonts w:ascii="Times New Roman" w:hAnsi="Times New Roman"/>
          <w:i/>
          <w:iCs/>
          <w:sz w:val="28"/>
          <w:szCs w:val="28"/>
        </w:rPr>
        <w:t xml:space="preserve">В связи с отсутствием необходимого лекарственного препарата прокуратурой в интересах П. в суд направлено исковое заявление об </w:t>
      </w:r>
      <w:r>
        <w:rPr>
          <w:rFonts w:ascii="Times New Roman" w:hAnsi="Times New Roman"/>
          <w:i/>
          <w:iCs/>
          <w:sz w:val="28"/>
          <w:szCs w:val="28"/>
        </w:rPr>
        <w:t xml:space="preserve">обязании</w:t>
      </w:r>
      <w:r>
        <w:rPr>
          <w:rFonts w:ascii="Times New Roman" w:hAnsi="Times New Roman"/>
          <w:i/>
          <w:iCs/>
          <w:sz w:val="28"/>
          <w:szCs w:val="28"/>
        </w:rPr>
        <w:t xml:space="preserve"> Департамента здравоохранения Ивановской области организовать обе</w:t>
      </w:r>
      <w:r>
        <w:rPr>
          <w:rFonts w:ascii="Times New Roman" w:hAnsi="Times New Roman"/>
          <w:i/>
          <w:iCs/>
          <w:sz w:val="28"/>
          <w:szCs w:val="28"/>
        </w:rPr>
        <w:t xml:space="preserve">спечение П. бесплатным лекарственным препаратом в соответствии с протоколом врачебной комиссии  с учетом установленной потребности, а также о взыскании  с Департамента за несвоевременное обеспечение лекарственным препаратом,  компенсации морального вреда. </w:t>
      </w:r>
      <w:r>
        <w:rPr>
          <w:rFonts w:ascii="Times New Roman" w:hAnsi="Times New Roman"/>
          <w:bCs/>
          <w:i/>
          <w:sz w:val="28"/>
          <w:szCs w:val="28"/>
        </w:rPr>
      </w:r>
      <w:r>
        <w:rPr>
          <w:rFonts w:ascii="Times New Roman" w:hAnsi="Times New Roman"/>
          <w:bCs/>
          <w:i/>
          <w:sz w:val="28"/>
          <w:szCs w:val="28"/>
        </w:rPr>
      </w:r>
    </w:p>
    <w:p>
      <w:pPr>
        <w:ind w:firstLine="709"/>
        <w:jc w:val="both"/>
        <w:spacing w:after="0"/>
        <w:rPr>
          <w:rFonts w:ascii="Times New Roman" w:hAnsi="Times New Roman"/>
          <w:sz w:val="28"/>
          <w:szCs w:val="28"/>
        </w:rPr>
      </w:pPr>
      <w:r>
        <w:rPr>
          <w:rFonts w:ascii="Times New Roman" w:hAnsi="Times New Roman"/>
          <w:sz w:val="28"/>
          <w:szCs w:val="28"/>
        </w:rPr>
        <w:t xml:space="preserve">На постоянном контроле органов прокуратуры находятся вопросы обеспечения жителей региона лекарственными препаратами, медицинскими изделиями и лечебным питанием.</w:t>
      </w:r>
      <w:r>
        <w:rPr>
          <w:rFonts w:ascii="Times New Roman" w:hAnsi="Times New Roman"/>
          <w:sz w:val="28"/>
          <w:szCs w:val="28"/>
        </w:rPr>
      </w:r>
      <w:r>
        <w:rPr>
          <w:rFonts w:ascii="Times New Roman" w:hAnsi="Times New Roman"/>
          <w:sz w:val="28"/>
          <w:szCs w:val="28"/>
        </w:rPr>
      </w:r>
    </w:p>
    <w:p>
      <w:pPr>
        <w:ind w:firstLine="709"/>
        <w:jc w:val="both"/>
        <w:spacing w:after="0"/>
        <w:rPr>
          <w:rFonts w:ascii="Times New Roman" w:hAnsi="Times New Roman"/>
          <w:bCs/>
          <w:i/>
          <w:sz w:val="28"/>
          <w:szCs w:val="28"/>
        </w:rPr>
      </w:pPr>
      <w:r>
        <w:rPr>
          <w:rFonts w:ascii="Times New Roman" w:hAnsi="Times New Roman"/>
          <w:i/>
          <w:iCs/>
          <w:sz w:val="28"/>
          <w:szCs w:val="28"/>
        </w:rPr>
        <w:t xml:space="preserve">Прокуратурой Ивановской области при рассмотрении обращения инвалида установлено, что заявитель на протяжении длительного периода времени не обеспечен лекарственными препаратами «</w:t>
      </w:r>
      <w:r>
        <w:rPr>
          <w:rFonts w:ascii="Times New Roman" w:hAnsi="Times New Roman"/>
          <w:i/>
          <w:iCs/>
          <w:sz w:val="28"/>
          <w:szCs w:val="28"/>
        </w:rPr>
        <w:t xml:space="preserve">дапаглифлозин</w:t>
      </w:r>
      <w:r>
        <w:rPr>
          <w:rFonts w:ascii="Times New Roman" w:hAnsi="Times New Roman"/>
          <w:i/>
          <w:iCs/>
          <w:sz w:val="28"/>
          <w:szCs w:val="28"/>
        </w:rPr>
        <w:t xml:space="preserve">», «</w:t>
      </w:r>
      <w:r>
        <w:rPr>
          <w:rFonts w:ascii="Times New Roman" w:hAnsi="Times New Roman"/>
          <w:i/>
          <w:iCs/>
          <w:sz w:val="28"/>
          <w:szCs w:val="28"/>
        </w:rPr>
        <w:t xml:space="preserve">лозартан</w:t>
      </w:r>
      <w:r>
        <w:rPr>
          <w:rFonts w:ascii="Times New Roman" w:hAnsi="Times New Roman"/>
          <w:i/>
          <w:iCs/>
          <w:sz w:val="28"/>
          <w:szCs w:val="28"/>
        </w:rPr>
        <w:t xml:space="preserve">», «</w:t>
      </w:r>
      <w:r>
        <w:rPr>
          <w:rFonts w:ascii="Times New Roman" w:hAnsi="Times New Roman"/>
          <w:i/>
          <w:iCs/>
          <w:sz w:val="28"/>
          <w:szCs w:val="28"/>
        </w:rPr>
        <w:t xml:space="preserve">бисопролол</w:t>
      </w:r>
      <w:r>
        <w:rPr>
          <w:rFonts w:ascii="Times New Roman" w:hAnsi="Times New Roman"/>
          <w:i/>
          <w:iCs/>
          <w:sz w:val="28"/>
          <w:szCs w:val="28"/>
        </w:rPr>
        <w:t xml:space="preserve">», «</w:t>
      </w:r>
      <w:r>
        <w:rPr>
          <w:rFonts w:ascii="Times New Roman" w:hAnsi="Times New Roman"/>
          <w:i/>
          <w:iCs/>
          <w:sz w:val="28"/>
          <w:szCs w:val="28"/>
        </w:rPr>
        <w:t xml:space="preserve">спиронолактон</w:t>
      </w:r>
      <w:r>
        <w:rPr>
          <w:rFonts w:ascii="Times New Roman" w:hAnsi="Times New Roman"/>
          <w:i/>
          <w:iCs/>
          <w:sz w:val="28"/>
          <w:szCs w:val="28"/>
        </w:rPr>
        <w:t xml:space="preserve">», «</w:t>
      </w:r>
      <w:r>
        <w:rPr>
          <w:rFonts w:ascii="Times New Roman" w:hAnsi="Times New Roman"/>
          <w:i/>
          <w:iCs/>
          <w:sz w:val="28"/>
          <w:szCs w:val="28"/>
        </w:rPr>
        <w:t xml:space="preserve">аторваститин</w:t>
      </w:r>
      <w:r>
        <w:rPr>
          <w:rFonts w:ascii="Times New Roman" w:hAnsi="Times New Roman"/>
          <w:i/>
          <w:iCs/>
          <w:sz w:val="28"/>
          <w:szCs w:val="28"/>
        </w:rPr>
        <w:t xml:space="preserve">» и приобретены им самостоятельно, в </w:t>
      </w:r>
      <w:r>
        <w:rPr>
          <w:rFonts w:ascii="Times New Roman" w:hAnsi="Times New Roman"/>
          <w:i/>
          <w:iCs/>
          <w:sz w:val="28"/>
          <w:szCs w:val="28"/>
        </w:rPr>
        <w:t xml:space="preserve">связи</w:t>
      </w:r>
      <w:r>
        <w:rPr>
          <w:rFonts w:ascii="Times New Roman" w:hAnsi="Times New Roman"/>
          <w:i/>
          <w:iCs/>
          <w:sz w:val="28"/>
          <w:szCs w:val="28"/>
        </w:rPr>
        <w:t xml:space="preserve"> с чем Ивановской ме</w:t>
      </w:r>
      <w:r>
        <w:rPr>
          <w:rFonts w:ascii="Times New Roman" w:hAnsi="Times New Roman"/>
          <w:i/>
          <w:iCs/>
          <w:sz w:val="28"/>
          <w:szCs w:val="28"/>
        </w:rPr>
        <w:t xml:space="preserve">жрайонной прокуратурой в суд предъявлено исковое заявление о взыскании с Департамента затраченных денежных средств и компенсации морального вреда. Решением суда требования прокуратуры удовлетворены, в настоящее время решение суда исполнено в полном объеме.</w:t>
      </w:r>
      <w:r>
        <w:rPr>
          <w:rFonts w:ascii="Times New Roman" w:hAnsi="Times New Roman"/>
          <w:bCs/>
          <w:i/>
          <w:sz w:val="28"/>
          <w:szCs w:val="28"/>
        </w:rPr>
      </w:r>
      <w:r>
        <w:rPr>
          <w:rFonts w:ascii="Times New Roman" w:hAnsi="Times New Roman"/>
          <w:bCs/>
          <w:i/>
          <w:sz w:val="28"/>
          <w:szCs w:val="28"/>
        </w:rPr>
      </w:r>
    </w:p>
    <w:p>
      <w:pPr>
        <w:ind w:firstLine="709"/>
        <w:jc w:val="both"/>
        <w:spacing w:after="0"/>
        <w:rPr>
          <w:rFonts w:ascii="Times New Roman" w:hAnsi="Times New Roman"/>
          <w:bCs/>
          <w:i/>
          <w:sz w:val="28"/>
          <w:szCs w:val="28"/>
        </w:rPr>
      </w:pPr>
      <w:r>
        <w:rPr>
          <w:rFonts w:ascii="Times New Roman" w:hAnsi="Times New Roman"/>
          <w:i/>
          <w:iCs/>
          <w:sz w:val="28"/>
          <w:szCs w:val="28"/>
        </w:rPr>
        <w:t xml:space="preserve">Благодаря вмешательству органов прокуратуры области жительница </w:t>
      </w:r>
      <w:r>
        <w:rPr>
          <w:rFonts w:ascii="Times New Roman" w:hAnsi="Times New Roman"/>
          <w:i/>
          <w:iCs/>
          <w:sz w:val="28"/>
          <w:szCs w:val="28"/>
        </w:rPr>
        <w:t xml:space="preserve">Тейковского</w:t>
      </w:r>
      <w:r>
        <w:rPr>
          <w:rFonts w:ascii="Times New Roman" w:hAnsi="Times New Roman"/>
          <w:i/>
          <w:iCs/>
          <w:sz w:val="28"/>
          <w:szCs w:val="28"/>
        </w:rPr>
        <w:t xml:space="preserve"> района на личный прием прокурора области, обеспечена лекарственными препаратами и медицинскими изделиями «инсулин», «</w:t>
      </w:r>
      <w:r>
        <w:rPr>
          <w:rFonts w:ascii="Times New Roman" w:hAnsi="Times New Roman"/>
          <w:i/>
          <w:iCs/>
          <w:sz w:val="28"/>
          <w:szCs w:val="28"/>
        </w:rPr>
        <w:t xml:space="preserve">тест-полоски</w:t>
      </w:r>
      <w:r>
        <w:rPr>
          <w:rFonts w:ascii="Times New Roman" w:hAnsi="Times New Roman"/>
          <w:i/>
          <w:iCs/>
          <w:sz w:val="28"/>
          <w:szCs w:val="28"/>
        </w:rPr>
        <w:t xml:space="preserve">», «</w:t>
      </w:r>
      <w:r>
        <w:rPr>
          <w:rFonts w:ascii="Times New Roman" w:hAnsi="Times New Roman"/>
          <w:i/>
          <w:iCs/>
          <w:sz w:val="28"/>
          <w:szCs w:val="28"/>
        </w:rPr>
        <w:t xml:space="preserve">периндоприл</w:t>
      </w:r>
      <w:r>
        <w:rPr>
          <w:rFonts w:ascii="Times New Roman" w:hAnsi="Times New Roman"/>
          <w:i/>
          <w:iCs/>
          <w:sz w:val="28"/>
          <w:szCs w:val="28"/>
        </w:rPr>
        <w:t xml:space="preserve">», «</w:t>
      </w:r>
      <w:r>
        <w:rPr>
          <w:rFonts w:ascii="Times New Roman" w:hAnsi="Times New Roman"/>
          <w:i/>
          <w:iCs/>
          <w:sz w:val="28"/>
          <w:szCs w:val="28"/>
        </w:rPr>
        <w:t xml:space="preserve">моксонидин</w:t>
      </w:r>
      <w:r>
        <w:rPr>
          <w:rFonts w:ascii="Times New Roman" w:hAnsi="Times New Roman"/>
          <w:i/>
          <w:iCs/>
          <w:sz w:val="28"/>
          <w:szCs w:val="28"/>
        </w:rPr>
        <w:t xml:space="preserve">», «</w:t>
      </w:r>
      <w:r>
        <w:rPr>
          <w:rFonts w:ascii="Times New Roman" w:hAnsi="Times New Roman"/>
          <w:i/>
          <w:iCs/>
          <w:sz w:val="28"/>
          <w:szCs w:val="28"/>
        </w:rPr>
        <w:t xml:space="preserve">кеторолак</w:t>
      </w:r>
      <w:r>
        <w:rPr>
          <w:rFonts w:ascii="Times New Roman" w:hAnsi="Times New Roman"/>
          <w:i/>
          <w:iCs/>
          <w:sz w:val="28"/>
          <w:szCs w:val="28"/>
        </w:rPr>
        <w:t xml:space="preserve">», «</w:t>
      </w:r>
      <w:r>
        <w:rPr>
          <w:rFonts w:ascii="Times New Roman" w:hAnsi="Times New Roman"/>
          <w:i/>
          <w:iCs/>
          <w:sz w:val="28"/>
          <w:szCs w:val="28"/>
        </w:rPr>
        <w:t xml:space="preserve">бисопролол</w:t>
      </w:r>
      <w:r>
        <w:rPr>
          <w:rFonts w:ascii="Times New Roman" w:hAnsi="Times New Roman"/>
          <w:i/>
          <w:iCs/>
          <w:sz w:val="28"/>
          <w:szCs w:val="28"/>
        </w:rPr>
        <w:t xml:space="preserve">», «</w:t>
      </w:r>
      <w:r>
        <w:rPr>
          <w:rFonts w:ascii="Times New Roman" w:hAnsi="Times New Roman"/>
          <w:i/>
          <w:iCs/>
          <w:sz w:val="28"/>
          <w:szCs w:val="28"/>
        </w:rPr>
        <w:t xml:space="preserve">омперазол</w:t>
      </w:r>
      <w:r>
        <w:rPr>
          <w:rFonts w:ascii="Times New Roman" w:hAnsi="Times New Roman"/>
          <w:i/>
          <w:iCs/>
          <w:sz w:val="28"/>
          <w:szCs w:val="28"/>
        </w:rPr>
        <w:t xml:space="preserve">», «</w:t>
      </w:r>
      <w:r>
        <w:rPr>
          <w:rFonts w:ascii="Times New Roman" w:hAnsi="Times New Roman"/>
          <w:i/>
          <w:iCs/>
          <w:sz w:val="28"/>
          <w:szCs w:val="28"/>
        </w:rPr>
        <w:t xml:space="preserve">атоварстатин</w:t>
      </w:r>
      <w:r>
        <w:rPr>
          <w:rFonts w:ascii="Times New Roman" w:hAnsi="Times New Roman"/>
          <w:i/>
          <w:iCs/>
          <w:sz w:val="28"/>
          <w:szCs w:val="28"/>
        </w:rPr>
        <w:t xml:space="preserve">», «</w:t>
      </w:r>
      <w:r>
        <w:rPr>
          <w:rFonts w:ascii="Times New Roman" w:hAnsi="Times New Roman"/>
          <w:i/>
          <w:iCs/>
          <w:sz w:val="28"/>
          <w:szCs w:val="28"/>
        </w:rPr>
        <w:t xml:space="preserve">индапамид</w:t>
      </w:r>
      <w:r>
        <w:rPr>
          <w:rFonts w:ascii="Times New Roman" w:hAnsi="Times New Roman"/>
          <w:i/>
          <w:iCs/>
          <w:sz w:val="28"/>
          <w:szCs w:val="28"/>
        </w:rPr>
        <w:t xml:space="preserve">».</w:t>
      </w:r>
      <w:r>
        <w:rPr>
          <w:rFonts w:ascii="Times New Roman" w:hAnsi="Times New Roman"/>
          <w:bCs/>
          <w:i/>
          <w:sz w:val="28"/>
          <w:szCs w:val="28"/>
        </w:rPr>
      </w:r>
      <w:r>
        <w:rPr>
          <w:rFonts w:ascii="Times New Roman" w:hAnsi="Times New Roman"/>
          <w:bCs/>
          <w:i/>
          <w:sz w:val="28"/>
          <w:szCs w:val="28"/>
        </w:rPr>
      </w:r>
    </w:p>
    <w:p>
      <w:pPr>
        <w:ind w:firstLine="709"/>
        <w:jc w:val="both"/>
        <w:spacing w:after="0"/>
        <w:rPr>
          <w:rFonts w:ascii="Times New Roman" w:hAnsi="Times New Roman"/>
          <w:bCs/>
          <w:i/>
          <w:sz w:val="28"/>
          <w:szCs w:val="28"/>
        </w:rPr>
      </w:pPr>
      <w:r>
        <w:rPr>
          <w:rFonts w:ascii="Times New Roman" w:hAnsi="Times New Roman"/>
          <w:i/>
          <w:iCs/>
          <w:sz w:val="28"/>
          <w:szCs w:val="28"/>
        </w:rPr>
        <w:t xml:space="preserve">Прокуратурой Ивановской области рассмотрено обращение инвалида, по результатам которого заявитель </w:t>
      </w:r>
      <w:r>
        <w:rPr>
          <w:rFonts w:ascii="Times New Roman" w:hAnsi="Times New Roman"/>
          <w:i/>
          <w:iCs/>
          <w:sz w:val="28"/>
          <w:szCs w:val="28"/>
        </w:rPr>
        <w:t xml:space="preserve">обеспечена</w:t>
      </w:r>
      <w:r>
        <w:rPr>
          <w:rFonts w:ascii="Times New Roman" w:hAnsi="Times New Roman"/>
          <w:i/>
          <w:iCs/>
          <w:sz w:val="28"/>
          <w:szCs w:val="28"/>
        </w:rPr>
        <w:t xml:space="preserve"> 8 наименованиями лекарственных препаратов. Кроме того, решением суда </w:t>
      </w:r>
      <w:r>
        <w:rPr>
          <w:rFonts w:ascii="Times New Roman" w:hAnsi="Times New Roman"/>
          <w:i/>
          <w:iCs/>
          <w:sz w:val="28"/>
          <w:szCs w:val="28"/>
        </w:rPr>
        <w:t xml:space="preserve">удовлетворены исковые требования прокуратуры Советского района </w:t>
      </w:r>
      <w:r>
        <w:rPr>
          <w:rFonts w:ascii="Times New Roman" w:hAnsi="Times New Roman"/>
          <w:i/>
          <w:iCs/>
          <w:sz w:val="28"/>
          <w:szCs w:val="28"/>
        </w:rPr>
        <w:t xml:space="preserve">г</w:t>
      </w:r>
      <w:r>
        <w:rPr>
          <w:rFonts w:ascii="Times New Roman" w:hAnsi="Times New Roman"/>
          <w:i/>
          <w:iCs/>
          <w:sz w:val="28"/>
          <w:szCs w:val="28"/>
        </w:rPr>
        <w:t xml:space="preserve">. Иваново в интересах заявителя, на Департамент возложена обязанность обеспечить ее лекарственными препаратами «</w:t>
      </w:r>
      <w:r>
        <w:rPr>
          <w:rFonts w:ascii="Times New Roman" w:hAnsi="Times New Roman"/>
          <w:i/>
          <w:iCs/>
          <w:sz w:val="28"/>
          <w:szCs w:val="28"/>
        </w:rPr>
        <w:t xml:space="preserve">омепразол</w:t>
      </w:r>
      <w:r>
        <w:rPr>
          <w:rFonts w:ascii="Times New Roman" w:hAnsi="Times New Roman"/>
          <w:i/>
          <w:iCs/>
          <w:sz w:val="28"/>
          <w:szCs w:val="28"/>
        </w:rPr>
        <w:t xml:space="preserve">», «ацетилсалициловая кислота», «</w:t>
      </w:r>
      <w:r>
        <w:rPr>
          <w:rFonts w:ascii="Times New Roman" w:hAnsi="Times New Roman"/>
          <w:i/>
          <w:iCs/>
          <w:sz w:val="28"/>
          <w:szCs w:val="28"/>
        </w:rPr>
        <w:t xml:space="preserve">фолиевая</w:t>
      </w:r>
      <w:r>
        <w:rPr>
          <w:rFonts w:ascii="Times New Roman" w:hAnsi="Times New Roman"/>
          <w:i/>
          <w:iCs/>
          <w:sz w:val="28"/>
          <w:szCs w:val="28"/>
        </w:rPr>
        <w:t xml:space="preserve"> кислота», «</w:t>
      </w:r>
      <w:r>
        <w:rPr>
          <w:rFonts w:ascii="Times New Roman" w:hAnsi="Times New Roman"/>
          <w:i/>
          <w:iCs/>
          <w:sz w:val="28"/>
          <w:szCs w:val="28"/>
        </w:rPr>
        <w:t xml:space="preserve">бегапистин</w:t>
      </w:r>
      <w:r>
        <w:rPr>
          <w:rFonts w:ascii="Times New Roman" w:hAnsi="Times New Roman"/>
          <w:i/>
          <w:iCs/>
          <w:sz w:val="28"/>
          <w:szCs w:val="28"/>
        </w:rPr>
        <w:t xml:space="preserve">», «</w:t>
      </w:r>
      <w:r>
        <w:rPr>
          <w:rFonts w:ascii="Times New Roman" w:hAnsi="Times New Roman"/>
          <w:i/>
          <w:iCs/>
          <w:sz w:val="28"/>
          <w:szCs w:val="28"/>
        </w:rPr>
        <w:t xml:space="preserve">этилметининдрокспиридин</w:t>
      </w:r>
      <w:r>
        <w:rPr>
          <w:rFonts w:ascii="Times New Roman" w:hAnsi="Times New Roman"/>
          <w:i/>
          <w:iCs/>
          <w:sz w:val="28"/>
          <w:szCs w:val="28"/>
        </w:rPr>
        <w:t xml:space="preserve">», с Департамента в пользу заявителя взыскана компенсация морального вреда. </w:t>
      </w:r>
      <w:r>
        <w:rPr>
          <w:rFonts w:ascii="Times New Roman" w:hAnsi="Times New Roman"/>
          <w:bCs/>
          <w:i/>
          <w:sz w:val="28"/>
          <w:szCs w:val="28"/>
        </w:rPr>
      </w:r>
      <w:r>
        <w:rPr>
          <w:rFonts w:ascii="Times New Roman" w:hAnsi="Times New Roman"/>
          <w:bCs/>
          <w:i/>
          <w:sz w:val="28"/>
          <w:szCs w:val="28"/>
        </w:rPr>
      </w:r>
    </w:p>
    <w:p>
      <w:pPr>
        <w:ind w:firstLine="709"/>
        <w:jc w:val="both"/>
        <w:spacing w:after="0"/>
        <w:rPr>
          <w:rFonts w:ascii="Times New Roman" w:hAnsi="Times New Roman"/>
          <w:sz w:val="28"/>
          <w:szCs w:val="28"/>
        </w:rPr>
      </w:pPr>
      <w:r>
        <w:rPr>
          <w:rFonts w:ascii="Times New Roman" w:hAnsi="Times New Roman"/>
          <w:bCs/>
          <w:sz w:val="28"/>
          <w:szCs w:val="28"/>
        </w:rPr>
        <w:t xml:space="preserve">Во исполнение требований органов прокур</w:t>
      </w:r>
      <w:r>
        <w:rPr>
          <w:rFonts w:ascii="Times New Roman" w:hAnsi="Times New Roman"/>
          <w:bCs/>
          <w:sz w:val="28"/>
          <w:szCs w:val="28"/>
        </w:rPr>
        <w:t xml:space="preserve">атуры, в целях стабилизации сложившейся ситуации с обеспечением конкурентных процедур при закупке лекарственных препаратов, в настоящее время Департаментом здравоохранения Ивановской области (далее - Департамент) прорабатывается вопрос о создании учреждени</w:t>
      </w:r>
      <w:r>
        <w:rPr>
          <w:rFonts w:ascii="Times New Roman" w:hAnsi="Times New Roman"/>
          <w:bCs/>
          <w:sz w:val="28"/>
          <w:szCs w:val="28"/>
        </w:rPr>
        <w:t xml:space="preserve">я, в структуре которого предполагается предусмотреть отдел государственного заказа, на который будут возложены полномочия по проведению конкурентных процедур в целях осуществления закупок лекарственных препаратов, медицинских изделий, включенных в перечень</w:t>
      </w:r>
      <w:r>
        <w:rPr>
          <w:rFonts w:ascii="Times New Roman" w:hAnsi="Times New Roman"/>
          <w:bCs/>
          <w:sz w:val="28"/>
          <w:szCs w:val="28"/>
        </w:rPr>
        <w:t xml:space="preserve"> ЖНВЛП для обеспечения льготной категории граждан (как по федеральной, так и по региональной льготе). Формирование сводной потребности, контроль за распределением (перераспределением) имеющихся лекарственных препаратов, как и в настоящее </w:t>
      </w:r>
      <w:r>
        <w:rPr>
          <w:rFonts w:ascii="Times New Roman" w:hAnsi="Times New Roman"/>
          <w:bCs/>
          <w:sz w:val="28"/>
          <w:szCs w:val="28"/>
        </w:rPr>
        <w:t xml:space="preserve">время</w:t>
      </w:r>
      <w:r>
        <w:rPr>
          <w:rFonts w:ascii="Times New Roman" w:hAnsi="Times New Roman"/>
          <w:bCs/>
          <w:sz w:val="28"/>
          <w:szCs w:val="28"/>
        </w:rPr>
        <w:t xml:space="preserve"> будет осуществляться Департаментом.</w:t>
      </w:r>
      <w:r>
        <w:rPr>
          <w:rFonts w:ascii="Times New Roman" w:hAnsi="Times New Roman"/>
          <w:sz w:val="28"/>
          <w:szCs w:val="28"/>
        </w:rPr>
      </w:r>
      <w:r>
        <w:rPr>
          <w:rFonts w:ascii="Times New Roman" w:hAnsi="Times New Roman"/>
          <w:sz w:val="28"/>
          <w:szCs w:val="28"/>
        </w:rPr>
      </w:r>
    </w:p>
    <w:p>
      <w:pPr>
        <w:ind w:firstLine="709"/>
        <w:jc w:val="both"/>
        <w:spacing w:after="0"/>
        <w:rPr>
          <w:rFonts w:ascii="Times New Roman" w:hAnsi="Times New Roman"/>
          <w:sz w:val="28"/>
          <w:szCs w:val="28"/>
        </w:rPr>
      </w:pPr>
      <w:r>
        <w:rPr>
          <w:rFonts w:ascii="Times New Roman" w:hAnsi="Times New Roman"/>
          <w:sz w:val="28"/>
          <w:szCs w:val="28"/>
        </w:rPr>
        <w:t xml:space="preserve">Таким образом, несмотря на</w:t>
      </w:r>
      <w:r>
        <w:rPr>
          <w:rFonts w:ascii="Times New Roman" w:hAnsi="Times New Roman"/>
          <w:sz w:val="28"/>
          <w:szCs w:val="28"/>
        </w:rPr>
        <w:t xml:space="preserve"> реализацию комплекса мер по улучшению ситуации в сфере охраны здоровья и медицинской помощи в области – включая целевое обучение медиков, финансовые и жилищные стимулы для специалистов, программы «Земский доктор» и «Земский фельдшер», развитие </w:t>
      </w:r>
      <w:r>
        <w:rPr>
          <w:rFonts w:ascii="Times New Roman" w:hAnsi="Times New Roman"/>
          <w:sz w:val="28"/>
          <w:szCs w:val="28"/>
        </w:rPr>
        <w:t xml:space="preserve">телемедицины</w:t>
      </w:r>
      <w:r>
        <w:rPr>
          <w:rFonts w:ascii="Times New Roman" w:hAnsi="Times New Roman"/>
          <w:sz w:val="28"/>
          <w:szCs w:val="28"/>
        </w:rPr>
        <w:t xml:space="preserve"> – ключевые проблемы не теряют своей актуальности: сохраняется дефицит медицинских кадров (не хватает 240 врачей и 242 средних медработников), длительные сроки ожидания приема и диагностических</w:t>
      </w:r>
      <w:r>
        <w:rPr>
          <w:rFonts w:ascii="Times New Roman" w:hAnsi="Times New Roman"/>
          <w:sz w:val="28"/>
          <w:szCs w:val="28"/>
        </w:rPr>
        <w:t xml:space="preserve"> исследований, перебои в поставках жизненно важных лекарств, сложности с маршрутизацией пациентов и недостаточная информированность граждан. Рост числа обращений к Уполномоченно</w:t>
      </w:r>
      <w:r>
        <w:rPr>
          <w:rFonts w:ascii="Times New Roman" w:hAnsi="Times New Roman"/>
          <w:sz w:val="28"/>
          <w:szCs w:val="28"/>
        </w:rPr>
        <w:t xml:space="preserve">му по правам человека (48 письменных и 194 у</w:t>
      </w:r>
      <w:r>
        <w:rPr>
          <w:rFonts w:ascii="Times New Roman" w:hAnsi="Times New Roman"/>
          <w:sz w:val="28"/>
          <w:szCs w:val="28"/>
        </w:rPr>
        <w:t xml:space="preserve">стных в 2025 году) отражает как сохраняющиеся системные трудности, так и растущее доверие населения к механизмам защиты своих прав и через подключение руководства медицинского ведомства. Для полноценной реализации конституционного права на охрану здоровья </w:t>
      </w:r>
      <w:r>
        <w:rPr>
          <w:rFonts w:ascii="Times New Roman" w:hAnsi="Times New Roman"/>
          <w:sz w:val="28"/>
          <w:szCs w:val="28"/>
        </w:rPr>
        <w:t xml:space="preserve">важно продолжить и расширить действующие программы поддержки медицинских работников, оптимизировать систему закупок и распределения лекарств (в т. ч. через создание специализированного отдела госзаказа), совершенствовать маршрутизацию пациентов, развивать </w:t>
      </w:r>
      <w:r>
        <w:rPr>
          <w:rFonts w:ascii="Times New Roman" w:hAnsi="Times New Roman"/>
          <w:sz w:val="28"/>
          <w:szCs w:val="28"/>
        </w:rPr>
        <w:t xml:space="preserve">телемедицинские</w:t>
      </w:r>
      <w:r>
        <w:rPr>
          <w:rFonts w:ascii="Times New Roman" w:hAnsi="Times New Roman"/>
          <w:sz w:val="28"/>
          <w:szCs w:val="28"/>
        </w:rPr>
        <w:t xml:space="preserve"> технологии и повышать прозрачность оказания медицинской помощи. Только комплексный подход, сочетающий кадровые, финансовые, </w:t>
      </w:r>
      <w:r>
        <w:rPr>
          <w:rFonts w:ascii="Times New Roman" w:hAnsi="Times New Roman"/>
          <w:sz w:val="28"/>
          <w:szCs w:val="28"/>
        </w:rPr>
        <w:t xml:space="preserve">инфраструктурные и правовые меры, позволит обеспечить доступность качественной медицинской и лекарственной помощи для всех жителей региона — независимо от места проживания — и гарантировать социальную справедливость в сфере здравоохранения.</w:t>
      </w:r>
      <w:r>
        <w:rPr>
          <w:rFonts w:ascii="Times New Roman" w:hAnsi="Times New Roman"/>
          <w:sz w:val="28"/>
          <w:szCs w:val="28"/>
        </w:rPr>
      </w:r>
      <w:r>
        <w:rPr>
          <w:rFonts w:ascii="Times New Roman" w:hAnsi="Times New Roman"/>
          <w:sz w:val="28"/>
          <w:szCs w:val="28"/>
        </w:rPr>
      </w:r>
    </w:p>
    <w:p>
      <w:pPr>
        <w:pStyle w:val="1236"/>
        <w:ind w:firstLine="567"/>
        <w:jc w:val="center"/>
        <w:spacing w:before="0" w:beforeAutospacing="0" w:after="0" w:afterAutospacing="0" w:line="276" w:lineRule="auto"/>
        <w:shd w:val="clear" w:color="auto" w:fill="ffffff"/>
        <w:rPr>
          <w:b/>
          <w:bCs/>
          <w:color w:val="000000" w:themeColor="text1"/>
          <w:sz w:val="28"/>
          <w:szCs w:val="28"/>
        </w:rPr>
      </w:pPr>
      <w:r>
        <w:rPr>
          <w:b/>
          <w:bCs/>
          <w:color w:val="000000" w:themeColor="text1"/>
          <w:sz w:val="28"/>
          <w:szCs w:val="28"/>
        </w:rPr>
      </w:r>
      <w:r>
        <w:rPr>
          <w:b/>
          <w:bCs/>
          <w:color w:val="000000" w:themeColor="text1"/>
          <w:sz w:val="28"/>
          <w:szCs w:val="28"/>
        </w:rPr>
      </w:r>
      <w:r>
        <w:rPr>
          <w:b/>
          <w:bCs/>
          <w:color w:val="000000" w:themeColor="text1"/>
          <w:sz w:val="28"/>
          <w:szCs w:val="28"/>
        </w:rPr>
      </w:r>
    </w:p>
    <w:p>
      <w:pPr>
        <w:pStyle w:val="1226"/>
        <w:rPr>
          <w:rFonts w:ascii="Times New Roman" w:hAnsi="Times New Roman" w:cs="Times New Roman"/>
          <w:b/>
          <w:bCs/>
          <w:color w:val="000000" w:themeColor="text1"/>
          <w:sz w:val="28"/>
          <w:szCs w:val="28"/>
          <w14:ligatures w14:val="none"/>
        </w:rPr>
      </w:pPr>
      <w:r/>
      <w:bookmarkStart w:id="32" w:name="_Toc10"/>
      <w:r>
        <w:rPr>
          <w:rStyle w:val="1252"/>
          <w:rFonts w:ascii="Times New Roman" w:hAnsi="Times New Roman" w:eastAsia="Times New Roman" w:cs="Times New Roman"/>
        </w:rPr>
        <w:t xml:space="preserve">Уполномоченный </w:t>
      </w:r>
      <w:r>
        <w:rPr>
          <w:rStyle w:val="1252"/>
          <w:rFonts w:ascii="Times New Roman" w:hAnsi="Times New Roman" w:eastAsia="Times New Roman" w:cs="Times New Roman"/>
        </w:rPr>
        <w:t xml:space="preserve">рекомендует</w:t>
      </w:r>
      <w:r>
        <w:rPr>
          <w:rStyle w:val="1252"/>
          <w:rFonts w:ascii="Times New Roman" w:hAnsi="Times New Roman" w:eastAsia="Times New Roman" w:cs="Times New Roman"/>
        </w:rPr>
        <w:t xml:space="preserve"> </w:t>
      </w:r>
      <w:r>
        <w:rPr>
          <w:rFonts w:ascii="Times New Roman" w:hAnsi="Times New Roman" w:eastAsia="Times New Roman" w:cs="Times New Roman"/>
          <w:b/>
          <w:bCs/>
          <w:sz w:val="28"/>
          <w:szCs w:val="28"/>
        </w:rPr>
        <w:t xml:space="preserve">:</w:t>
      </w:r>
      <w:r>
        <w:rPr>
          <w:rFonts w:ascii="Times New Roman" w:hAnsi="Times New Roman" w:cs="Times New Roman"/>
          <w:b/>
          <w:bCs/>
          <w:sz w:val="28"/>
          <w:szCs w:val="28"/>
          <w14:ligatures w14:val="none"/>
        </w:rPr>
      </w:r>
      <w:bookmarkEnd w:id="32"/>
      <w:r>
        <w:rPr>
          <w:rFonts w:ascii="Times New Roman" w:hAnsi="Times New Roman" w:cs="Times New Roman"/>
          <w:b/>
          <w:bCs/>
          <w:color w:val="000000" w:themeColor="text1"/>
          <w:sz w:val="28"/>
          <w:szCs w:val="28"/>
          <w14:ligatures w14:val="none"/>
        </w:rPr>
      </w:r>
      <w:r>
        <w:rPr>
          <w:rFonts w:ascii="Times New Roman" w:hAnsi="Times New Roman" w:cs="Times New Roman"/>
          <w:b/>
          <w:bCs/>
          <w:color w:val="000000" w:themeColor="text1"/>
          <w:sz w:val="28"/>
          <w:szCs w:val="28"/>
          <w14:ligatures w14:val="none"/>
        </w:rPr>
      </w:r>
    </w:p>
    <w:p>
      <w:r/>
      <w:r/>
    </w:p>
    <w:p>
      <w:pPr>
        <w:pStyle w:val="1236"/>
        <w:ind w:firstLine="708"/>
        <w:spacing w:before="0" w:beforeAutospacing="0" w:after="0" w:afterAutospacing="0" w:line="276" w:lineRule="auto"/>
        <w:shd w:val="clear" w:color="auto" w:fill="ffffff"/>
        <w:rPr>
          <w:b/>
          <w:bCs/>
          <w:i/>
          <w:color w:val="000000" w:themeColor="text1"/>
        </w:rPr>
      </w:pPr>
      <w:r>
        <w:rPr>
          <w:b/>
          <w:bCs/>
          <w:i/>
          <w:color w:val="000000" w:themeColor="text1"/>
          <w:sz w:val="28"/>
          <w:szCs w:val="28"/>
        </w:rPr>
        <w:t xml:space="preserve">Правительству Ивановской области:</w:t>
      </w:r>
      <w:r>
        <w:rPr>
          <w:b/>
          <w:bCs/>
          <w:i/>
          <w:color w:val="000000" w:themeColor="text1"/>
        </w:rPr>
      </w:r>
      <w:r>
        <w:rPr>
          <w:b/>
          <w:bCs/>
          <w:i/>
          <w:color w:val="000000" w:themeColor="text1"/>
        </w:rPr>
      </w:r>
    </w:p>
    <w:p>
      <w:pPr>
        <w:pStyle w:val="1236"/>
        <w:numPr>
          <w:ilvl w:val="0"/>
          <w:numId w:val="124"/>
        </w:numPr>
        <w:ind w:left="0" w:firstLine="709"/>
        <w:jc w:val="both"/>
        <w:spacing w:before="0" w:beforeAutospacing="0" w:after="0" w:afterAutospacing="0" w:line="276" w:lineRule="auto"/>
        <w:shd w:val="clear" w:color="auto" w:fill="ffffff"/>
        <w:rPr>
          <w:color w:val="000000" w:themeColor="text1"/>
        </w:rPr>
      </w:pPr>
      <w:r>
        <w:rPr>
          <w:color w:val="000000" w:themeColor="text1"/>
          <w:sz w:val="28"/>
          <w:szCs w:val="28"/>
        </w:rPr>
        <w:t xml:space="preserve">продолжить  дополнительные меры социальной поддержки медицинских работников;</w:t>
      </w:r>
      <w:r>
        <w:rPr>
          <w:color w:val="000000" w:themeColor="text1"/>
        </w:rPr>
      </w:r>
      <w:r>
        <w:rPr>
          <w:color w:val="000000" w:themeColor="text1"/>
        </w:rPr>
      </w:r>
    </w:p>
    <w:p>
      <w:pPr>
        <w:pStyle w:val="1236"/>
        <w:numPr>
          <w:ilvl w:val="0"/>
          <w:numId w:val="124"/>
        </w:numPr>
        <w:ind w:left="0" w:firstLine="709"/>
        <w:jc w:val="both"/>
        <w:spacing w:before="0" w:beforeAutospacing="0" w:after="0" w:afterAutospacing="0" w:line="276" w:lineRule="auto"/>
        <w:shd w:val="clear" w:color="auto" w:fill="ffffff"/>
        <w:rPr>
          <w:color w:val="000000" w:themeColor="text1"/>
        </w:rPr>
      </w:pPr>
      <w:r>
        <w:rPr>
          <w:color w:val="000000" w:themeColor="text1"/>
          <w:sz w:val="28"/>
          <w:szCs w:val="28"/>
        </w:rPr>
        <w:t xml:space="preserve">обеспечить создание специализированного учреждения (отдела госзаказа) для проведения конкурентных процедур закупок ЖНВЛП и иных препаратов для льготных категорий граждан;</w:t>
      </w:r>
      <w:r>
        <w:rPr>
          <w:color w:val="000000" w:themeColor="text1"/>
        </w:rPr>
      </w:r>
      <w:r>
        <w:rPr>
          <w:color w:val="000000" w:themeColor="text1"/>
        </w:rPr>
      </w:r>
    </w:p>
    <w:p>
      <w:pPr>
        <w:pStyle w:val="1236"/>
        <w:numPr>
          <w:ilvl w:val="0"/>
          <w:numId w:val="124"/>
        </w:numPr>
        <w:ind w:left="0" w:firstLine="709"/>
        <w:jc w:val="both"/>
        <w:spacing w:before="0" w:beforeAutospacing="0" w:after="0" w:afterAutospacing="0" w:line="276" w:lineRule="auto"/>
        <w:shd w:val="clear" w:color="auto" w:fill="ffffff"/>
        <w:rPr>
          <w:color w:val="000000" w:themeColor="text1"/>
        </w:rPr>
      </w:pPr>
      <w:r>
        <w:rPr>
          <w:color w:val="000000" w:themeColor="text1"/>
          <w:sz w:val="28"/>
          <w:szCs w:val="28"/>
        </w:rPr>
        <w:t xml:space="preserve">рассмотреть возможность увеличения финансирования закупок дорогостоящих препаратов для лечения редких (</w:t>
      </w:r>
      <w:r>
        <w:rPr>
          <w:color w:val="000000" w:themeColor="text1"/>
          <w:sz w:val="28"/>
          <w:szCs w:val="28"/>
        </w:rPr>
        <w:t xml:space="preserve">орфанных</w:t>
      </w:r>
      <w:r>
        <w:rPr>
          <w:color w:val="000000" w:themeColor="text1"/>
          <w:sz w:val="28"/>
          <w:szCs w:val="28"/>
        </w:rPr>
        <w:t xml:space="preserve">) заболеваний. </w:t>
      </w:r>
      <w:r>
        <w:rPr>
          <w:color w:val="000000" w:themeColor="text1"/>
        </w:rPr>
      </w:r>
      <w:r>
        <w:rPr>
          <w:color w:val="000000" w:themeColor="text1"/>
        </w:rPr>
      </w:r>
    </w:p>
    <w:p>
      <w:pPr>
        <w:pStyle w:val="1236"/>
        <w:ind w:left="567"/>
        <w:jc w:val="both"/>
        <w:spacing w:before="0" w:beforeAutospacing="0" w:after="0" w:afterAutospacing="0" w:line="276" w:lineRule="auto"/>
        <w:shd w:val="clear" w:color="auto" w:fill="ffffff"/>
        <w:rPr>
          <w:color w:val="000000" w:themeColor="text1"/>
        </w:rPr>
      </w:pPr>
      <w:r>
        <w:rPr>
          <w:color w:val="000000" w:themeColor="text1"/>
        </w:rPr>
      </w:r>
      <w:r>
        <w:rPr>
          <w:color w:val="000000" w:themeColor="text1"/>
        </w:rPr>
      </w:r>
    </w:p>
    <w:p>
      <w:pPr>
        <w:pStyle w:val="1236"/>
        <w:ind w:left="567"/>
        <w:jc w:val="both"/>
        <w:spacing w:before="0" w:beforeAutospacing="0" w:after="0" w:afterAutospacing="0" w:line="276" w:lineRule="auto"/>
        <w:shd w:val="clear" w:color="auto" w:fill="ffffff"/>
        <w:rPr>
          <w:color w:val="000000" w:themeColor="text1"/>
        </w:rPr>
      </w:pPr>
      <w:r>
        <w:rPr>
          <w:color w:val="000000" w:themeColor="text1"/>
        </w:rPr>
      </w:r>
      <w:r>
        <w:rPr>
          <w:color w:val="000000" w:themeColor="text1"/>
        </w:rPr>
      </w:r>
    </w:p>
    <w:p>
      <w:pPr>
        <w:pStyle w:val="1236"/>
        <w:ind w:left="567"/>
        <w:jc w:val="both"/>
        <w:spacing w:before="0" w:beforeAutospacing="0" w:after="0" w:afterAutospacing="0" w:line="276" w:lineRule="auto"/>
        <w:shd w:val="clear" w:color="auto" w:fill="ffffff"/>
        <w:rPr>
          <w:color w:val="000000" w:themeColor="text1"/>
        </w:rPr>
      </w:pPr>
      <w:r>
        <w:rPr>
          <w:color w:val="000000" w:themeColor="text1"/>
        </w:rPr>
      </w:r>
      <w:r>
        <w:rPr>
          <w:color w:val="000000" w:themeColor="text1"/>
        </w:rPr>
      </w:r>
    </w:p>
    <w:p>
      <w:pPr>
        <w:pStyle w:val="1236"/>
        <w:ind w:left="567"/>
        <w:jc w:val="both"/>
        <w:spacing w:before="0" w:beforeAutospacing="0" w:after="0" w:afterAutospacing="0" w:line="276" w:lineRule="auto"/>
        <w:shd w:val="clear" w:color="auto" w:fill="ffffff"/>
        <w:rPr>
          <w:color w:val="000000" w:themeColor="text1"/>
        </w:rPr>
      </w:pPr>
      <w:r>
        <w:rPr>
          <w:color w:val="000000" w:themeColor="text1"/>
        </w:rPr>
      </w:r>
      <w:r>
        <w:rPr>
          <w:color w:val="000000" w:themeColor="text1"/>
        </w:rPr>
      </w:r>
      <w:r>
        <w:rPr>
          <w:color w:val="000000" w:themeColor="text1"/>
        </w:rPr>
      </w:r>
    </w:p>
    <w:p>
      <w:pPr>
        <w:pStyle w:val="1236"/>
        <w:ind w:left="567"/>
        <w:spacing w:before="0" w:beforeAutospacing="0" w:after="0" w:afterAutospacing="0" w:line="276" w:lineRule="auto"/>
        <w:shd w:val="clear" w:color="auto" w:fill="ffffff"/>
        <w:rPr>
          <w:b/>
          <w:bCs/>
          <w:i/>
          <w:color w:val="000000" w:themeColor="text1"/>
        </w:rPr>
      </w:pPr>
      <w:r>
        <w:rPr>
          <w:b/>
          <w:bCs/>
          <w:i/>
          <w:color w:val="000000" w:themeColor="text1"/>
          <w:sz w:val="28"/>
          <w:szCs w:val="28"/>
        </w:rPr>
        <w:t xml:space="preserve">Департаменту здравоохранения Ивановской области:</w:t>
      </w:r>
      <w:r>
        <w:rPr>
          <w:b/>
          <w:bCs/>
          <w:i/>
          <w:color w:val="000000" w:themeColor="text1"/>
        </w:rPr>
      </w:r>
      <w:r>
        <w:rPr>
          <w:b/>
          <w:bCs/>
          <w:i/>
          <w:color w:val="000000" w:themeColor="text1"/>
        </w:rPr>
      </w:r>
    </w:p>
    <w:p>
      <w:pPr>
        <w:pStyle w:val="1236"/>
        <w:numPr>
          <w:ilvl w:val="0"/>
          <w:numId w:val="125"/>
        </w:numPr>
        <w:ind w:left="0" w:firstLine="709"/>
        <w:jc w:val="both"/>
        <w:spacing w:before="0" w:beforeAutospacing="0" w:after="0" w:afterAutospacing="0" w:line="276" w:lineRule="auto"/>
        <w:shd w:val="clear" w:color="auto" w:fill="ffffff"/>
        <w:rPr>
          <w:color w:val="000000" w:themeColor="text1"/>
        </w:rPr>
      </w:pPr>
      <w:r>
        <w:rPr>
          <w:color w:val="000000" w:themeColor="text1"/>
          <w:sz w:val="28"/>
          <w:szCs w:val="28"/>
        </w:rPr>
        <w:t xml:space="preserve"> провести анализ эффективности действующих программ привлечения медицинских кадров (целевое обучение, «Земский доктор/фельдшер», жилищная поддержка) и при необходимости скорректировать их условия;</w:t>
      </w:r>
      <w:r>
        <w:rPr>
          <w:color w:val="000000" w:themeColor="text1"/>
        </w:rPr>
      </w:r>
      <w:r>
        <w:rPr>
          <w:color w:val="000000" w:themeColor="text1"/>
        </w:rPr>
      </w:r>
    </w:p>
    <w:p>
      <w:pPr>
        <w:pStyle w:val="1236"/>
        <w:numPr>
          <w:ilvl w:val="0"/>
          <w:numId w:val="125"/>
        </w:numPr>
        <w:ind w:left="0" w:firstLine="709"/>
        <w:jc w:val="both"/>
        <w:spacing w:before="0" w:beforeAutospacing="0" w:after="0" w:afterAutospacing="0" w:line="276" w:lineRule="auto"/>
        <w:shd w:val="clear" w:color="auto" w:fill="ffffff"/>
        <w:rPr>
          <w:color w:val="000000" w:themeColor="text1"/>
        </w:rPr>
      </w:pPr>
      <w:r>
        <w:rPr>
          <w:color w:val="000000" w:themeColor="text1"/>
          <w:sz w:val="28"/>
          <w:szCs w:val="28"/>
        </w:rPr>
        <w:t xml:space="preserve">организовать систему наставничества для молодых специалистов, только что прибывших на работу в регион;</w:t>
      </w:r>
      <w:r>
        <w:rPr>
          <w:color w:val="000000" w:themeColor="text1"/>
        </w:rPr>
      </w:r>
      <w:r>
        <w:rPr>
          <w:color w:val="000000" w:themeColor="text1"/>
        </w:rPr>
      </w:r>
    </w:p>
    <w:p>
      <w:pPr>
        <w:pStyle w:val="1236"/>
        <w:numPr>
          <w:ilvl w:val="0"/>
          <w:numId w:val="125"/>
        </w:numPr>
        <w:ind w:left="0" w:firstLine="709"/>
        <w:jc w:val="both"/>
        <w:spacing w:before="0" w:beforeAutospacing="0" w:after="0" w:afterAutospacing="0" w:line="276" w:lineRule="auto"/>
        <w:shd w:val="clear" w:color="auto" w:fill="ffffff"/>
        <w:rPr>
          <w:color w:val="000000" w:themeColor="text1"/>
        </w:rPr>
      </w:pPr>
      <w:r>
        <w:rPr>
          <w:color w:val="000000" w:themeColor="text1"/>
          <w:sz w:val="28"/>
          <w:szCs w:val="28"/>
        </w:rPr>
        <w:t xml:space="preserve">наладить регулярный мониторинг наличия жизненно важных лекарственных препаратов в аптеках и медицинских организациях, особенно в сельской местности;</w:t>
      </w:r>
      <w:r>
        <w:rPr>
          <w:color w:val="000000" w:themeColor="text1"/>
        </w:rPr>
      </w:r>
      <w:r>
        <w:rPr>
          <w:color w:val="000000" w:themeColor="text1"/>
        </w:rPr>
      </w:r>
    </w:p>
    <w:p>
      <w:pPr>
        <w:pStyle w:val="1236"/>
        <w:numPr>
          <w:ilvl w:val="0"/>
          <w:numId w:val="125"/>
        </w:numPr>
        <w:ind w:left="0" w:firstLine="709"/>
        <w:jc w:val="both"/>
        <w:spacing w:before="0" w:beforeAutospacing="0" w:after="0" w:afterAutospacing="0" w:line="276" w:lineRule="auto"/>
        <w:shd w:val="clear" w:color="auto" w:fill="ffffff"/>
        <w:rPr>
          <w:color w:val="000000" w:themeColor="text1"/>
        </w:rPr>
      </w:pPr>
      <w:r>
        <w:rPr>
          <w:color w:val="000000" w:themeColor="text1"/>
          <w:sz w:val="28"/>
          <w:szCs w:val="28"/>
        </w:rPr>
        <w:t xml:space="preserve">усовершенствовать систему маршрутизации пациентов между медицинскими организациями разного уровня, сократив излишние административные процедуры;</w:t>
      </w:r>
      <w:r>
        <w:rPr>
          <w:color w:val="000000" w:themeColor="text1"/>
        </w:rPr>
      </w:r>
      <w:r>
        <w:rPr>
          <w:color w:val="000000" w:themeColor="text1"/>
        </w:rPr>
      </w:r>
    </w:p>
    <w:p>
      <w:pPr>
        <w:pStyle w:val="1236"/>
        <w:numPr>
          <w:ilvl w:val="0"/>
          <w:numId w:val="125"/>
        </w:numPr>
        <w:ind w:left="0" w:firstLine="709"/>
        <w:jc w:val="both"/>
        <w:spacing w:before="0" w:beforeAutospacing="0" w:after="0" w:afterAutospacing="0" w:line="276" w:lineRule="auto"/>
        <w:shd w:val="clear" w:color="auto" w:fill="ffffff"/>
        <w:rPr>
          <w:color w:val="000000" w:themeColor="text1"/>
        </w:rPr>
      </w:pPr>
      <w:r>
        <w:rPr>
          <w:color w:val="000000" w:themeColor="text1"/>
          <w:sz w:val="28"/>
          <w:szCs w:val="28"/>
        </w:rPr>
        <w:t xml:space="preserve">обеспечить регулярное информирование граждан о правах в сфере охраны здоровья, порядке получения медицинской и лекарственной помощи, включая публикации в СМИ, </w:t>
      </w:r>
      <w:r>
        <w:rPr>
          <w:color w:val="000000" w:themeColor="text1"/>
          <w:sz w:val="28"/>
          <w:szCs w:val="28"/>
        </w:rPr>
        <w:t xml:space="preserve">соцсетях</w:t>
      </w:r>
      <w:r>
        <w:rPr>
          <w:color w:val="000000" w:themeColor="text1"/>
          <w:sz w:val="28"/>
          <w:szCs w:val="28"/>
        </w:rPr>
        <w:t xml:space="preserve"> и размещение материалов в медицинских организациях;</w:t>
      </w:r>
      <w:r>
        <w:rPr>
          <w:color w:val="000000" w:themeColor="text1"/>
        </w:rPr>
      </w:r>
      <w:r>
        <w:rPr>
          <w:color w:val="000000" w:themeColor="text1"/>
        </w:rPr>
      </w:r>
    </w:p>
    <w:p>
      <w:pPr>
        <w:pStyle w:val="1236"/>
        <w:numPr>
          <w:ilvl w:val="0"/>
          <w:numId w:val="125"/>
        </w:numPr>
        <w:ind w:left="0" w:firstLine="709"/>
        <w:jc w:val="both"/>
        <w:spacing w:before="0" w:beforeAutospacing="0" w:after="0" w:afterAutospacing="0" w:line="276" w:lineRule="auto"/>
        <w:shd w:val="clear" w:color="auto" w:fill="ffffff"/>
        <w:rPr>
          <w:color w:val="000000" w:themeColor="text1"/>
        </w:rPr>
      </w:pPr>
      <w:r>
        <w:rPr>
          <w:color w:val="000000" w:themeColor="text1"/>
          <w:sz w:val="28"/>
          <w:szCs w:val="28"/>
        </w:rPr>
        <w:t xml:space="preserve">организовать выездные диспансерные дни в муниципальных образованиях с привлечением высококвалифицированных специалистов;</w:t>
      </w:r>
      <w:r>
        <w:rPr>
          <w:color w:val="000000" w:themeColor="text1"/>
        </w:rPr>
      </w:r>
      <w:r>
        <w:rPr>
          <w:color w:val="000000" w:themeColor="text1"/>
        </w:rPr>
      </w:r>
    </w:p>
    <w:p>
      <w:pPr>
        <w:pStyle w:val="1236"/>
        <w:numPr>
          <w:ilvl w:val="0"/>
          <w:numId w:val="125"/>
        </w:numPr>
        <w:ind w:left="0" w:firstLine="709"/>
        <w:jc w:val="both"/>
        <w:spacing w:before="0" w:beforeAutospacing="0" w:after="0" w:afterAutospacing="0" w:line="276" w:lineRule="auto"/>
        <w:shd w:val="clear" w:color="auto" w:fill="ffffff"/>
        <w:rPr>
          <w:color w:val="000000" w:themeColor="text1"/>
        </w:rPr>
      </w:pPr>
      <w:r>
        <w:rPr>
          <w:color w:val="000000" w:themeColor="text1"/>
          <w:sz w:val="28"/>
          <w:szCs w:val="28"/>
        </w:rPr>
        <w:t xml:space="preserve">участвовать в проведении тематических Дней правового просвещения совместно с региональным институтом </w:t>
      </w:r>
      <w:r>
        <w:rPr>
          <w:color w:val="000000" w:themeColor="text1"/>
          <w:sz w:val="28"/>
          <w:szCs w:val="28"/>
        </w:rPr>
        <w:t xml:space="preserve">правозащиты</w:t>
      </w:r>
      <w:r>
        <w:rPr>
          <w:color w:val="000000" w:themeColor="text1"/>
          <w:sz w:val="28"/>
          <w:szCs w:val="28"/>
        </w:rPr>
        <w:t xml:space="preserve"> на базе муниципальных образований области.</w:t>
      </w:r>
      <w:r>
        <w:rPr>
          <w:color w:val="000000" w:themeColor="text1"/>
        </w:rPr>
      </w:r>
      <w:r>
        <w:rPr>
          <w:color w:val="000000" w:themeColor="text1"/>
        </w:rPr>
      </w:r>
    </w:p>
    <w:p>
      <w:pPr>
        <w:pStyle w:val="1236"/>
        <w:ind w:left="567"/>
        <w:jc w:val="both"/>
        <w:spacing w:before="0" w:beforeAutospacing="0" w:after="0" w:afterAutospacing="0" w:line="276" w:lineRule="auto"/>
        <w:shd w:val="clear" w:color="auto" w:fill="ffffff"/>
        <w:rPr>
          <w:color w:val="000000" w:themeColor="text1"/>
        </w:rPr>
      </w:pPr>
      <w:r>
        <w:rPr>
          <w:color w:val="000000" w:themeColor="text1"/>
        </w:rPr>
      </w:r>
      <w:r>
        <w:rPr>
          <w:color w:val="000000" w:themeColor="text1"/>
        </w:rPr>
      </w:r>
      <w:r>
        <w:rPr>
          <w:color w:val="000000" w:themeColor="text1"/>
        </w:rPr>
      </w:r>
    </w:p>
    <w:p>
      <w:pPr>
        <w:pStyle w:val="1236"/>
        <w:ind w:left="567"/>
        <w:spacing w:before="0" w:beforeAutospacing="0" w:after="0" w:afterAutospacing="0" w:line="276" w:lineRule="auto"/>
        <w:shd w:val="clear" w:color="auto" w:fill="ffffff"/>
        <w:rPr>
          <w:b/>
          <w:bCs/>
          <w:i/>
          <w:color w:val="000000" w:themeColor="text1"/>
        </w:rPr>
      </w:pPr>
      <w:r>
        <w:rPr>
          <w:b/>
          <w:bCs/>
          <w:i/>
          <w:color w:val="000000" w:themeColor="text1"/>
          <w:sz w:val="28"/>
          <w:szCs w:val="28"/>
        </w:rPr>
        <w:t xml:space="preserve">Медицинским организациям Ивановской области:</w:t>
      </w:r>
      <w:r>
        <w:rPr>
          <w:b/>
          <w:bCs/>
          <w:i/>
          <w:color w:val="000000" w:themeColor="text1"/>
        </w:rPr>
      </w:r>
      <w:r>
        <w:rPr>
          <w:b/>
          <w:bCs/>
          <w:i/>
          <w:color w:val="000000" w:themeColor="text1"/>
        </w:rPr>
      </w:r>
    </w:p>
    <w:p>
      <w:pPr>
        <w:pStyle w:val="1236"/>
        <w:numPr>
          <w:ilvl w:val="0"/>
          <w:numId w:val="126"/>
        </w:numPr>
        <w:ind w:left="0" w:firstLine="709"/>
        <w:jc w:val="both"/>
        <w:spacing w:before="0" w:beforeAutospacing="0" w:after="0" w:afterAutospacing="0" w:line="276" w:lineRule="auto"/>
        <w:shd w:val="clear" w:color="auto" w:fill="ffffff"/>
        <w:rPr>
          <w:color w:val="000000" w:themeColor="text1"/>
        </w:rPr>
      </w:pPr>
      <w:r>
        <w:rPr>
          <w:color w:val="000000" w:themeColor="text1"/>
          <w:sz w:val="28"/>
          <w:szCs w:val="28"/>
        </w:rPr>
        <w:t xml:space="preserve">продолжить расширение системы обратной связи от пациентов (анкетирование, горячие линии, </w:t>
      </w:r>
      <w:r>
        <w:rPr>
          <w:color w:val="000000" w:themeColor="text1"/>
          <w:sz w:val="28"/>
          <w:szCs w:val="28"/>
        </w:rPr>
        <w:t xml:space="preserve">онлайн-формы</w:t>
      </w:r>
      <w:r>
        <w:rPr>
          <w:color w:val="000000" w:themeColor="text1"/>
          <w:sz w:val="28"/>
          <w:szCs w:val="28"/>
        </w:rPr>
        <w:t xml:space="preserve">) для оперативного выявления и устранения проблем;</w:t>
      </w:r>
      <w:r>
        <w:rPr>
          <w:color w:val="000000" w:themeColor="text1"/>
        </w:rPr>
      </w:r>
      <w:r>
        <w:rPr>
          <w:color w:val="000000" w:themeColor="text1"/>
        </w:rPr>
      </w:r>
    </w:p>
    <w:p>
      <w:pPr>
        <w:pStyle w:val="1236"/>
        <w:numPr>
          <w:ilvl w:val="0"/>
          <w:numId w:val="126"/>
        </w:numPr>
        <w:ind w:left="0" w:firstLine="709"/>
        <w:jc w:val="both"/>
        <w:spacing w:before="0" w:beforeAutospacing="0" w:after="0" w:afterAutospacing="0" w:line="276" w:lineRule="auto"/>
        <w:shd w:val="clear" w:color="auto" w:fill="ffffff"/>
        <w:rPr>
          <w:color w:val="000000" w:themeColor="text1"/>
        </w:rPr>
      </w:pPr>
      <w:r>
        <w:rPr>
          <w:color w:val="000000" w:themeColor="text1"/>
          <w:sz w:val="28"/>
          <w:szCs w:val="28"/>
        </w:rPr>
        <w:t xml:space="preserve">разработать и внедрить четкие алгоритмы направления пациентов на консультации и обследования, </w:t>
      </w:r>
      <w:r>
        <w:rPr>
          <w:color w:val="000000" w:themeColor="text1"/>
          <w:sz w:val="28"/>
          <w:szCs w:val="28"/>
        </w:rPr>
        <w:t xml:space="preserve">минимизирующие</w:t>
      </w:r>
      <w:r>
        <w:rPr>
          <w:color w:val="000000" w:themeColor="text1"/>
          <w:sz w:val="28"/>
          <w:szCs w:val="28"/>
        </w:rPr>
        <w:t xml:space="preserve"> сроки ожидания;</w:t>
      </w:r>
      <w:r>
        <w:rPr>
          <w:color w:val="000000" w:themeColor="text1"/>
        </w:rPr>
      </w:r>
      <w:r>
        <w:rPr>
          <w:color w:val="000000" w:themeColor="text1"/>
        </w:rPr>
      </w:r>
    </w:p>
    <w:p>
      <w:pPr>
        <w:pStyle w:val="1236"/>
        <w:numPr>
          <w:ilvl w:val="0"/>
          <w:numId w:val="126"/>
        </w:numPr>
        <w:ind w:left="0" w:firstLine="709"/>
        <w:jc w:val="both"/>
        <w:spacing w:before="0" w:beforeAutospacing="0" w:after="0" w:afterAutospacing="0" w:line="276" w:lineRule="auto"/>
        <w:shd w:val="clear" w:color="auto" w:fill="ffffff"/>
        <w:rPr>
          <w:color w:val="000000" w:themeColor="text1"/>
        </w:rPr>
      </w:pPr>
      <w:r>
        <w:rPr>
          <w:color w:val="000000" w:themeColor="text1"/>
          <w:sz w:val="28"/>
          <w:szCs w:val="28"/>
        </w:rPr>
        <w:t xml:space="preserve">обеспечить координацию между отделениями и специалистами для исключения дублирования исследований и процедур.</w:t>
      </w:r>
      <w:r>
        <w:rPr>
          <w:color w:val="000000" w:themeColor="text1"/>
        </w:rPr>
      </w:r>
      <w:r>
        <w:rPr>
          <w:color w:val="000000" w:themeColor="text1"/>
        </w:rPr>
      </w:r>
      <w:r>
        <w:rPr>
          <w:rFonts w:ascii="Times New Roman" w:hAnsi="Times New Roman" w:eastAsia="Times New Roman"/>
          <w:sz w:val="28"/>
          <w:szCs w:val="28"/>
          <w:highlight w:val="none"/>
        </w:rPr>
      </w:r>
      <w:r>
        <w:rPr>
          <w:rFonts w:ascii="Times New Roman" w:hAnsi="Times New Roman" w:eastAsia="Times New Roman"/>
          <w:sz w:val="28"/>
          <w:szCs w:val="28"/>
        </w:rPr>
      </w:r>
      <w:r>
        <w:rPr>
          <w:rFonts w:ascii="Times New Roman" w:hAnsi="Times New Roman" w:eastAsia="Times New Roman"/>
          <w:sz w:val="28"/>
          <w:szCs w:val="28"/>
        </w:rPr>
      </w:r>
      <w:r>
        <w:rPr>
          <w:color w:val="000000" w:themeColor="text1"/>
        </w:rPr>
      </w:r>
    </w:p>
    <w:p>
      <w:pPr>
        <w:pStyle w:val="1236"/>
        <w:jc w:val="both"/>
        <w:spacing w:before="0" w:beforeAutospacing="0" w:after="0" w:afterAutospacing="0" w:line="276" w:lineRule="auto"/>
        <w:shd w:val="clear" w:color="auto" w:fill="ffffff"/>
        <w:rPr>
          <w:color w:val="000000" w:themeColor="text1"/>
        </w:rPr>
      </w:pPr>
      <w:r>
        <w:rPr>
          <w:color w:val="000000" w:themeColor="text1"/>
        </w:rPr>
      </w:r>
      <w:r>
        <w:rPr>
          <w:color w:val="000000" w:themeColor="text1"/>
        </w:rPr>
      </w:r>
    </w:p>
    <w:p>
      <w:pPr>
        <w:pStyle w:val="1236"/>
        <w:jc w:val="both"/>
        <w:spacing w:before="0" w:beforeAutospacing="0" w:after="0" w:afterAutospacing="0" w:line="276" w:lineRule="auto"/>
        <w:shd w:val="clear" w:color="auto" w:fill="ffffff"/>
        <w:rPr>
          <w:color w:val="000000" w:themeColor="text1"/>
        </w:rPr>
      </w:pPr>
      <w:r>
        <w:rPr>
          <w:color w:val="000000" w:themeColor="text1"/>
        </w:rPr>
      </w:r>
      <w:r>
        <w:rPr>
          <w:color w:val="000000" w:themeColor="text1"/>
        </w:rPr>
      </w:r>
    </w:p>
    <w:p>
      <w:pPr>
        <w:pStyle w:val="1236"/>
        <w:jc w:val="both"/>
        <w:spacing w:before="0" w:beforeAutospacing="0" w:after="0" w:afterAutospacing="0" w:line="276" w:lineRule="auto"/>
        <w:shd w:val="clear" w:color="auto" w:fill="ffffff"/>
        <w:rPr>
          <w:color w:val="000000" w:themeColor="text1"/>
        </w:rPr>
      </w:pPr>
      <w:r>
        <w:rPr>
          <w:color w:val="000000" w:themeColor="text1"/>
        </w:rPr>
      </w:r>
      <w:r>
        <w:rPr>
          <w:color w:val="000000" w:themeColor="text1"/>
        </w:rPr>
      </w:r>
    </w:p>
    <w:p>
      <w:pPr>
        <w:pStyle w:val="1236"/>
        <w:jc w:val="both"/>
        <w:spacing w:before="0" w:beforeAutospacing="0" w:after="0" w:afterAutospacing="0" w:line="276" w:lineRule="auto"/>
        <w:shd w:val="clear" w:color="auto" w:fill="ffffff"/>
        <w:rPr>
          <w:color w:val="000000" w:themeColor="text1"/>
        </w:rPr>
      </w:pPr>
      <w:r>
        <w:rPr>
          <w:color w:val="000000" w:themeColor="text1"/>
        </w:rPr>
      </w:r>
      <w:r>
        <w:rPr>
          <w:color w:val="000000" w:themeColor="text1"/>
        </w:rPr>
      </w:r>
    </w:p>
    <w:p>
      <w:pPr>
        <w:pStyle w:val="1236"/>
        <w:jc w:val="both"/>
        <w:spacing w:before="0" w:beforeAutospacing="0" w:after="0" w:afterAutospacing="0" w:line="276" w:lineRule="auto"/>
        <w:shd w:val="clear" w:color="auto" w:fill="ffffff"/>
        <w:rPr>
          <w:color w:val="000000" w:themeColor="text1"/>
        </w:rPr>
      </w:pPr>
      <w:r>
        <w:rPr>
          <w:color w:val="000000" w:themeColor="text1"/>
          <w:sz w:val="28"/>
          <w:szCs w:val="28"/>
          <w:highlight w:val="none"/>
        </w:rPr>
      </w:r>
      <w:r>
        <w:rPr>
          <w:color w:val="000000" w:themeColor="text1"/>
          <w:sz w:val="28"/>
          <w:szCs w:val="28"/>
          <w:highlight w:val="none"/>
        </w:rPr>
      </w:r>
    </w:p>
    <w:p>
      <w:pPr>
        <w:pStyle w:val="1225"/>
        <w:jc w:val="center"/>
      </w:pPr>
      <w:r/>
      <w:bookmarkStart w:id="33" w:name="_Toc11"/>
      <w:r>
        <w:t xml:space="preserve">РАЗДЕЛ 5.  ПРАВО НА СОЦИАЛЬНОЕ И ПЕНСИОННОЕ ОБЕСПЕЧЕНИЕ</w:t>
      </w:r>
      <w:bookmarkEnd w:id="33"/>
      <w:r/>
      <w:r/>
    </w:p>
    <w:p>
      <w:r/>
      <w:r/>
    </w:p>
    <w:p>
      <w:pPr>
        <w:pStyle w:val="1226"/>
        <w:jc w:val="center"/>
        <w:rPr>
          <w:rFonts w:ascii="Times New Roman" w:hAnsi="Times New Roman" w:cs="Times New Roman"/>
          <w:color w:val="auto"/>
          <w:sz w:val="28"/>
          <w:szCs w:val="28"/>
        </w:rPr>
      </w:pPr>
      <w:r/>
      <w:bookmarkStart w:id="34" w:name="_Toc12"/>
      <w:r>
        <w:rPr>
          <w:rFonts w:ascii="Times New Roman" w:hAnsi="Times New Roman" w:cs="Times New Roman"/>
          <w:b/>
          <w:bCs/>
          <w:color w:val="auto"/>
          <w:sz w:val="28"/>
          <w:szCs w:val="28"/>
        </w:rPr>
        <w:t xml:space="preserve">5.1. Право на социальное обеспечение. Предоставление мер социальной поддержки</w:t>
      </w:r>
      <w:r>
        <w:rPr>
          <w:rFonts w:ascii="Times New Roman" w:hAnsi="Times New Roman" w:cs="Times New Roman"/>
          <w:b/>
          <w:bCs/>
          <w:color w:val="auto"/>
          <w:sz w:val="28"/>
          <w:szCs w:val="28"/>
        </w:rPr>
      </w:r>
      <w:bookmarkEnd w:id="34"/>
      <w:r>
        <w:rPr>
          <w:rFonts w:ascii="Times New Roman" w:hAnsi="Times New Roman" w:cs="Times New Roman"/>
          <w:color w:val="auto"/>
          <w:sz w:val="28"/>
          <w:szCs w:val="28"/>
        </w:rPr>
      </w:r>
      <w:r>
        <w:rPr>
          <w:rFonts w:ascii="Times New Roman" w:hAnsi="Times New Roman" w:cs="Times New Roman"/>
          <w:color w:val="auto"/>
          <w:sz w:val="28"/>
          <w:szCs w:val="28"/>
        </w:rPr>
      </w:r>
    </w:p>
    <w:p>
      <w:pPr>
        <w:pStyle w:val="1236"/>
        <w:ind w:firstLine="567"/>
        <w:jc w:val="both"/>
        <w:spacing w:before="0" w:beforeAutospacing="0" w:after="0" w:afterAutospacing="0" w:line="276" w:lineRule="auto"/>
        <w:shd w:val="clear" w:color="auto" w:fill="ffffff"/>
        <w:rPr>
          <w:sz w:val="28"/>
          <w:szCs w:val="28"/>
        </w:rPr>
      </w:pPr>
      <w:r>
        <w:rPr>
          <w:b/>
          <w:bCs/>
          <w:sz w:val="28"/>
          <w:szCs w:val="28"/>
        </w:rPr>
        <w:t xml:space="preserve"> </w:t>
      </w:r>
      <w:r>
        <w:rPr>
          <w:b/>
          <w:bCs/>
          <w:sz w:val="28"/>
          <w:szCs w:val="28"/>
        </w:rPr>
        <w:tab/>
      </w:r>
      <w:r>
        <w:rPr>
          <w:sz w:val="28"/>
          <w:szCs w:val="28"/>
        </w:rPr>
      </w:r>
      <w:r>
        <w:rPr>
          <w:sz w:val="28"/>
          <w:szCs w:val="28"/>
        </w:rPr>
      </w:r>
    </w:p>
    <w:p>
      <w:pPr>
        <w:pStyle w:val="1236"/>
        <w:ind w:firstLine="709"/>
        <w:jc w:val="both"/>
        <w:spacing w:before="0" w:beforeAutospacing="0" w:after="0" w:afterAutospacing="0" w:line="276" w:lineRule="auto"/>
        <w:shd w:val="clear" w:color="auto" w:fill="ffffff"/>
        <w:rPr>
          <w:color w:val="000000"/>
          <w:sz w:val="28"/>
          <w:szCs w:val="28"/>
        </w:rPr>
      </w:pPr>
      <w:r>
        <w:rPr>
          <w:color w:val="000000"/>
          <w:sz w:val="28"/>
          <w:szCs w:val="28"/>
        </w:rPr>
        <w:t xml:space="preserve">Право на социальное обеспечение – одна из наиболее важных конституционных форм социальной защиты населения, закрепленная в статье 39 Конституци</w:t>
      </w:r>
      <w:r>
        <w:rPr>
          <w:color w:val="000000"/>
          <w:sz w:val="28"/>
          <w:szCs w:val="28"/>
        </w:rPr>
        <w:t xml:space="preserve">и Российской Федерации. Это фундаментальное право гарантирует поддержку со стороны государства гражданам, оказавшимся в сложных жизненных обстоятельствах, которые приводят к утрате или существенному снижению источников дохода и не зависят от воли человека.</w:t>
      </w:r>
      <w:r>
        <w:rPr>
          <w:color w:val="000000"/>
          <w:sz w:val="28"/>
          <w:szCs w:val="28"/>
        </w:rPr>
      </w:r>
      <w:r>
        <w:rPr>
          <w:color w:val="000000"/>
          <w:sz w:val="28"/>
          <w:szCs w:val="28"/>
        </w:rPr>
      </w:r>
    </w:p>
    <w:p>
      <w:pPr>
        <w:pStyle w:val="1236"/>
        <w:ind w:firstLine="709"/>
        <w:jc w:val="both"/>
        <w:spacing w:before="0" w:beforeAutospacing="0" w:after="0" w:afterAutospacing="0" w:line="276" w:lineRule="auto"/>
        <w:shd w:val="clear" w:color="auto" w:fill="ffffff"/>
      </w:pPr>
      <w:r>
        <w:rPr>
          <w:color w:val="000000"/>
          <w:sz w:val="28"/>
          <w:szCs w:val="28"/>
        </w:rPr>
        <w:t xml:space="preserve">Реализация  данного права возникает при наступлении установленных законом социально значимых событий и обстоятельств, сопряженных с существенными социальными рисками. </w:t>
      </w:r>
      <w:r>
        <w:rPr>
          <w:color w:val="000000"/>
          <w:sz w:val="28"/>
          <w:szCs w:val="28"/>
        </w:rPr>
        <w:t xml:space="preserve">К ним относятся: достижение пенсионного возраста, наступление време</w:t>
      </w:r>
      <w:r>
        <w:rPr>
          <w:color w:val="000000"/>
          <w:sz w:val="28"/>
          <w:szCs w:val="28"/>
        </w:rPr>
        <w:t xml:space="preserve">нной или стойкой нетрудоспособности, болезнь, назначение инвалидности, потеря кормильца, воспитание детей (в т. ч. в многодетных семьях), безработица, а также иные ситуации - например, чрезвычайные происшествия, стихийные бедствия, вынужденное переселение.</w:t>
      </w:r>
      <w:r>
        <w:rPr>
          <w:color w:val="000000"/>
          <w:sz w:val="28"/>
          <w:szCs w:val="28"/>
        </w:rPr>
        <w:t xml:space="preserve"> Кроме того, право на меры поддержки может быть обусловлено особым социальным статусом гражданина: ветераном </w:t>
      </w:r>
      <w:r>
        <w:rPr>
          <w:color w:val="000000"/>
          <w:sz w:val="28"/>
          <w:szCs w:val="28"/>
        </w:rPr>
        <w:t xml:space="preserve">боевых действий, участником ликвидации последствий радиационных катастроф, жителем блокадного Ленинграда и т. д.</w:t>
      </w:r>
      <w:r/>
    </w:p>
    <w:p>
      <w:pPr>
        <w:pStyle w:val="1236"/>
        <w:ind w:firstLine="709"/>
        <w:jc w:val="both"/>
        <w:spacing w:before="0" w:beforeAutospacing="0" w:after="0" w:afterAutospacing="0" w:line="276" w:lineRule="auto"/>
        <w:shd w:val="clear" w:color="auto" w:fill="ffffff"/>
      </w:pPr>
      <w:r>
        <w:rPr>
          <w:color w:val="000000"/>
          <w:sz w:val="28"/>
          <w:szCs w:val="28"/>
        </w:rPr>
        <w:t xml:space="preserve">Содержание права на социальное обеспечение подразумевает обязательное участие государства в создании условий для достойной жизни граждан, которые по объективным причинам не имеют достаточных сре</w:t>
      </w:r>
      <w:r>
        <w:rPr>
          <w:color w:val="000000"/>
          <w:sz w:val="28"/>
          <w:szCs w:val="28"/>
        </w:rPr>
        <w:t xml:space="preserve">дств к с</w:t>
      </w:r>
      <w:r>
        <w:rPr>
          <w:color w:val="000000"/>
          <w:sz w:val="28"/>
          <w:szCs w:val="28"/>
        </w:rPr>
        <w:t xml:space="preserve">уществованию. Система мер социальной поддержки многообразна и включает:</w:t>
      </w:r>
      <w:r/>
    </w:p>
    <w:p>
      <w:pPr>
        <w:pStyle w:val="1236"/>
        <w:numPr>
          <w:ilvl w:val="0"/>
          <w:numId w:val="117"/>
        </w:numPr>
        <w:ind w:left="0" w:firstLine="709"/>
        <w:jc w:val="both"/>
        <w:spacing w:before="0" w:beforeAutospacing="0" w:after="0" w:afterAutospacing="0" w:line="276" w:lineRule="auto"/>
        <w:shd w:val="clear" w:color="auto" w:fill="ffffff"/>
      </w:pPr>
      <w:r>
        <w:rPr>
          <w:color w:val="000000"/>
          <w:sz w:val="28"/>
          <w:szCs w:val="28"/>
        </w:rPr>
        <w:t xml:space="preserve">денежные выплаты (пенсии - по старости, инвалидности, потере кормильца; пособия - по беременности и родам, по уходу за ребенком, по безработице; социальные доплаты до уровня прожиточного минимума; материнский капитал; компенсационные выплаты);</w:t>
      </w:r>
      <w:r/>
    </w:p>
    <w:p>
      <w:pPr>
        <w:pStyle w:val="1236"/>
        <w:numPr>
          <w:ilvl w:val="0"/>
          <w:numId w:val="117"/>
        </w:numPr>
        <w:ind w:left="0" w:firstLine="709"/>
        <w:jc w:val="both"/>
        <w:spacing w:before="0" w:beforeAutospacing="0" w:after="0" w:afterAutospacing="0" w:line="276" w:lineRule="auto"/>
        <w:shd w:val="clear" w:color="auto" w:fill="ffffff"/>
      </w:pPr>
      <w:r>
        <w:rPr>
          <w:color w:val="000000"/>
          <w:sz w:val="28"/>
          <w:szCs w:val="28"/>
        </w:rPr>
        <w:t xml:space="preserve">натуральную помощь (обеспечение лекарствами и медицинскими изделиями, предоставление технических средств реабилитации для инвалидов, продуктовые наборы, путевки на санаторно-курортное лечение);</w:t>
      </w:r>
      <w:r/>
    </w:p>
    <w:p>
      <w:pPr>
        <w:pStyle w:val="1236"/>
        <w:numPr>
          <w:ilvl w:val="0"/>
          <w:numId w:val="117"/>
        </w:numPr>
        <w:ind w:left="0" w:firstLine="709"/>
        <w:jc w:val="both"/>
        <w:spacing w:before="0" w:beforeAutospacing="0" w:after="0" w:afterAutospacing="0" w:line="276" w:lineRule="auto"/>
        <w:shd w:val="clear" w:color="auto" w:fill="ffffff"/>
      </w:pPr>
      <w:r>
        <w:rPr>
          <w:color w:val="000000"/>
          <w:sz w:val="28"/>
          <w:szCs w:val="28"/>
        </w:rPr>
        <w:t xml:space="preserve">социальные услуги (социальное обслуживание на дому, временное проживание в организациях социального обслуживания, помощь в трудоустройстве и профессиональном обучении, психологическая и юридическая поддержка);</w:t>
      </w:r>
      <w:r/>
    </w:p>
    <w:p>
      <w:pPr>
        <w:pStyle w:val="1236"/>
        <w:numPr>
          <w:ilvl w:val="0"/>
          <w:numId w:val="117"/>
        </w:numPr>
        <w:ind w:left="0" w:firstLine="709"/>
        <w:jc w:val="both"/>
        <w:spacing w:before="0" w:beforeAutospacing="0" w:after="0" w:afterAutospacing="0" w:line="276" w:lineRule="auto"/>
        <w:shd w:val="clear" w:color="auto" w:fill="ffffff"/>
      </w:pPr>
      <w:r>
        <w:rPr>
          <w:color w:val="000000"/>
          <w:sz w:val="28"/>
          <w:szCs w:val="28"/>
        </w:rPr>
        <w:t xml:space="preserve">льготы и компенсации (скидки на оплату жилищно-коммунальных услуг, льготный проезд в общественном транспорте, налоговые льготы, внеочередное предоставление жилья отдельным категориям граждан);</w:t>
      </w:r>
      <w:r/>
    </w:p>
    <w:p>
      <w:pPr>
        <w:pStyle w:val="1236"/>
        <w:numPr>
          <w:ilvl w:val="0"/>
          <w:numId w:val="117"/>
        </w:numPr>
        <w:ind w:left="0" w:firstLine="709"/>
        <w:jc w:val="both"/>
        <w:spacing w:before="0" w:beforeAutospacing="0" w:after="0" w:afterAutospacing="0" w:line="276" w:lineRule="auto"/>
        <w:shd w:val="clear" w:color="auto" w:fill="ffffff"/>
      </w:pPr>
      <w:r>
        <w:rPr>
          <w:color w:val="000000"/>
          <w:sz w:val="28"/>
          <w:szCs w:val="28"/>
        </w:rPr>
        <w:t xml:space="preserve">социальный контракт – договор с орга</w:t>
      </w:r>
      <w:r>
        <w:rPr>
          <w:color w:val="000000"/>
          <w:sz w:val="28"/>
          <w:szCs w:val="28"/>
        </w:rPr>
        <w:t xml:space="preserve">нами социальной защиты, предусматривающий оказание адресной помощи в обмен на реализацию мероприятий по преодолению трудной жизненной ситуации (поиск работы, обучение, организация индивидуальной трудовой деятельности, ведение личного подсобного хозяйства).</w:t>
      </w:r>
      <w:r/>
    </w:p>
    <w:p>
      <w:pPr>
        <w:pStyle w:val="1236"/>
        <w:ind w:firstLine="709"/>
        <w:jc w:val="both"/>
        <w:spacing w:before="0" w:beforeAutospacing="0" w:after="0" w:afterAutospacing="0" w:line="276" w:lineRule="auto"/>
        <w:shd w:val="clear" w:color="auto" w:fill="ffffff"/>
      </w:pPr>
      <w:r>
        <w:rPr>
          <w:color w:val="000000"/>
          <w:sz w:val="28"/>
          <w:szCs w:val="28"/>
        </w:rPr>
        <w:t xml:space="preserve">Нормативно-правовая база социального обеспечения охватывает широкий спектр актов: от Конституции РФ и международных договоров (Всеобщей декларации прав человека, Международного пакта об экономических, социальных и культурных правах) до федерал</w:t>
      </w:r>
      <w:r>
        <w:rPr>
          <w:color w:val="000000"/>
          <w:sz w:val="28"/>
          <w:szCs w:val="28"/>
        </w:rPr>
        <w:t xml:space="preserve">ьных законов («О трудовых пенсиях в Российской Федерации», «О социальной защите инвалидов в Российской Федерации», «О государственной социальной помощи» и др.), указов Президента, постановлений Правительства, региональных и муниципальных нормативных актов.</w:t>
      </w:r>
      <w:r/>
    </w:p>
    <w:p>
      <w:pPr>
        <w:pStyle w:val="1236"/>
        <w:ind w:firstLine="709"/>
        <w:jc w:val="both"/>
        <w:spacing w:before="0" w:beforeAutospacing="0" w:after="0" w:afterAutospacing="0" w:line="276" w:lineRule="auto"/>
        <w:shd w:val="clear" w:color="auto" w:fill="ffffff"/>
      </w:pPr>
      <w:r>
        <w:rPr>
          <w:color w:val="000000"/>
          <w:sz w:val="28"/>
          <w:szCs w:val="28"/>
        </w:rPr>
        <w:t xml:space="preserve">На практик</w:t>
      </w:r>
      <w:r>
        <w:rPr>
          <w:color w:val="000000"/>
          <w:sz w:val="28"/>
          <w:szCs w:val="28"/>
        </w:rPr>
        <w:t xml:space="preserve">е реализация права на социальное обеспечение сталкивается с рядом проблем, о которых регулярно сообщают граждане в обращениях к Уполномоченному по правам человека: сложности сбора и подачи документов, длительные сроки рассмотрения заявлений, недостаточная </w:t>
      </w:r>
      <w:r>
        <w:rPr>
          <w:color w:val="000000"/>
          <w:sz w:val="28"/>
          <w:szCs w:val="28"/>
        </w:rPr>
        <w:t xml:space="preserve">информированность о положенных мерах поддержки, неоднозначность трактовок отдельных норм законодательства, региональные различия в условиях и объемах предоставления льгот, отказы в назначении выплат без достаточных оснований, задержки в</w:t>
      </w:r>
      <w:r>
        <w:rPr>
          <w:color w:val="000000"/>
          <w:sz w:val="28"/>
          <w:szCs w:val="28"/>
        </w:rPr>
        <w:t xml:space="preserve"> </w:t>
      </w:r>
      <w:r>
        <w:rPr>
          <w:color w:val="000000"/>
          <w:sz w:val="28"/>
          <w:szCs w:val="28"/>
        </w:rPr>
        <w:t xml:space="preserve">перечислении</w:t>
      </w:r>
      <w:r>
        <w:rPr>
          <w:color w:val="000000"/>
          <w:sz w:val="28"/>
          <w:szCs w:val="28"/>
        </w:rPr>
        <w:t xml:space="preserve"> средств.</w:t>
      </w:r>
      <w:r/>
    </w:p>
    <w:p>
      <w:pPr>
        <w:pStyle w:val="1236"/>
        <w:ind w:firstLine="709"/>
        <w:jc w:val="both"/>
        <w:spacing w:before="0" w:beforeAutospacing="0" w:after="0" w:afterAutospacing="0" w:line="276" w:lineRule="auto"/>
        <w:shd w:val="clear" w:color="auto" w:fill="ffffff"/>
        <w:rPr>
          <w:color w:val="000000"/>
          <w:sz w:val="28"/>
          <w:szCs w:val="28"/>
        </w:rPr>
      </w:pPr>
      <w:r>
        <w:rPr>
          <w:color w:val="000000"/>
          <w:sz w:val="28"/>
          <w:szCs w:val="28"/>
        </w:rPr>
        <w:t xml:space="preserve">В связи с этим Уполномоченный уделяет особое внимание обращениям по вопросам социального обеспечения, которые ежегодно занимают лидирующее место в общем количестве жалоб от граждан (2025 год - 99 письменных и 200 устных обращений). </w:t>
      </w:r>
      <w:r>
        <w:rPr>
          <w:color w:val="000000"/>
          <w:sz w:val="28"/>
          <w:szCs w:val="28"/>
        </w:rPr>
      </w:r>
      <w:r>
        <w:rPr>
          <w:color w:val="000000"/>
          <w:sz w:val="28"/>
          <w:szCs w:val="28"/>
        </w:rPr>
      </w:r>
    </w:p>
    <w:p>
      <w:pPr>
        <w:pStyle w:val="1236"/>
        <w:ind w:firstLine="0"/>
        <w:jc w:val="both"/>
        <w:spacing w:before="0" w:beforeAutospacing="0" w:after="0" w:afterAutospacing="0" w:line="276" w:lineRule="auto"/>
        <w:shd w:val="clear" w:color="auto" w:fill="ffffff"/>
        <w:rPr>
          <w:color w:val="000000"/>
          <w:sz w:val="28"/>
          <w:szCs w:val="28"/>
        </w:rPr>
      </w:pPr>
      <w:r>
        <w:rPr>
          <w:color w:val="000000"/>
          <w:sz w:val="28"/>
          <w:szCs w:val="28"/>
        </w:rPr>
      </w:r>
      <w:r>
        <w:rPr>
          <w:color w:val="000000"/>
          <w:sz w:val="28"/>
          <w:szCs w:val="28"/>
        </w:rPr>
      </w:r>
      <w:r>
        <w:rPr>
          <w:color w:val="000000"/>
          <w:sz w:val="28"/>
          <w:szCs w:val="28"/>
        </w:rPr>
      </w:r>
    </w:p>
    <w:p>
      <w:pPr>
        <w:jc w:val="center"/>
        <w:rPr>
          <w:rFonts w:ascii="Times New Roman" w:hAnsi="Times New Roman"/>
          <w:b/>
          <w:sz w:val="28"/>
          <w:szCs w:val="28"/>
        </w:rPr>
      </w:pPr>
      <w:r>
        <w:rPr>
          <w:rFonts w:ascii="Times New Roman" w:hAnsi="Times New Roman"/>
          <w:b/>
          <w:sz w:val="28"/>
          <w:szCs w:val="28"/>
        </w:rPr>
        <w:t xml:space="preserve">Дополнительные меры социальной поддержки населения</w:t>
      </w:r>
      <w:r>
        <w:rPr>
          <w:rFonts w:ascii="Times New Roman" w:hAnsi="Times New Roman"/>
          <w:b/>
          <w:sz w:val="28"/>
          <w:szCs w:val="28"/>
        </w:rPr>
      </w:r>
      <w:r>
        <w:rPr>
          <w:rFonts w:ascii="Times New Roman" w:hAnsi="Times New Roman"/>
          <w:b/>
          <w:sz w:val="28"/>
          <w:szCs w:val="28"/>
        </w:rPr>
      </w:r>
      <w:r>
        <w:rPr>
          <w:rFonts w:ascii="Times New Roman" w:hAnsi="Times New Roman"/>
          <w:sz w:val="28"/>
          <w:szCs w:val="28"/>
        </w:rPr>
      </w:r>
      <w:r>
        <w:rPr>
          <w:rFonts w:ascii="Times New Roman" w:hAnsi="Times New Roman"/>
          <w:sz w:val="28"/>
          <w:szCs w:val="28"/>
        </w:rPr>
      </w:r>
      <w:r>
        <w:rPr>
          <w:rFonts w:ascii="Times New Roman" w:hAnsi="Times New Roman"/>
          <w:sz w:val="28"/>
          <w:szCs w:val="28"/>
        </w:rPr>
      </w:r>
      <w:r>
        <w:rPr>
          <w:rFonts w:ascii="Times New Roman" w:hAnsi="Times New Roman"/>
          <w:b/>
          <w:sz w:val="28"/>
          <w:szCs w:val="28"/>
        </w:rPr>
      </w:r>
    </w:p>
    <w:p>
      <w:pPr>
        <w:ind w:firstLine="709"/>
        <w:jc w:val="both"/>
        <w:spacing w:after="0"/>
        <w:tabs>
          <w:tab w:val="left" w:pos="3165" w:leader="none"/>
        </w:tabs>
      </w:pPr>
      <w:r>
        <w:rPr>
          <w:rFonts w:ascii="Times New Roman" w:hAnsi="Times New Roman"/>
          <w:sz w:val="28"/>
          <w:szCs w:val="28"/>
        </w:rPr>
        <w:t xml:space="preserve">В 2025 году в Ивановской области за счет средств федеральной субсидии было заключено 924 социальных контракта на общую сумму 177,1 </w:t>
      </w:r>
      <w:r>
        <w:rPr>
          <w:rFonts w:ascii="Times New Roman" w:hAnsi="Times New Roman"/>
          <w:sz w:val="28"/>
          <w:szCs w:val="28"/>
        </w:rPr>
        <w:t xml:space="preserve">млн</w:t>
      </w:r>
      <w:r>
        <w:rPr>
          <w:rFonts w:ascii="Times New Roman" w:hAnsi="Times New Roman"/>
          <w:sz w:val="28"/>
          <w:szCs w:val="28"/>
        </w:rPr>
        <w:t xml:space="preserve"> рублей. Распределение контрактов по направлениям выглядит сл</w:t>
      </w:r>
      <w:r>
        <w:rPr>
          <w:rFonts w:ascii="Times New Roman" w:hAnsi="Times New Roman"/>
          <w:sz w:val="28"/>
          <w:szCs w:val="28"/>
        </w:rPr>
        <w:t xml:space="preserve">едующим образом: 378 контрактов направлено на содействие в поиске работы, 374 — на поддержку индивидуальной предпринимательской деятельности, 38 — на развитие личного подсобного хозяйства и 134 — на оказание помощи в преодолении трудной жизненной ситуации.</w:t>
      </w:r>
      <w:r/>
    </w:p>
    <w:p>
      <w:pPr>
        <w:ind w:firstLine="709"/>
        <w:jc w:val="both"/>
        <w:spacing w:after="0"/>
        <w:tabs>
          <w:tab w:val="left" w:pos="3165" w:leader="none"/>
        </w:tabs>
      </w:pPr>
      <w:r>
        <w:rPr>
          <w:rFonts w:ascii="Times New Roman" w:hAnsi="Times New Roman"/>
          <w:sz w:val="28"/>
          <w:szCs w:val="28"/>
        </w:rPr>
        <w:t xml:space="preserve">Условия реализации социальных контрактов различаются в зависимости от их цели. Так, контракт на поиск работы заключается сроком до 9 месяцев. В рамках него предусмотрено социальное пособие: оно выплачивается в течение первого месяца пос</w:t>
      </w:r>
      <w:r>
        <w:rPr>
          <w:rFonts w:ascii="Times New Roman" w:hAnsi="Times New Roman"/>
          <w:sz w:val="28"/>
          <w:szCs w:val="28"/>
        </w:rPr>
        <w:t xml:space="preserve">ле заключения контракта, а затем — еще три месяца после подтверждения факта трудоустройства. Размер выплаты соответствует величине прожиточного минимума трудоспособного населения в Ивановской области на год осуществления социальной выплаты — 18 169 рублей.</w:t>
      </w:r>
      <w:r/>
    </w:p>
    <w:p>
      <w:pPr>
        <w:ind w:firstLine="709"/>
        <w:jc w:val="both"/>
        <w:spacing w:after="0"/>
        <w:tabs>
          <w:tab w:val="left" w:pos="3165" w:leader="none"/>
        </w:tabs>
      </w:pPr>
      <w:r>
        <w:rPr>
          <w:rFonts w:ascii="Times New Roman" w:hAnsi="Times New Roman"/>
          <w:sz w:val="28"/>
          <w:szCs w:val="28"/>
        </w:rPr>
        <w:t xml:space="preserve">Для поддержки индивидуальной предпринимательской деятельности</w:t>
      </w:r>
      <w:r>
        <w:rPr>
          <w:rFonts w:ascii="Times New Roman" w:hAnsi="Times New Roman"/>
          <w:sz w:val="28"/>
          <w:szCs w:val="28"/>
        </w:rPr>
        <w:t xml:space="preserve"> социальный контракт заключается на срок до 12 месяцев с единовременной денежной выплатой в размере до 350 000 рублей. Это позволяет гражданам стартовать в бизнесе, покрывать первоначальные расходы на закупку оборудования, материалов или продвижение услуг.</w:t>
      </w:r>
      <w:r/>
    </w:p>
    <w:p>
      <w:pPr>
        <w:ind w:firstLine="709"/>
        <w:jc w:val="both"/>
        <w:spacing w:after="0"/>
        <w:tabs>
          <w:tab w:val="left" w:pos="3165" w:leader="none"/>
        </w:tabs>
      </w:pPr>
      <w:r>
        <w:rPr>
          <w:rFonts w:ascii="Times New Roman" w:hAnsi="Times New Roman"/>
          <w:sz w:val="28"/>
          <w:szCs w:val="28"/>
        </w:rPr>
        <w:t xml:space="preserve">Контракт на ведение личного подсобного хозяйства также предусматрива</w:t>
      </w:r>
      <w:r>
        <w:rPr>
          <w:rFonts w:ascii="Times New Roman" w:hAnsi="Times New Roman"/>
          <w:sz w:val="28"/>
          <w:szCs w:val="28"/>
        </w:rPr>
        <w:t xml:space="preserve">ет срок действия до 12 месяцев и предусматривает единовременную выплату в размере до 200 000 рублей. Такая поддержка помогает семьям развивать приусадебное хозяйство, обеспечивать себя продуктами и даже получать дополнительный доход от реализации излишков.</w:t>
      </w:r>
      <w:r/>
    </w:p>
    <w:p>
      <w:pPr>
        <w:ind w:firstLine="709"/>
        <w:jc w:val="both"/>
        <w:spacing w:after="0"/>
        <w:tabs>
          <w:tab w:val="left" w:pos="3165" w:leader="none"/>
        </w:tabs>
      </w:pPr>
      <w:r>
        <w:rPr>
          <w:rFonts w:ascii="Times New Roman" w:hAnsi="Times New Roman"/>
          <w:sz w:val="28"/>
          <w:szCs w:val="28"/>
        </w:rPr>
        <w:t xml:space="preserve">Наконец, для граждан, оказавшихся в трудной жизненной ситуации, предусмотрена специальная мера поддержки: единоврем</w:t>
      </w:r>
      <w:r>
        <w:rPr>
          <w:rFonts w:ascii="Times New Roman" w:hAnsi="Times New Roman"/>
          <w:sz w:val="28"/>
          <w:szCs w:val="28"/>
        </w:rPr>
        <w:t xml:space="preserve">енная или ежемесячная выплата в размере прожиточного минимума трудоспособного населения (18 169 рублей) сроком до 6 месяцев. Эта помощь призвана стабилизировать финансовое положение людей в кризисный период и создать условия для выхода из сложной ситуации.</w:t>
      </w:r>
      <w:r/>
    </w:p>
    <w:p>
      <w:pPr>
        <w:ind w:firstLine="709"/>
        <w:jc w:val="both"/>
        <w:spacing w:after="0"/>
        <w:tabs>
          <w:tab w:val="left" w:pos="3165" w:leader="none"/>
        </w:tabs>
        <w:rPr>
          <w:rFonts w:ascii="Times New Roman" w:hAnsi="Times New Roman"/>
          <w:sz w:val="28"/>
          <w:szCs w:val="28"/>
        </w:rPr>
      </w:pPr>
      <w:r>
        <w:rPr>
          <w:rFonts w:ascii="Times New Roman" w:hAnsi="Times New Roman"/>
          <w:sz w:val="28"/>
          <w:szCs w:val="28"/>
        </w:rPr>
        <w:t xml:space="preserve">Таким образом, систем</w:t>
      </w:r>
      <w:r>
        <w:rPr>
          <w:rFonts w:ascii="Times New Roman" w:hAnsi="Times New Roman"/>
          <w:sz w:val="28"/>
          <w:szCs w:val="28"/>
        </w:rPr>
        <w:t xml:space="preserve">а социальных контрактов в Ивановской области охватывает широкий спектр жизненных обстоятельств и нацелена на адресную поддержку граждан — будь то трудоустройство, запуск собственного дела, развитие подсобного хозяйства или преодоление временных трудностей.</w:t>
      </w:r>
      <w:r>
        <w:rPr>
          <w:rFonts w:ascii="Times New Roman" w:hAnsi="Times New Roman"/>
          <w:sz w:val="28"/>
          <w:szCs w:val="28"/>
        </w:rPr>
      </w:r>
      <w:r>
        <w:rPr>
          <w:rFonts w:ascii="Times New Roman" w:hAnsi="Times New Roman"/>
          <w:sz w:val="28"/>
          <w:szCs w:val="28"/>
        </w:rPr>
      </w:r>
    </w:p>
    <w:p>
      <w:pPr>
        <w:pStyle w:val="1236"/>
        <w:jc w:val="both"/>
        <w:spacing w:before="0" w:beforeAutospacing="0" w:after="0" w:afterAutospacing="0" w:line="276" w:lineRule="auto"/>
        <w:shd w:val="clear" w:color="auto" w:fill="ffffff"/>
        <w:rPr>
          <w:b/>
          <w:sz w:val="28"/>
          <w:szCs w:val="28"/>
        </w:rPr>
      </w:pPr>
      <w:r>
        <w:rPr>
          <w:b/>
          <w:sz w:val="28"/>
          <w:szCs w:val="28"/>
        </w:rPr>
      </w:r>
      <w:r>
        <w:rPr>
          <w:b/>
          <w:sz w:val="28"/>
          <w:szCs w:val="28"/>
        </w:rPr>
      </w:r>
      <w:r>
        <w:rPr>
          <w:b/>
          <w:sz w:val="28"/>
          <w:szCs w:val="28"/>
        </w:rPr>
      </w:r>
    </w:p>
    <w:p>
      <w:pPr>
        <w:pStyle w:val="1226"/>
        <w:jc w:val="center"/>
        <w:rPr>
          <w:rFonts w:ascii="Times New Roman" w:hAnsi="Times New Roman" w:cs="Times New Roman"/>
          <w:color w:val="auto"/>
          <w:sz w:val="28"/>
          <w:szCs w:val="28"/>
          <w:highlight w:val="white"/>
        </w:rPr>
      </w:pPr>
      <w:r/>
      <w:bookmarkStart w:id="35" w:name="_Toc13"/>
      <w:r>
        <w:rPr>
          <w:rFonts w:ascii="Times New Roman" w:hAnsi="Times New Roman" w:cs="Times New Roman"/>
          <w:b/>
          <w:bCs/>
          <w:color w:val="auto"/>
          <w:sz w:val="28"/>
          <w:szCs w:val="28"/>
          <w:highlight w:val="white"/>
        </w:rPr>
        <w:t xml:space="preserve">5</w:t>
      </w:r>
      <w:r>
        <w:rPr>
          <w:rFonts w:ascii="Times New Roman" w:hAnsi="Times New Roman" w:cs="Times New Roman"/>
          <w:b/>
          <w:bCs/>
          <w:color w:val="auto"/>
          <w:sz w:val="28"/>
          <w:szCs w:val="28"/>
          <w:highlight w:val="white"/>
        </w:rPr>
        <w:t xml:space="preserve">.2. Содействие в пенсионном обеспечении граждан</w:t>
      </w:r>
      <w:r>
        <w:rPr>
          <w:rFonts w:ascii="Times New Roman" w:hAnsi="Times New Roman" w:cs="Times New Roman"/>
          <w:b/>
          <w:bCs/>
          <w:color w:val="auto"/>
          <w:sz w:val="28"/>
          <w:szCs w:val="28"/>
          <w:highlight w:val="white"/>
        </w:rPr>
      </w:r>
      <w:bookmarkEnd w:id="35"/>
      <w:r>
        <w:rPr>
          <w:rFonts w:ascii="Times New Roman" w:hAnsi="Times New Roman" w:cs="Times New Roman"/>
          <w:color w:val="auto"/>
          <w:sz w:val="28"/>
          <w:szCs w:val="28"/>
          <w:highlight w:val="white"/>
        </w:rPr>
      </w:r>
      <w:r>
        <w:rPr>
          <w:rFonts w:ascii="Times New Roman" w:hAnsi="Times New Roman" w:cs="Times New Roman"/>
          <w:color w:val="auto"/>
          <w:sz w:val="28"/>
          <w:szCs w:val="28"/>
          <w:highlight w:val="white"/>
        </w:rPr>
      </w:r>
    </w:p>
    <w:p>
      <w:pPr>
        <w:ind w:firstLine="567"/>
        <w:jc w:val="both"/>
        <w:spacing w:after="0"/>
        <w:rPr>
          <w:rFonts w:ascii="Times New Roman" w:hAnsi="Times New Roman"/>
          <w:b/>
          <w:sz w:val="28"/>
          <w:szCs w:val="28"/>
          <w:highlight w:val="white"/>
        </w:rPr>
      </w:pPr>
      <w:r>
        <w:rPr>
          <w:rFonts w:ascii="Times New Roman" w:hAnsi="Times New Roman"/>
          <w:b/>
          <w:sz w:val="28"/>
          <w:szCs w:val="28"/>
          <w:highlight w:val="white"/>
        </w:rPr>
      </w:r>
      <w:r>
        <w:rPr>
          <w:rFonts w:ascii="Times New Roman" w:hAnsi="Times New Roman"/>
          <w:b/>
          <w:sz w:val="28"/>
          <w:szCs w:val="28"/>
          <w:highlight w:val="white"/>
        </w:rPr>
      </w:r>
      <w:r>
        <w:rPr>
          <w:rFonts w:ascii="Times New Roman" w:hAnsi="Times New Roman"/>
          <w:b/>
          <w:sz w:val="28"/>
          <w:szCs w:val="28"/>
          <w:highlight w:val="white"/>
        </w:rPr>
      </w:r>
    </w:p>
    <w:p>
      <w:pPr>
        <w:ind w:firstLine="709"/>
        <w:jc w:val="both"/>
        <w:spacing w:after="0"/>
        <w:rPr>
          <w:rFonts w:ascii="Times New Roman" w:hAnsi="Times New Roman"/>
          <w:sz w:val="28"/>
          <w:szCs w:val="28"/>
        </w:rPr>
      </w:pPr>
      <w:r>
        <w:rPr>
          <w:rFonts w:ascii="Times New Roman" w:hAnsi="Times New Roman"/>
          <w:sz w:val="28"/>
          <w:szCs w:val="28"/>
        </w:rPr>
        <w:t xml:space="preserve">Достойная пенсия – не просто строчка в бюджете, а залог спокойствия и </w:t>
      </w:r>
      <w:r>
        <w:rPr>
          <w:rFonts w:ascii="Times New Roman" w:hAnsi="Times New Roman"/>
          <w:sz w:val="28"/>
          <w:szCs w:val="28"/>
        </w:rPr>
        <w:t xml:space="preserve">уверенности в завтрашнем дне для тех, кто отдал годы труду и развитию страны. От эффективности пенсионной системы напрямую зависит качество жизни старшего поколения: именно она обеспечивает финансовую стабильность, когда работать уже сложно или невозможно.</w:t>
      </w:r>
      <w:r>
        <w:rPr>
          <w:rFonts w:ascii="Times New Roman" w:hAnsi="Times New Roman"/>
          <w:sz w:val="28"/>
          <w:szCs w:val="28"/>
        </w:rPr>
      </w:r>
      <w:r>
        <w:rPr>
          <w:rFonts w:ascii="Times New Roman" w:hAnsi="Times New Roman"/>
          <w:sz w:val="28"/>
          <w:szCs w:val="28"/>
        </w:rPr>
      </w:r>
    </w:p>
    <w:p>
      <w:pPr>
        <w:ind w:firstLine="709"/>
        <w:jc w:val="both"/>
        <w:spacing w:after="0"/>
      </w:pPr>
      <w:r>
        <w:rPr>
          <w:rFonts w:ascii="Times New Roman" w:hAnsi="Times New Roman"/>
          <w:sz w:val="28"/>
          <w:szCs w:val="28"/>
        </w:rPr>
        <w:t xml:space="preserve">В 2025 году вопросы пенсионного обеспечения оста</w:t>
      </w:r>
      <w:r>
        <w:rPr>
          <w:rFonts w:ascii="Times New Roman" w:hAnsi="Times New Roman"/>
          <w:sz w:val="28"/>
          <w:szCs w:val="28"/>
        </w:rPr>
        <w:t xml:space="preserve">вались в центре внимания жителей Ивановской области: в адрес Уполномоченного  поступило 19 письменных и 86 устных обращений, что говорит  о сохраняющейся актуальности темы и необходимости постоянного внимания к проблемам реализации пенсионных прав граждан.</w:t>
      </w:r>
      <w:r/>
    </w:p>
    <w:p>
      <w:pPr>
        <w:ind w:firstLine="709"/>
        <w:jc w:val="both"/>
        <w:spacing w:after="0"/>
        <w:rPr>
          <w:rFonts w:ascii="Times New Roman" w:hAnsi="Times New Roman" w:eastAsia="Times New Roman" w:cs="Times New Roman"/>
          <w:b w:val="0"/>
          <w:bCs w:val="0"/>
          <w:i w:val="0"/>
          <w:color w:val="000000" w:themeColor="text1"/>
          <w:sz w:val="28"/>
          <w:szCs w:val="28"/>
        </w:rPr>
      </w:pPr>
      <w:r>
        <w:rPr>
          <w:rFonts w:ascii="Times New Roman" w:hAnsi="Times New Roman"/>
          <w:sz w:val="28"/>
          <w:szCs w:val="28"/>
        </w:rPr>
        <w:t xml:space="preserve">Чаще всего граж</w:t>
      </w:r>
      <w:r>
        <w:rPr>
          <w:rFonts w:ascii="Times New Roman" w:hAnsi="Times New Roman"/>
          <w:sz w:val="28"/>
          <w:szCs w:val="28"/>
        </w:rPr>
        <w:t xml:space="preserve">дане просили помочь с перерасчетом пенсии: проверить начисления, учесть дополнительные периоды стажа или особые обстоятельства, влияющие на размер выплат. Нередко люди не соглашались с решениями</w:t>
      </w:r>
      <w:r>
        <w:rPr>
          <w:rFonts w:ascii="Times New Roman" w:hAnsi="Times New Roman" w:eastAsia="Times New Roman" w:cs="Times New Roman"/>
          <w:b w:val="0"/>
          <w:bCs w:val="0"/>
          <w:i w:val="0"/>
          <w:iCs w:val="0"/>
          <w:sz w:val="28"/>
          <w:szCs w:val="28"/>
        </w:rPr>
        <w:t xml:space="preserve"> </w:t>
      </w:r>
      <w:r>
        <w:rPr>
          <w:rFonts w:ascii="Times New Roman" w:hAnsi="Times New Roman" w:eastAsia="Times New Roman" w:cs="Times New Roman"/>
          <w:b w:val="0"/>
          <w:bCs w:val="0"/>
          <w:i w:val="0"/>
          <w:iCs w:val="0"/>
          <w:color w:val="000000" w:themeColor="text1"/>
          <w:sz w:val="28"/>
          <w:szCs w:val="28"/>
        </w:rPr>
        <w:t xml:space="preserve">Отделения Фонда пенсионного и социального страхования Российской Федерации по Ивановской области (далее – ОСФР). Н</w:t>
      </w:r>
      <w:r>
        <w:rPr>
          <w:rFonts w:ascii="Times New Roman" w:hAnsi="Times New Roman"/>
          <w:sz w:val="28"/>
          <w:szCs w:val="28"/>
        </w:rPr>
        <w:t xml:space="preserve">апример, когда в трудовой стаж </w:t>
      </w:r>
      <w:r>
        <w:rPr>
          <w:rFonts w:ascii="Times New Roman" w:hAnsi="Times New Roman"/>
          <w:sz w:val="28"/>
          <w:szCs w:val="28"/>
        </w:rPr>
        <w:t xml:space="preserve">не включали какие-то периоды работы из-за отсутствия документов или утраты архивных данных. Третья распространенная проблема – сложности с подтверждением стажа: найти нужные справки бывает непросто, особенно если предприятие закрылось, а записи затерялись.</w:t>
      </w:r>
      <w:r>
        <w:rPr>
          <w:rFonts w:ascii="Times New Roman" w:hAnsi="Times New Roman"/>
          <w:sz w:val="28"/>
          <w:szCs w:val="28"/>
        </w:rPr>
      </w:r>
      <w:r/>
      <w:r>
        <w:rPr>
          <w:rFonts w:ascii="Times New Roman" w:hAnsi="Times New Roman" w:eastAsia="Times New Roman" w:cs="Times New Roman"/>
          <w:b w:val="0"/>
          <w:bCs w:val="0"/>
          <w:i w:val="0"/>
          <w:color w:val="000000" w:themeColor="text1"/>
          <w:sz w:val="28"/>
          <w:szCs w:val="28"/>
        </w:rPr>
      </w:r>
    </w:p>
    <w:p>
      <w:pPr>
        <w:ind w:firstLine="709"/>
        <w:jc w:val="both"/>
        <w:spacing w:after="0"/>
      </w:pPr>
      <w:r>
        <w:rPr>
          <w:rFonts w:ascii="Times New Roman" w:hAnsi="Times New Roman"/>
          <w:sz w:val="28"/>
          <w:szCs w:val="28"/>
        </w:rPr>
        <w:t xml:space="preserve">Каждый случай региональный институт правозащиты рассматривал индиви</w:t>
      </w:r>
      <w:r>
        <w:rPr>
          <w:rFonts w:ascii="Times New Roman" w:hAnsi="Times New Roman"/>
          <w:sz w:val="28"/>
          <w:szCs w:val="28"/>
        </w:rPr>
        <w:t xml:space="preserve">дуально. Чтобы помочь людям защитить свои пенсионные права, налажено активное взаимодействие с территориальными органами ОСФР, архивными учреждениями и другими организациями. Но помощь не сводилась к формальным ответам: гражданам подробно разъясняли, какие </w:t>
      </w:r>
      <w:r>
        <w:rPr>
          <w:rFonts w:ascii="Times New Roman" w:hAnsi="Times New Roman"/>
          <w:sz w:val="28"/>
          <w:szCs w:val="28"/>
        </w:rPr>
        <w:t xml:space="preserve">документы собрать, куда обратиться, в какие сроки подать заявление и как обжаловать решение, если оно не устроило.</w:t>
      </w:r>
      <w:r/>
    </w:p>
    <w:p>
      <w:pPr>
        <w:ind w:firstLine="709"/>
        <w:jc w:val="both"/>
        <w:spacing w:after="0"/>
      </w:pPr>
      <w:r>
        <w:rPr>
          <w:rFonts w:ascii="Times New Roman" w:hAnsi="Times New Roman"/>
          <w:sz w:val="28"/>
          <w:szCs w:val="28"/>
        </w:rPr>
        <w:t xml:space="preserve">Анализ обращений показал интересную закономерность: многие проблемы возникали не из-за несовершенства законов, а из-за недостаточной информированнос</w:t>
      </w:r>
      <w:r>
        <w:rPr>
          <w:rFonts w:ascii="Times New Roman" w:hAnsi="Times New Roman"/>
          <w:sz w:val="28"/>
          <w:szCs w:val="28"/>
        </w:rPr>
        <w:t xml:space="preserve">ти людей о своих правах. Поэтому параллельно с решением конкретных ситуаций велась масштабная профилактическая работа: жителей региона информировали о правилах учета стажа, порядке перерасчета пенсий и способах подтверждения периодов трудовой деятельности.</w:t>
      </w:r>
      <w:r/>
    </w:p>
    <w:p>
      <w:pPr>
        <w:ind w:firstLine="709"/>
        <w:jc w:val="both"/>
        <w:spacing w:after="0"/>
      </w:pPr>
      <w:r>
        <w:rPr>
          <w:rFonts w:ascii="Times New Roman" w:hAnsi="Times New Roman"/>
          <w:sz w:val="28"/>
          <w:szCs w:val="28"/>
        </w:rPr>
        <w:t xml:space="preserve">Цифры 2025 года наглядно демонстрируют масштаб работы ОСФР по нашему субъекту: всего вынесено 7 983 решения о назначении пенсий. Из них:</w:t>
      </w:r>
      <w:r/>
    </w:p>
    <w:p>
      <w:pPr>
        <w:pStyle w:val="1227"/>
        <w:numPr>
          <w:ilvl w:val="0"/>
          <w:numId w:val="130"/>
        </w:numPr>
        <w:ind w:left="0" w:firstLine="709"/>
        <w:jc w:val="both"/>
        <w:spacing w:after="0" w:afterAutospacing="0" w:line="276" w:lineRule="auto"/>
        <w:rPr>
          <w:lang w:val="ru-RU"/>
        </w:rPr>
      </w:pPr>
      <w:r>
        <w:rPr>
          <w:rFonts w:ascii="Times New Roman" w:hAnsi="Times New Roman"/>
          <w:sz w:val="28"/>
          <w:szCs w:val="28"/>
          <w:lang w:val="ru-RU"/>
        </w:rPr>
        <w:t xml:space="preserve">2118 - пенсии по государственному пенсионному обеспечению (согласно ФЗ от 15.12.2001 № 166</w:t>
      </w:r>
      <w:r>
        <w:rPr>
          <w:rFonts w:hint="eastAsia" w:ascii="MS Mincho" w:hAnsi="MS Mincho" w:eastAsia="MS Mincho" w:cs="MS Mincho"/>
          <w:sz w:val="28"/>
          <w:szCs w:val="28"/>
          <w:lang w:val="ru-RU"/>
        </w:rPr>
        <w:t xml:space="preserve">‑</w:t>
      </w:r>
      <w:r>
        <w:rPr>
          <w:rFonts w:ascii="Times New Roman" w:hAnsi="Times New Roman"/>
          <w:sz w:val="28"/>
          <w:szCs w:val="28"/>
          <w:lang w:val="ru-RU"/>
        </w:rPr>
        <w:t xml:space="preserve">ФЗ);</w:t>
      </w:r>
      <w:r>
        <w:rPr>
          <w:lang w:val="ru-RU"/>
        </w:rPr>
      </w:r>
      <w:r>
        <w:rPr>
          <w:lang w:val="ru-RU"/>
        </w:rPr>
      </w:r>
    </w:p>
    <w:p>
      <w:pPr>
        <w:pStyle w:val="1227"/>
        <w:numPr>
          <w:ilvl w:val="0"/>
          <w:numId w:val="130"/>
        </w:numPr>
        <w:ind w:left="0" w:firstLine="709"/>
        <w:jc w:val="both"/>
        <w:spacing w:after="0" w:afterAutospacing="0" w:line="276" w:lineRule="auto"/>
        <w:rPr>
          <w:lang w:val="ru-RU"/>
        </w:rPr>
      </w:pPr>
      <w:r>
        <w:rPr>
          <w:rFonts w:ascii="Times New Roman" w:hAnsi="Times New Roman"/>
          <w:sz w:val="28"/>
          <w:szCs w:val="28"/>
          <w:lang w:val="ru-RU"/>
        </w:rPr>
        <w:t xml:space="preserve">5470 - страховые пенсии (согласно ФЗ от 28.12.2013 № 400</w:t>
      </w:r>
      <w:r>
        <w:rPr>
          <w:rFonts w:ascii="Times New Roman" w:hAnsi="Times New Roman" w:eastAsia="MS Mincho"/>
          <w:sz w:val="28"/>
          <w:szCs w:val="28"/>
          <w:lang w:val="ru-RU"/>
        </w:rPr>
        <w:t xml:space="preserve">-</w:t>
      </w:r>
      <w:r>
        <w:rPr>
          <w:rFonts w:ascii="Times New Roman" w:hAnsi="Times New Roman"/>
          <w:sz w:val="28"/>
          <w:szCs w:val="28"/>
          <w:lang w:val="ru-RU"/>
        </w:rPr>
        <w:t xml:space="preserve">ФЗ).</w:t>
      </w:r>
      <w:r>
        <w:rPr>
          <w:lang w:val="ru-RU"/>
        </w:rPr>
      </w:r>
      <w:r>
        <w:rPr>
          <w:lang w:val="ru-RU"/>
        </w:rPr>
      </w:r>
      <w:r>
        <w:rPr>
          <w:highlight w:val="none"/>
          <w:lang w:val="ru-RU"/>
        </w:rPr>
      </w:r>
      <w:r>
        <w:rPr>
          <w:highlight w:val="none"/>
          <w:lang w:val="ru-RU"/>
        </w:rPr>
      </w:r>
      <w:r>
        <w:rPr>
          <w:lang w:val="ru-RU"/>
        </w:rPr>
      </w:r>
    </w:p>
    <w:p>
      <w:pPr>
        <w:ind w:left="0" w:firstLine="708"/>
        <w:jc w:val="both"/>
        <w:spacing w:after="0" w:afterAutospacing="0" w:line="276" w:lineRule="auto"/>
      </w:pPr>
      <w:r>
        <w:rPr>
          <w:rFonts w:ascii="Times New Roman" w:hAnsi="Times New Roman"/>
          <w:sz w:val="28"/>
          <w:szCs w:val="28"/>
          <w:lang w:val="ru-RU"/>
        </w:rPr>
        <w:t xml:space="preserve">Особенно радует тенденция к упрощению процедур: 4073 пенсии были назначены автоматически, без заявлений. </w:t>
      </w:r>
      <w:r>
        <w:rPr>
          <w:rFonts w:ascii="Times New Roman" w:hAnsi="Times New Roman"/>
          <w:sz w:val="28"/>
          <w:szCs w:val="28"/>
        </w:rPr>
        <w:t xml:space="preserve">Среди</w:t>
      </w:r>
      <w:r>
        <w:rPr>
          <w:rFonts w:ascii="Times New Roman" w:hAnsi="Times New Roman"/>
          <w:sz w:val="28"/>
          <w:szCs w:val="28"/>
        </w:rPr>
        <w:t xml:space="preserve"> </w:t>
      </w:r>
      <w:r>
        <w:rPr>
          <w:rFonts w:ascii="Times New Roman" w:hAnsi="Times New Roman"/>
          <w:sz w:val="28"/>
          <w:szCs w:val="28"/>
        </w:rPr>
        <w:t xml:space="preserve">них</w:t>
      </w:r>
      <w:r>
        <w:rPr>
          <w:rFonts w:ascii="Times New Roman" w:hAnsi="Times New Roman"/>
          <w:sz w:val="28"/>
          <w:szCs w:val="28"/>
        </w:rPr>
        <w:t xml:space="preserve">:</w:t>
      </w:r>
      <w:r/>
    </w:p>
    <w:p>
      <w:pPr>
        <w:pStyle w:val="1227"/>
        <w:numPr>
          <w:ilvl w:val="0"/>
          <w:numId w:val="130"/>
        </w:numPr>
        <w:ind w:left="0" w:firstLine="709"/>
        <w:jc w:val="both"/>
        <w:spacing w:after="0" w:afterAutospacing="0" w:line="276" w:lineRule="auto"/>
      </w:pPr>
      <w:r>
        <w:rPr>
          <w:rFonts w:ascii="Times New Roman" w:hAnsi="Times New Roman"/>
          <w:sz w:val="28"/>
          <w:szCs w:val="28"/>
        </w:rPr>
        <w:t xml:space="preserve">2658 - </w:t>
      </w:r>
      <w:r>
        <w:rPr>
          <w:rFonts w:ascii="Times New Roman" w:hAnsi="Times New Roman"/>
          <w:sz w:val="28"/>
          <w:szCs w:val="28"/>
        </w:rPr>
        <w:t xml:space="preserve">по</w:t>
      </w:r>
      <w:r>
        <w:rPr>
          <w:rFonts w:ascii="Times New Roman" w:hAnsi="Times New Roman"/>
          <w:sz w:val="28"/>
          <w:szCs w:val="28"/>
        </w:rPr>
        <w:t xml:space="preserve"> </w:t>
      </w:r>
      <w:r>
        <w:rPr>
          <w:rFonts w:ascii="Times New Roman" w:hAnsi="Times New Roman"/>
          <w:sz w:val="28"/>
          <w:szCs w:val="28"/>
        </w:rPr>
        <w:t xml:space="preserve">инвалидности</w:t>
      </w:r>
      <w:r>
        <w:rPr>
          <w:rFonts w:ascii="Times New Roman" w:hAnsi="Times New Roman"/>
          <w:sz w:val="28"/>
          <w:szCs w:val="28"/>
        </w:rPr>
        <w:t xml:space="preserve">;</w:t>
      </w:r>
      <w:r/>
    </w:p>
    <w:p>
      <w:pPr>
        <w:pStyle w:val="1227"/>
        <w:numPr>
          <w:ilvl w:val="0"/>
          <w:numId w:val="130"/>
        </w:numPr>
        <w:ind w:left="0" w:firstLine="709"/>
        <w:jc w:val="both"/>
        <w:spacing w:after="0" w:afterAutospacing="0" w:line="276" w:lineRule="auto"/>
      </w:pPr>
      <w:r>
        <w:rPr>
          <w:rFonts w:ascii="Times New Roman" w:hAnsi="Times New Roman"/>
          <w:sz w:val="28"/>
          <w:szCs w:val="28"/>
        </w:rPr>
        <w:t xml:space="preserve">1416 - </w:t>
      </w:r>
      <w:r>
        <w:rPr>
          <w:rFonts w:ascii="Times New Roman" w:hAnsi="Times New Roman"/>
          <w:sz w:val="28"/>
          <w:szCs w:val="28"/>
        </w:rPr>
        <w:t xml:space="preserve">по</w:t>
      </w:r>
      <w:r>
        <w:rPr>
          <w:rFonts w:ascii="Times New Roman" w:hAnsi="Times New Roman"/>
          <w:sz w:val="28"/>
          <w:szCs w:val="28"/>
        </w:rPr>
        <w:t xml:space="preserve"> </w:t>
      </w:r>
      <w:r>
        <w:rPr>
          <w:rFonts w:ascii="Times New Roman" w:hAnsi="Times New Roman"/>
          <w:sz w:val="28"/>
          <w:szCs w:val="28"/>
        </w:rPr>
        <w:t xml:space="preserve">случаю</w:t>
      </w:r>
      <w:r>
        <w:rPr>
          <w:rFonts w:ascii="Times New Roman" w:hAnsi="Times New Roman"/>
          <w:sz w:val="28"/>
          <w:szCs w:val="28"/>
        </w:rPr>
        <w:t xml:space="preserve"> </w:t>
      </w:r>
      <w:r>
        <w:rPr>
          <w:rFonts w:ascii="Times New Roman" w:hAnsi="Times New Roman"/>
          <w:sz w:val="28"/>
          <w:szCs w:val="28"/>
        </w:rPr>
        <w:t xml:space="preserve">потери</w:t>
      </w:r>
      <w:r>
        <w:rPr>
          <w:rFonts w:ascii="Times New Roman" w:hAnsi="Times New Roman"/>
          <w:sz w:val="28"/>
          <w:szCs w:val="28"/>
        </w:rPr>
        <w:t xml:space="preserve"> </w:t>
      </w:r>
      <w:r>
        <w:rPr>
          <w:rFonts w:ascii="Times New Roman" w:hAnsi="Times New Roman"/>
          <w:sz w:val="28"/>
          <w:szCs w:val="28"/>
        </w:rPr>
        <w:t xml:space="preserve">кормильца</w:t>
      </w:r>
      <w:r>
        <w:rPr>
          <w:rFonts w:ascii="Times New Roman" w:hAnsi="Times New Roman"/>
          <w:sz w:val="28"/>
          <w:szCs w:val="28"/>
        </w:rPr>
        <w:t xml:space="preserve">.</w:t>
      </w:r>
      <w:r/>
    </w:p>
    <w:p>
      <w:pPr>
        <w:ind w:firstLine="709"/>
        <w:jc w:val="both"/>
        <w:spacing w:after="0"/>
      </w:pPr>
      <w:r>
        <w:rPr>
          <w:rFonts w:ascii="Times New Roman" w:hAnsi="Times New Roman"/>
          <w:sz w:val="28"/>
          <w:szCs w:val="28"/>
        </w:rPr>
        <w:t xml:space="preserve">Эти выплаты назначались на основании данных, уже имеющ</w:t>
      </w:r>
      <w:r>
        <w:rPr>
          <w:rFonts w:ascii="Times New Roman" w:hAnsi="Times New Roman"/>
          <w:sz w:val="28"/>
          <w:szCs w:val="28"/>
        </w:rPr>
        <w:t xml:space="preserve">ихся у органов пенсионного обеспечения, включая сведения федерального реестра инвалидов (ФГИС ФРИ). При этом каждого гражданина обязательно информировали о назначении пенсии. Отдельно стоит отметить, что 212 человек получили страховую пенсию по старости в </w:t>
      </w:r>
      <w:r>
        <w:rPr>
          <w:rFonts w:ascii="Times New Roman" w:hAnsi="Times New Roman"/>
          <w:sz w:val="28"/>
          <w:szCs w:val="28"/>
        </w:rPr>
        <w:t xml:space="preserve">проактивном</w:t>
      </w:r>
      <w:r>
        <w:rPr>
          <w:rFonts w:ascii="Times New Roman" w:hAnsi="Times New Roman"/>
          <w:sz w:val="28"/>
          <w:szCs w:val="28"/>
        </w:rPr>
        <w:t xml:space="preserve"> режиме.</w:t>
      </w:r>
      <w:r/>
    </w:p>
    <w:p>
      <w:pPr>
        <w:ind w:firstLine="709"/>
        <w:jc w:val="both"/>
        <w:spacing w:after="0"/>
      </w:pPr>
      <w:r>
        <w:rPr>
          <w:rFonts w:ascii="Times New Roman" w:hAnsi="Times New Roman"/>
          <w:sz w:val="28"/>
          <w:szCs w:val="28"/>
        </w:rPr>
        <w:t xml:space="preserve">Финансовые параметры 2025 года тоже заслуживают внимания:</w:t>
      </w:r>
      <w:r/>
    </w:p>
    <w:p>
      <w:pPr>
        <w:pStyle w:val="1227"/>
        <w:numPr>
          <w:ilvl w:val="0"/>
          <w:numId w:val="131"/>
        </w:numPr>
        <w:ind w:left="0" w:firstLine="709"/>
        <w:jc w:val="both"/>
        <w:spacing w:line="276" w:lineRule="auto"/>
        <w:rPr>
          <w:lang w:val="ru-RU"/>
        </w:rPr>
      </w:pPr>
      <w:r>
        <w:rPr>
          <w:rFonts w:ascii="Times New Roman" w:hAnsi="Times New Roman"/>
          <w:sz w:val="28"/>
          <w:szCs w:val="28"/>
          <w:lang w:val="ru-RU"/>
        </w:rPr>
        <w:t xml:space="preserve">стоимость одного пенсионного коэффициента с 01.01.2025 составила 145,69 рубля;</w:t>
      </w:r>
      <w:r>
        <w:rPr>
          <w:lang w:val="ru-RU"/>
        </w:rPr>
      </w:r>
      <w:r>
        <w:rPr>
          <w:lang w:val="ru-RU"/>
        </w:rPr>
      </w:r>
    </w:p>
    <w:p>
      <w:pPr>
        <w:pStyle w:val="1227"/>
        <w:numPr>
          <w:ilvl w:val="0"/>
          <w:numId w:val="131"/>
        </w:numPr>
        <w:ind w:left="0" w:firstLine="709"/>
        <w:jc w:val="both"/>
        <w:spacing w:line="276" w:lineRule="auto"/>
        <w:rPr>
          <w:lang w:val="ru-RU"/>
        </w:rPr>
      </w:pPr>
      <w:r>
        <w:rPr>
          <w:rFonts w:ascii="Times New Roman" w:hAnsi="Times New Roman"/>
          <w:sz w:val="28"/>
          <w:szCs w:val="28"/>
          <w:lang w:val="ru-RU"/>
        </w:rPr>
        <w:t xml:space="preserve">размер фиксированной выплаты к страховой пенсии по старости достиг 8907,70 рубля;</w:t>
      </w:r>
      <w:r>
        <w:rPr>
          <w:lang w:val="ru-RU"/>
        </w:rPr>
      </w:r>
      <w:r>
        <w:rPr>
          <w:lang w:val="ru-RU"/>
        </w:rPr>
      </w:r>
    </w:p>
    <w:p>
      <w:pPr>
        <w:pStyle w:val="1227"/>
        <w:numPr>
          <w:ilvl w:val="0"/>
          <w:numId w:val="132"/>
        </w:numPr>
        <w:ind w:left="0" w:firstLine="709"/>
        <w:jc w:val="both"/>
        <w:spacing w:line="276" w:lineRule="auto"/>
      </w:pPr>
      <w:r>
        <w:rPr>
          <w:rFonts w:ascii="Times New Roman" w:hAnsi="Times New Roman"/>
          <w:sz w:val="28"/>
          <w:szCs w:val="28"/>
          <w:lang w:val="ru-RU"/>
        </w:rPr>
        <w:t xml:space="preserve">с 01.04.2025 проведена индексация социальных пенсий и пенсий по государственному обеспечению в 1,1475 раза (по постановлению </w:t>
      </w:r>
      <w:r>
        <w:rPr>
          <w:rFonts w:ascii="Times New Roman" w:hAnsi="Times New Roman"/>
          <w:sz w:val="28"/>
          <w:szCs w:val="28"/>
        </w:rPr>
        <w:t xml:space="preserve">Правительства</w:t>
      </w:r>
      <w:r>
        <w:rPr>
          <w:rFonts w:ascii="Times New Roman" w:hAnsi="Times New Roman"/>
          <w:sz w:val="28"/>
          <w:szCs w:val="28"/>
        </w:rPr>
        <w:t xml:space="preserve"> РФ </w:t>
      </w:r>
      <w:r>
        <w:rPr>
          <w:rFonts w:ascii="Times New Roman" w:hAnsi="Times New Roman"/>
          <w:sz w:val="28"/>
          <w:szCs w:val="28"/>
        </w:rPr>
        <w:t xml:space="preserve">от</w:t>
      </w:r>
      <w:r>
        <w:rPr>
          <w:rFonts w:ascii="Times New Roman" w:hAnsi="Times New Roman"/>
          <w:sz w:val="28"/>
          <w:szCs w:val="28"/>
        </w:rPr>
        <w:t xml:space="preserve"> 07.03.2025 № 287).</w:t>
      </w:r>
      <w:r/>
    </w:p>
    <w:p>
      <w:pPr>
        <w:ind w:firstLine="709"/>
        <w:jc w:val="both"/>
        <w:spacing w:after="0"/>
        <w:rPr>
          <w:rFonts w:ascii="Times New Roman" w:hAnsi="Times New Roman"/>
          <w:sz w:val="28"/>
          <w:szCs w:val="28"/>
        </w:rPr>
      </w:pPr>
      <w:r>
        <w:rPr>
          <w:rFonts w:ascii="Times New Roman" w:hAnsi="Times New Roman"/>
          <w:sz w:val="28"/>
          <w:szCs w:val="28"/>
        </w:rPr>
        <w:t xml:space="preserve">Не все споры удавалось решить мирным</w:t>
      </w:r>
      <w:r>
        <w:rPr>
          <w:rFonts w:ascii="Times New Roman" w:hAnsi="Times New Roman"/>
          <w:sz w:val="28"/>
          <w:szCs w:val="28"/>
        </w:rPr>
        <w:t xml:space="preserve"> путем: в 2025 году суды рассмотрели 229 дел между пенсионерами и ОСФР, связанных с исчислением или перерасчетом пенсий. Результат внушает оптимизм: 186 решений были вынесены в пользу истцов – люди смогли отстоять свои права и добиться справедливых выплат.</w:t>
      </w:r>
      <w:r>
        <w:rPr>
          <w:rFonts w:ascii="Times New Roman" w:hAnsi="Times New Roman"/>
          <w:sz w:val="28"/>
          <w:szCs w:val="28"/>
        </w:rPr>
      </w:r>
      <w:r>
        <w:rPr>
          <w:rFonts w:ascii="Times New Roman" w:hAnsi="Times New Roman"/>
          <w:sz w:val="28"/>
          <w:szCs w:val="28"/>
        </w:rPr>
      </w:r>
    </w:p>
    <w:p>
      <w:pPr>
        <w:ind w:firstLine="709"/>
        <w:jc w:val="both"/>
        <w:spacing w:after="0"/>
      </w:pPr>
      <w:r>
        <w:rPr>
          <w:rFonts w:ascii="Times New Roman" w:hAnsi="Times New Roman"/>
          <w:sz w:val="28"/>
          <w:szCs w:val="28"/>
        </w:rPr>
        <w:t xml:space="preserve">Уполномоченный особо подчеркивает необходимость продолжения активной разъяснительной работы среди населения, проводимой Отделением </w:t>
      </w:r>
      <w:r>
        <w:rPr>
          <w:rFonts w:ascii="Times New Roman" w:hAnsi="Times New Roman"/>
          <w:sz w:val="28"/>
          <w:szCs w:val="28"/>
        </w:rPr>
        <w:t xml:space="preserve">СФР. В целях повышения правовой грамотности граждан и укрепления доверия к социальным институтам важно не ограничиваться стандартными информац</w:t>
      </w:r>
      <w:r>
        <w:rPr>
          <w:rFonts w:ascii="Times New Roman" w:hAnsi="Times New Roman"/>
          <w:sz w:val="28"/>
          <w:szCs w:val="28"/>
        </w:rPr>
        <w:t xml:space="preserve">ионными кампаниями, а внедрять комплексные подходы. К числу перспективных мер относятся совместные правовые формы работы — например, организация тематических семинаров, открытых консультаций с юристами, информационных встреч в муниципальных образованиях и </w:t>
      </w:r>
      <w:r>
        <w:rPr>
          <w:rFonts w:ascii="Times New Roman" w:hAnsi="Times New Roman"/>
          <w:sz w:val="28"/>
          <w:szCs w:val="28"/>
        </w:rPr>
        <w:t xml:space="preserve">онлайн-вебинаров</w:t>
      </w:r>
      <w:r>
        <w:rPr>
          <w:rFonts w:ascii="Times New Roman" w:hAnsi="Times New Roman"/>
          <w:sz w:val="28"/>
          <w:szCs w:val="28"/>
        </w:rPr>
        <w:t xml:space="preserve">.  </w:t>
      </w:r>
      <w:r/>
    </w:p>
    <w:p>
      <w:pPr>
        <w:ind w:firstLine="709"/>
        <w:jc w:val="both"/>
        <w:spacing w:after="0"/>
      </w:pPr>
      <w:r>
        <w:rPr>
          <w:rFonts w:ascii="Times New Roman" w:hAnsi="Times New Roman"/>
          <w:sz w:val="28"/>
          <w:szCs w:val="28"/>
        </w:rPr>
        <w:t xml:space="preserve">Цель проста и важна одновременно: сделать пенсионную систему прозрачной, а ее правила - доступными для каждого. Ведь право на достойную старость должно быть не привилегией, а гарантированной реальностью.</w:t>
      </w:r>
      <w:r/>
      <w:r/>
      <w:r/>
      <w:r/>
    </w:p>
    <w:p>
      <w:pPr>
        <w:pStyle w:val="1226"/>
        <w:rPr>
          <w:b/>
          <w:bCs/>
          <w:color w:val="000000" w:themeColor="text1"/>
          <w:sz w:val="28"/>
          <w:szCs w:val="28"/>
        </w:rPr>
      </w:pPr>
      <w:r/>
      <w:bookmarkStart w:id="36" w:name="_Toc14"/>
      <w:r>
        <w:rPr>
          <w:rStyle w:val="1252"/>
          <w:rFonts w:ascii="Times New Roman" w:hAnsi="Times New Roman" w:eastAsia="Times New Roman" w:cs="Times New Roman"/>
        </w:rPr>
        <w:t xml:space="preserve">Уполномоченный рекомендует</w:t>
      </w:r>
      <w:r>
        <w:rPr>
          <w:b/>
          <w:bCs/>
          <w:color w:val="000000" w:themeColor="text1"/>
          <w:sz w:val="28"/>
          <w:szCs w:val="28"/>
        </w:rPr>
        <w:t xml:space="preserve">:</w:t>
      </w:r>
      <w:r>
        <w:rPr>
          <w:b/>
          <w:bCs/>
          <w:color w:val="000000" w:themeColor="text1"/>
          <w:sz w:val="28"/>
          <w:szCs w:val="28"/>
        </w:rPr>
      </w:r>
      <w:bookmarkEnd w:id="36"/>
      <w:r>
        <w:rPr>
          <w:b/>
          <w:bCs/>
          <w:color w:val="000000" w:themeColor="text1"/>
          <w:sz w:val="28"/>
          <w:szCs w:val="28"/>
        </w:rPr>
      </w:r>
      <w:r>
        <w:rPr>
          <w:b/>
          <w:bCs/>
          <w:color w:val="000000" w:themeColor="text1"/>
          <w:sz w:val="28"/>
          <w:szCs w:val="28"/>
        </w:rPr>
      </w:r>
    </w:p>
    <w:p>
      <w:r/>
      <w:r/>
    </w:p>
    <w:p>
      <w:pPr>
        <w:jc w:val="both"/>
        <w:rPr>
          <w:rFonts w:ascii="Times New Roman" w:hAnsi="Times New Roman" w:eastAsia="Times New Roman" w:cs="Times New Roman"/>
          <w:b/>
          <w:bCs/>
          <w:i/>
          <w:color w:val="000000" w:themeColor="text1"/>
          <w:sz w:val="28"/>
          <w:szCs w:val="28"/>
          <w:highlight w:val="none"/>
        </w:rPr>
      </w:pPr>
      <w:r>
        <w:tab/>
      </w:r>
      <w:r>
        <w:rPr>
          <w:rFonts w:ascii="Times New Roman" w:hAnsi="Times New Roman" w:eastAsia="Times New Roman" w:cs="Times New Roman"/>
          <w:b/>
          <w:bCs/>
          <w:i/>
          <w:iCs/>
          <w:sz w:val="28"/>
          <w:szCs w:val="28"/>
        </w:rPr>
        <w:t xml:space="preserve"> </w:t>
      </w:r>
      <w:r>
        <w:rPr>
          <w:rFonts w:ascii="Times New Roman" w:hAnsi="Times New Roman" w:eastAsia="Times New Roman" w:cs="Times New Roman"/>
          <w:b/>
          <w:bCs/>
          <w:i/>
          <w:color w:val="000000" w:themeColor="text1"/>
          <w:sz w:val="28"/>
          <w:szCs w:val="28"/>
        </w:rPr>
        <w:t xml:space="preserve">Отделению Фонда пенсионного и социального страхования Российской Федерации по Ивановской области:</w:t>
      </w:r>
      <w:r>
        <w:rPr>
          <w:rFonts w:ascii="Times New Roman" w:hAnsi="Times New Roman" w:eastAsia="Times New Roman" w:cs="Times New Roman"/>
          <w:b/>
          <w:bCs/>
          <w:i/>
          <w:iCs/>
          <w:sz w:val="28"/>
          <w:szCs w:val="28"/>
        </w:rPr>
      </w:r>
      <w:r>
        <w:rPr>
          <w:rFonts w:ascii="Times New Roman" w:hAnsi="Times New Roman" w:eastAsia="Times New Roman" w:cs="Times New Roman"/>
          <w:b/>
          <w:bCs/>
          <w:i/>
          <w:sz w:val="28"/>
          <w:szCs w:val="28"/>
        </w:rPr>
      </w:r>
    </w:p>
    <w:p>
      <w:pPr>
        <w:pStyle w:val="1227"/>
        <w:numPr>
          <w:ilvl w:val="0"/>
          <w:numId w:val="189"/>
        </w:numPr>
        <w:ind w:left="0" w:right="0" w:firstLine="709"/>
        <w:jc w:val="both"/>
        <w:rPr>
          <w:rFonts w:ascii="Times New Roman" w:hAnsi="Times New Roman" w:cs="Times New Roman"/>
          <w:b/>
          <w:bCs/>
          <w:i/>
          <w:sz w:val="28"/>
          <w:szCs w:val="28"/>
        </w:rPr>
      </w:pPr>
      <w:r>
        <w:rPr>
          <w:rFonts w:ascii="Times New Roman" w:hAnsi="Times New Roman" w:eastAsia="Times New Roman" w:cs="Times New Roman"/>
          <w:b w:val="0"/>
          <w:bCs w:val="0"/>
          <w:i w:val="0"/>
          <w:iCs w:val="0"/>
          <w:color w:val="000000" w:themeColor="text1"/>
          <w:sz w:val="28"/>
          <w:szCs w:val="28"/>
          <w:highlight w:val="none"/>
          <w:lang w:val="ru-RU"/>
        </w:rPr>
        <w:t xml:space="preserve">усилить информационно-разъяснительную работу с населением по вопросам пенсионного обеспечения (правила учета стажа, порядок перерасчета пенсий, способы подтверждения периодов трудовой деятельности).</w:t>
      </w:r>
      <w:r>
        <w:rPr>
          <w:rFonts w:ascii="Times New Roman" w:hAnsi="Times New Roman" w:eastAsia="Times New Roman" w:cs="Times New Roman"/>
          <w:b/>
          <w:bCs/>
          <w:i/>
          <w:color w:val="000000" w:themeColor="text1"/>
          <w:sz w:val="28"/>
          <w:szCs w:val="28"/>
          <w:highlight w:val="none"/>
        </w:rPr>
      </w:r>
    </w:p>
    <w:p>
      <w:pPr>
        <w:pStyle w:val="1236"/>
        <w:ind w:firstLine="709"/>
        <w:jc w:val="center"/>
        <w:spacing w:before="0" w:beforeAutospacing="0" w:after="0" w:afterAutospacing="0" w:line="276" w:lineRule="auto"/>
        <w:shd w:val="clear" w:color="auto" w:fill="ffffff"/>
        <w:rPr>
          <w:b/>
          <w:bCs/>
          <w:color w:val="000000" w:themeColor="text1"/>
          <w:sz w:val="28"/>
          <w:szCs w:val="28"/>
        </w:rPr>
      </w:pPr>
      <w:r>
        <w:rPr>
          <w:b/>
          <w:bCs/>
          <w:color w:val="000000" w:themeColor="text1"/>
          <w:sz w:val="28"/>
          <w:szCs w:val="28"/>
        </w:rPr>
      </w:r>
      <w:r>
        <w:rPr>
          <w:b/>
          <w:bCs/>
          <w:color w:val="000000" w:themeColor="text1"/>
          <w:sz w:val="28"/>
          <w:szCs w:val="28"/>
        </w:rPr>
      </w:r>
      <w:r>
        <w:rPr>
          <w:b/>
          <w:bCs/>
          <w:color w:val="000000" w:themeColor="text1"/>
          <w:sz w:val="28"/>
          <w:szCs w:val="28"/>
        </w:rPr>
      </w:r>
    </w:p>
    <w:p>
      <w:pPr>
        <w:pStyle w:val="1236"/>
        <w:ind w:firstLine="709"/>
        <w:jc w:val="both"/>
        <w:spacing w:before="0" w:beforeAutospacing="0" w:after="0" w:afterAutospacing="0" w:line="276" w:lineRule="auto"/>
        <w:shd w:val="clear" w:color="auto" w:fill="ffffff"/>
        <w:rPr>
          <w:i/>
          <w:color w:val="000000" w:themeColor="text1"/>
        </w:rPr>
      </w:pPr>
      <w:r>
        <w:rPr>
          <w:b/>
          <w:bCs/>
          <w:i/>
          <w:color w:val="000000" w:themeColor="text1"/>
          <w:sz w:val="28"/>
          <w:szCs w:val="28"/>
        </w:rPr>
        <w:t xml:space="preserve">Департаменту социальной защиты населения Ивановской области:</w:t>
      </w:r>
      <w:r>
        <w:rPr>
          <w:i/>
          <w:color w:val="000000" w:themeColor="text1"/>
        </w:rPr>
      </w:r>
      <w:r>
        <w:rPr>
          <w:i/>
          <w:color w:val="000000" w:themeColor="text1"/>
        </w:rPr>
      </w:r>
    </w:p>
    <w:p>
      <w:pPr>
        <w:pStyle w:val="1236"/>
        <w:numPr>
          <w:ilvl w:val="0"/>
          <w:numId w:val="142"/>
        </w:numPr>
        <w:ind w:left="0" w:firstLine="709"/>
        <w:jc w:val="both"/>
        <w:spacing w:before="0" w:beforeAutospacing="0" w:after="0" w:afterAutospacing="0" w:line="276" w:lineRule="auto"/>
        <w:shd w:val="clear" w:color="auto" w:fill="ffffff"/>
        <w:rPr>
          <w:color w:val="000000" w:themeColor="text1"/>
        </w:rPr>
      </w:pPr>
      <w:r>
        <w:rPr>
          <w:color w:val="000000" w:themeColor="text1"/>
          <w:sz w:val="28"/>
          <w:szCs w:val="28"/>
        </w:rPr>
        <w:t xml:space="preserve">расширить информирование населения о возможности заключения социальных контрактов по различным направлениям (поиск работы, развитие ИП, преодоление трудной жизненной ситуации).</w:t>
      </w:r>
      <w:r>
        <w:rPr>
          <w:color w:val="000000" w:themeColor="text1"/>
        </w:rPr>
      </w:r>
      <w:r>
        <w:rPr>
          <w:color w:val="000000" w:themeColor="text1"/>
        </w:rPr>
      </w:r>
    </w:p>
    <w:p>
      <w:r/>
      <w:r/>
    </w:p>
    <w:p>
      <w:pPr>
        <w:pStyle w:val="1225"/>
        <w:jc w:val="center"/>
      </w:pPr>
      <w:r/>
      <w:bookmarkStart w:id="37" w:name="_Toc15"/>
      <w:r>
        <w:t xml:space="preserve">РАЗДЕЛ 6. СОБЛЮДЕНИЕ ПРАВ ГРАЖДАН, ТРЕБУЮЩИХ СПЕЦИАЛЬНОЙ ЗАЩИТЫ</w:t>
      </w:r>
      <w:bookmarkEnd w:id="37"/>
      <w:r/>
      <w:r/>
    </w:p>
    <w:p>
      <w:pPr>
        <w:jc w:val="both"/>
        <w:spacing w:after="0"/>
        <w:rPr>
          <w:rFonts w:ascii="Times New Roman" w:hAnsi="Times New Roman"/>
          <w:b/>
          <w:i/>
          <w:sz w:val="28"/>
          <w:szCs w:val="28"/>
        </w:rPr>
      </w:pPr>
      <w:r>
        <w:rPr>
          <w:rFonts w:ascii="Times New Roman" w:hAnsi="Times New Roman"/>
          <w:b/>
          <w:i/>
          <w:sz w:val="28"/>
          <w:szCs w:val="28"/>
        </w:rPr>
      </w:r>
      <w:r>
        <w:rPr>
          <w:rFonts w:ascii="Times New Roman" w:hAnsi="Times New Roman"/>
          <w:b/>
          <w:i/>
          <w:sz w:val="28"/>
          <w:szCs w:val="28"/>
        </w:rPr>
      </w:r>
      <w:r>
        <w:rPr>
          <w:rFonts w:ascii="Times New Roman" w:hAnsi="Times New Roman"/>
          <w:b/>
          <w:i/>
          <w:sz w:val="28"/>
          <w:szCs w:val="28"/>
        </w:rPr>
      </w:r>
    </w:p>
    <w:p>
      <w:pPr>
        <w:pStyle w:val="1226"/>
        <w:jc w:val="center"/>
        <w:rPr>
          <w:rFonts w:ascii="Times New Roman" w:hAnsi="Times New Roman" w:cs="Times New Roman"/>
          <w:color w:val="auto"/>
          <w:sz w:val="28"/>
          <w:szCs w:val="28"/>
        </w:rPr>
      </w:pPr>
      <w:r/>
      <w:bookmarkStart w:id="38" w:name="_Toc16"/>
      <w:r>
        <w:rPr>
          <w:rFonts w:ascii="Times New Roman" w:hAnsi="Times New Roman" w:cs="Times New Roman"/>
          <w:b/>
          <w:bCs/>
          <w:color w:val="auto"/>
          <w:sz w:val="28"/>
          <w:szCs w:val="28"/>
        </w:rPr>
        <w:t xml:space="preserve">6.1. Реализация прав многодетных семей</w:t>
      </w:r>
      <w:r>
        <w:rPr>
          <w:rFonts w:ascii="Times New Roman" w:hAnsi="Times New Roman" w:cs="Times New Roman"/>
          <w:b/>
          <w:bCs/>
          <w:color w:val="auto"/>
          <w:sz w:val="28"/>
          <w:szCs w:val="28"/>
        </w:rPr>
      </w:r>
      <w:bookmarkEnd w:id="38"/>
      <w:r>
        <w:rPr>
          <w:rFonts w:ascii="Times New Roman" w:hAnsi="Times New Roman" w:cs="Times New Roman"/>
          <w:color w:val="auto"/>
          <w:sz w:val="28"/>
          <w:szCs w:val="28"/>
        </w:rPr>
      </w:r>
      <w:r>
        <w:rPr>
          <w:rFonts w:ascii="Times New Roman" w:hAnsi="Times New Roman" w:cs="Times New Roman"/>
          <w:color w:val="auto"/>
          <w:sz w:val="28"/>
          <w:szCs w:val="28"/>
        </w:rPr>
      </w:r>
    </w:p>
    <w:p>
      <w:pPr>
        <w:contextualSpacing/>
        <w:jc w:val="both"/>
        <w:spacing w:after="0"/>
        <w:rPr>
          <w:rFonts w:ascii="Times New Roman" w:hAnsi="Times New Roman" w:eastAsia="Times New Roman"/>
          <w:color w:val="000000" w:themeColor="text1"/>
          <w:sz w:val="28"/>
          <w:szCs w:val="28"/>
        </w:rPr>
      </w:pPr>
      <w:r>
        <w:rPr>
          <w:rFonts w:ascii="Times New Roman" w:hAnsi="Times New Roman" w:eastAsia="Times New Roman"/>
          <w:color w:val="000000" w:themeColor="text1"/>
          <w:sz w:val="28"/>
          <w:szCs w:val="28"/>
        </w:rPr>
      </w:r>
      <w:r>
        <w:rPr>
          <w:rFonts w:ascii="Times New Roman" w:hAnsi="Times New Roman" w:eastAsia="Times New Roman"/>
          <w:color w:val="000000" w:themeColor="text1"/>
          <w:sz w:val="28"/>
          <w:szCs w:val="28"/>
        </w:rPr>
      </w:r>
      <w:r>
        <w:rPr>
          <w:rFonts w:ascii="Times New Roman" w:hAnsi="Times New Roman" w:eastAsia="Times New Roman"/>
          <w:color w:val="000000" w:themeColor="text1"/>
          <w:sz w:val="28"/>
          <w:szCs w:val="28"/>
        </w:rPr>
      </w:r>
    </w:p>
    <w:p>
      <w:pPr>
        <w:ind w:firstLine="708"/>
        <w:jc w:val="both"/>
        <w:spacing w:after="0"/>
        <w:rPr>
          <w:rFonts w:ascii="Times New Roman" w:hAnsi="Times New Roman" w:eastAsia="Times New Roman"/>
          <w:sz w:val="28"/>
          <w:szCs w:val="28"/>
        </w:rPr>
      </w:pPr>
      <w:r>
        <w:rPr>
          <w:rFonts w:ascii="Times New Roman" w:hAnsi="Times New Roman" w:eastAsia="Times New Roman"/>
          <w:sz w:val="28"/>
          <w:szCs w:val="28"/>
        </w:rPr>
        <w:t xml:space="preserve">В современном мире воспитание детей требует н</w:t>
      </w:r>
      <w:r>
        <w:rPr>
          <w:rFonts w:ascii="Times New Roman" w:hAnsi="Times New Roman" w:eastAsia="Times New Roman"/>
          <w:sz w:val="28"/>
          <w:szCs w:val="28"/>
        </w:rPr>
        <w:t xml:space="preserve">е только любви и терпения, но и серьезных материальных ресурсов. Осознавая это, государство уделяет особое внимание поддержке многодетных семей – ведь именно они вносят важнейший вклад в улучшение демографической ситуации, укрепление семейных ценностей  и </w:t>
      </w:r>
      <w:r>
        <w:rPr>
          <w:rFonts w:ascii="Times New Roman" w:hAnsi="Times New Roman" w:eastAsia="Times New Roman"/>
          <w:sz w:val="28"/>
          <w:szCs w:val="28"/>
        </w:rPr>
        <w:t xml:space="preserve">народосбережения</w:t>
      </w:r>
      <w:r>
        <w:rPr>
          <w:rFonts w:ascii="Times New Roman" w:hAnsi="Times New Roman" w:eastAsia="Times New Roman"/>
          <w:sz w:val="28"/>
          <w:szCs w:val="28"/>
        </w:rPr>
        <w:t xml:space="preserve"> в нашей стране.</w:t>
      </w:r>
      <w:r>
        <w:rPr>
          <w:rFonts w:ascii="Times New Roman" w:hAnsi="Times New Roman" w:eastAsia="Times New Roman"/>
          <w:sz w:val="28"/>
          <w:szCs w:val="28"/>
        </w:rPr>
      </w:r>
      <w:r>
        <w:rPr>
          <w:rFonts w:ascii="Times New Roman" w:hAnsi="Times New Roman" w:eastAsia="Times New Roman"/>
          <w:sz w:val="28"/>
          <w:szCs w:val="28"/>
        </w:rPr>
      </w:r>
    </w:p>
    <w:p>
      <w:pPr>
        <w:ind w:firstLine="708"/>
        <w:jc w:val="both"/>
        <w:spacing w:after="0"/>
        <w:rPr>
          <w:rFonts w:ascii="Times New Roman" w:hAnsi="Times New Roman" w:eastAsia="Times New Roman"/>
          <w:sz w:val="28"/>
          <w:szCs w:val="28"/>
        </w:rPr>
      </w:pPr>
      <w:r>
        <w:rPr>
          <w:rFonts w:ascii="Times New Roman" w:hAnsi="Times New Roman" w:eastAsia="Times New Roman"/>
          <w:sz w:val="28"/>
          <w:szCs w:val="28"/>
        </w:rPr>
        <w:t xml:space="preserve">Еще недавно понятие «многодетная сем</w:t>
      </w:r>
      <w:r>
        <w:rPr>
          <w:rFonts w:ascii="Times New Roman" w:hAnsi="Times New Roman" w:eastAsia="Times New Roman"/>
          <w:sz w:val="28"/>
          <w:szCs w:val="28"/>
        </w:rPr>
        <w:t xml:space="preserve">ья» не имело четкого юридического определения, но в 2024 году статус многодетности впервые был закреплен на законодательном уровне. Теперь каждая семья, воспитывающая троих и более детей - как родных, так и усыновленных, - может официально получить статус </w:t>
      </w:r>
      <w:r>
        <w:rPr>
          <w:rFonts w:ascii="Times New Roman" w:hAnsi="Times New Roman" w:eastAsia="Times New Roman"/>
          <w:sz w:val="28"/>
          <w:szCs w:val="28"/>
        </w:rPr>
        <w:t xml:space="preserve">многодетной</w:t>
      </w:r>
      <w:r>
        <w:rPr>
          <w:rFonts w:ascii="Times New Roman" w:hAnsi="Times New Roman" w:eastAsia="Times New Roman"/>
          <w:sz w:val="28"/>
          <w:szCs w:val="28"/>
        </w:rPr>
        <w:t xml:space="preserve">. Важная особенность: этот статус присваивается бессрочно - даже когда дети вырастут и станут </w:t>
      </w:r>
      <w:r>
        <w:rPr>
          <w:rFonts w:ascii="Times New Roman" w:hAnsi="Times New Roman" w:eastAsia="Times New Roman"/>
          <w:sz w:val="28"/>
          <w:szCs w:val="28"/>
        </w:rPr>
        <w:t xml:space="preserve">самостоятельными, семья сохранит звание многодетной как признание ее вклада в развитие общества.</w:t>
      </w:r>
      <w:r>
        <w:rPr>
          <w:rFonts w:ascii="Times New Roman" w:hAnsi="Times New Roman" w:eastAsia="Times New Roman"/>
          <w:sz w:val="28"/>
          <w:szCs w:val="28"/>
        </w:rPr>
      </w:r>
      <w:r>
        <w:rPr>
          <w:rFonts w:ascii="Times New Roman" w:hAnsi="Times New Roman" w:eastAsia="Times New Roman"/>
          <w:sz w:val="28"/>
          <w:szCs w:val="28"/>
        </w:rPr>
      </w:r>
    </w:p>
    <w:p>
      <w:pPr>
        <w:ind w:firstLine="708"/>
        <w:jc w:val="both"/>
        <w:spacing w:after="0"/>
        <w:rPr>
          <w:rFonts w:ascii="Times New Roman" w:hAnsi="Times New Roman" w:eastAsia="Times New Roman"/>
          <w:sz w:val="28"/>
          <w:szCs w:val="28"/>
        </w:rPr>
      </w:pPr>
      <w:r>
        <w:rPr>
          <w:rFonts w:ascii="Times New Roman" w:hAnsi="Times New Roman" w:eastAsia="Times New Roman"/>
          <w:sz w:val="28"/>
          <w:szCs w:val="28"/>
        </w:rPr>
        <w:t xml:space="preserve">Ключевые условия получения поддержки четко прописаны в указе Президента РФ В. В. Путина:</w:t>
      </w:r>
      <w:r>
        <w:rPr>
          <w:rFonts w:ascii="Times New Roman" w:hAnsi="Times New Roman" w:eastAsia="Times New Roman"/>
          <w:sz w:val="28"/>
          <w:szCs w:val="28"/>
        </w:rPr>
      </w:r>
      <w:r>
        <w:rPr>
          <w:rFonts w:ascii="Times New Roman" w:hAnsi="Times New Roman" w:eastAsia="Times New Roman"/>
          <w:sz w:val="28"/>
          <w:szCs w:val="28"/>
        </w:rPr>
      </w:r>
    </w:p>
    <w:p>
      <w:pPr>
        <w:pStyle w:val="1227"/>
        <w:numPr>
          <w:ilvl w:val="0"/>
          <w:numId w:val="133"/>
        </w:numPr>
        <w:ind w:left="0" w:firstLine="709"/>
        <w:jc w:val="both"/>
        <w:rPr>
          <w:rFonts w:ascii="Times New Roman" w:hAnsi="Times New Roman" w:eastAsia="Times New Roman"/>
          <w:sz w:val="28"/>
          <w:szCs w:val="28"/>
          <w:lang w:val="ru-RU"/>
        </w:rPr>
      </w:pPr>
      <w:r>
        <w:rPr>
          <w:rFonts w:ascii="Times New Roman" w:hAnsi="Times New Roman" w:eastAsia="Times New Roman"/>
          <w:sz w:val="28"/>
          <w:szCs w:val="28"/>
          <w:lang w:val="ru-RU"/>
        </w:rPr>
        <w:t xml:space="preserve">семья считается многодетной при наличии трех и более детей;</w:t>
      </w:r>
      <w:r>
        <w:rPr>
          <w:rFonts w:ascii="Times New Roman" w:hAnsi="Times New Roman" w:eastAsia="Times New Roman"/>
          <w:sz w:val="28"/>
          <w:szCs w:val="28"/>
          <w:lang w:val="ru-RU"/>
        </w:rPr>
      </w:r>
      <w:r>
        <w:rPr>
          <w:rFonts w:ascii="Times New Roman" w:hAnsi="Times New Roman" w:eastAsia="Times New Roman"/>
          <w:sz w:val="28"/>
          <w:szCs w:val="28"/>
          <w:lang w:val="ru-RU"/>
        </w:rPr>
      </w:r>
    </w:p>
    <w:p>
      <w:pPr>
        <w:pStyle w:val="1227"/>
        <w:numPr>
          <w:ilvl w:val="0"/>
          <w:numId w:val="133"/>
        </w:numPr>
        <w:ind w:left="0" w:firstLine="709"/>
        <w:jc w:val="both"/>
        <w:rPr>
          <w:rFonts w:ascii="Times New Roman" w:hAnsi="Times New Roman" w:eastAsia="Times New Roman"/>
          <w:sz w:val="28"/>
          <w:szCs w:val="28"/>
          <w:lang w:val="ru-RU"/>
        </w:rPr>
      </w:pPr>
      <w:r>
        <w:rPr>
          <w:rFonts w:ascii="Times New Roman" w:hAnsi="Times New Roman" w:eastAsia="Times New Roman"/>
          <w:sz w:val="28"/>
          <w:szCs w:val="28"/>
          <w:lang w:val="ru-RU"/>
        </w:rPr>
        <w:t xml:space="preserve">большинство мер поддержки действует до совершеннолетия детей;</w:t>
      </w:r>
      <w:r>
        <w:rPr>
          <w:rFonts w:ascii="Times New Roman" w:hAnsi="Times New Roman" w:eastAsia="Times New Roman"/>
          <w:sz w:val="28"/>
          <w:szCs w:val="28"/>
          <w:lang w:val="ru-RU"/>
        </w:rPr>
      </w:r>
      <w:r>
        <w:rPr>
          <w:rFonts w:ascii="Times New Roman" w:hAnsi="Times New Roman" w:eastAsia="Times New Roman"/>
          <w:sz w:val="28"/>
          <w:szCs w:val="28"/>
          <w:lang w:val="ru-RU"/>
        </w:rPr>
      </w:r>
    </w:p>
    <w:p>
      <w:pPr>
        <w:pStyle w:val="1227"/>
        <w:numPr>
          <w:ilvl w:val="0"/>
          <w:numId w:val="133"/>
        </w:numPr>
        <w:ind w:left="0" w:firstLine="709"/>
        <w:jc w:val="both"/>
        <w:rPr>
          <w:rFonts w:ascii="Times New Roman" w:hAnsi="Times New Roman" w:eastAsia="Times New Roman"/>
          <w:sz w:val="28"/>
          <w:szCs w:val="28"/>
          <w:lang w:val="ru-RU"/>
        </w:rPr>
      </w:pPr>
      <w:r>
        <w:rPr>
          <w:rFonts w:ascii="Times New Roman" w:hAnsi="Times New Roman" w:eastAsia="Times New Roman"/>
          <w:sz w:val="28"/>
          <w:szCs w:val="28"/>
          <w:lang w:val="ru-RU"/>
        </w:rPr>
        <w:t xml:space="preserve">если старший ребенок обучается </w:t>
      </w:r>
      <w:r>
        <w:rPr>
          <w:rFonts w:ascii="Times New Roman" w:hAnsi="Times New Roman" w:eastAsia="Times New Roman"/>
          <w:sz w:val="28"/>
          <w:szCs w:val="28"/>
          <w:lang w:val="ru-RU"/>
        </w:rPr>
        <w:t xml:space="preserve">очно</w:t>
      </w:r>
      <w:r>
        <w:rPr>
          <w:rFonts w:ascii="Times New Roman" w:hAnsi="Times New Roman" w:eastAsia="Times New Roman"/>
          <w:sz w:val="28"/>
          <w:szCs w:val="28"/>
          <w:lang w:val="ru-RU"/>
        </w:rPr>
        <w:t xml:space="preserve">, право на льготы сохраняется </w:t>
      </w:r>
      <w:r>
        <w:rPr>
          <w:rFonts w:ascii="Times New Roman" w:hAnsi="Times New Roman" w:eastAsia="Times New Roman"/>
          <w:sz w:val="28"/>
          <w:szCs w:val="28"/>
          <w:lang w:val="ru-RU"/>
        </w:rPr>
        <w:t xml:space="preserve">до</w:t>
      </w:r>
      <w:r>
        <w:rPr>
          <w:rFonts w:ascii="Times New Roman" w:hAnsi="Times New Roman" w:eastAsia="Times New Roman"/>
          <w:sz w:val="28"/>
          <w:szCs w:val="28"/>
          <w:lang w:val="ru-RU"/>
        </w:rPr>
        <w:t xml:space="preserve"> </w:t>
      </w:r>
      <w:r>
        <w:rPr>
          <w:rFonts w:ascii="Times New Roman" w:hAnsi="Times New Roman" w:eastAsia="Times New Roman"/>
          <w:sz w:val="28"/>
          <w:szCs w:val="28"/>
          <w:lang w:val="ru-RU"/>
        </w:rPr>
        <w:t xml:space="preserve">его</w:t>
      </w:r>
      <w:r>
        <w:rPr>
          <w:rFonts w:ascii="Times New Roman" w:hAnsi="Times New Roman" w:eastAsia="Times New Roman"/>
          <w:sz w:val="28"/>
          <w:szCs w:val="28"/>
          <w:lang w:val="ru-RU"/>
        </w:rPr>
        <w:t xml:space="preserve"> 23-летия;</w:t>
      </w:r>
      <w:r>
        <w:rPr>
          <w:rFonts w:ascii="Times New Roman" w:hAnsi="Times New Roman" w:eastAsia="Times New Roman"/>
          <w:sz w:val="28"/>
          <w:szCs w:val="28"/>
          <w:lang w:val="ru-RU"/>
        </w:rPr>
      </w:r>
      <w:r>
        <w:rPr>
          <w:rFonts w:ascii="Times New Roman" w:hAnsi="Times New Roman" w:eastAsia="Times New Roman"/>
          <w:sz w:val="28"/>
          <w:szCs w:val="28"/>
          <w:lang w:val="ru-RU"/>
        </w:rPr>
      </w:r>
    </w:p>
    <w:p>
      <w:pPr>
        <w:pStyle w:val="1227"/>
        <w:numPr>
          <w:ilvl w:val="0"/>
          <w:numId w:val="133"/>
        </w:numPr>
        <w:ind w:left="0" w:firstLine="709"/>
        <w:jc w:val="both"/>
        <w:spacing w:line="276" w:lineRule="auto"/>
        <w:rPr>
          <w:rFonts w:ascii="Times New Roman" w:hAnsi="Times New Roman" w:eastAsia="Times New Roman"/>
          <w:sz w:val="28"/>
          <w:szCs w:val="28"/>
          <w:lang w:val="ru-RU"/>
        </w:rPr>
      </w:pPr>
      <w:r>
        <w:rPr>
          <w:rFonts w:ascii="Times New Roman" w:hAnsi="Times New Roman" w:eastAsia="Times New Roman"/>
          <w:sz w:val="28"/>
          <w:szCs w:val="28"/>
          <w:lang w:val="ru-RU"/>
        </w:rPr>
        <w:t xml:space="preserve">поддержка предоставляется гражданам РФ, постоянно проживающим на территории страны и воспитывающим несовершеннолетних детей — также граждан РФ.</w:t>
      </w:r>
      <w:r>
        <w:rPr>
          <w:rFonts w:ascii="Times New Roman" w:hAnsi="Times New Roman" w:eastAsia="Times New Roman"/>
          <w:sz w:val="28"/>
          <w:szCs w:val="28"/>
          <w:lang w:val="ru-RU"/>
        </w:rPr>
      </w:r>
      <w:r>
        <w:rPr>
          <w:rFonts w:ascii="Times New Roman" w:hAnsi="Times New Roman" w:eastAsia="Times New Roman"/>
          <w:sz w:val="28"/>
          <w:szCs w:val="28"/>
          <w:lang w:val="ru-RU"/>
        </w:rPr>
      </w:r>
    </w:p>
    <w:p>
      <w:pPr>
        <w:ind w:firstLine="708"/>
        <w:jc w:val="both"/>
        <w:spacing w:after="0"/>
        <w:rPr>
          <w:rFonts w:ascii="Times New Roman" w:hAnsi="Times New Roman" w:eastAsia="Times New Roman"/>
          <w:sz w:val="28"/>
          <w:szCs w:val="28"/>
        </w:rPr>
      </w:pPr>
      <w:r>
        <w:rPr>
          <w:rFonts w:ascii="Times New Roman" w:hAnsi="Times New Roman" w:eastAsia="Times New Roman"/>
          <w:sz w:val="28"/>
          <w:szCs w:val="28"/>
        </w:rPr>
        <w:t xml:space="preserve">В Ивановской области в 2025 году насчитывалось  более 12000 многодетных семей, в которых воспиты</w:t>
      </w:r>
      <w:r>
        <w:rPr>
          <w:rFonts w:ascii="Times New Roman" w:hAnsi="Times New Roman" w:eastAsia="Times New Roman"/>
          <w:sz w:val="28"/>
          <w:szCs w:val="28"/>
        </w:rPr>
        <w:t xml:space="preserve">валось 39060 детей. За последнее десятилетие их число выросло в два раза. Поддержка таких семей - приоритетная задача региона, и в 2025 году были расширены меры помощи, включая финансовые выплаты, льготы в сфере образования, здравоохранения, ЖКХ и другие. </w:t>
      </w:r>
      <w:r>
        <w:rPr>
          <w:rFonts w:ascii="Times New Roman" w:hAnsi="Times New Roman" w:eastAsia="Times New Roman"/>
          <w:sz w:val="28"/>
          <w:szCs w:val="28"/>
        </w:rPr>
      </w:r>
      <w:r>
        <w:rPr>
          <w:rFonts w:ascii="Times New Roman" w:hAnsi="Times New Roman" w:eastAsia="Times New Roman"/>
          <w:sz w:val="28"/>
          <w:szCs w:val="28"/>
        </w:rPr>
      </w:r>
    </w:p>
    <w:p>
      <w:pPr>
        <w:ind w:firstLine="708"/>
        <w:jc w:val="both"/>
        <w:spacing w:after="0"/>
        <w:rPr>
          <w:rFonts w:ascii="Times New Roman" w:hAnsi="Times New Roman" w:eastAsia="Times New Roman"/>
          <w:sz w:val="28"/>
          <w:szCs w:val="28"/>
        </w:rPr>
      </w:pPr>
      <w:r>
        <w:rPr>
          <w:rFonts w:ascii="Times New Roman" w:hAnsi="Times New Roman" w:eastAsia="Times New Roman"/>
          <w:sz w:val="28"/>
          <w:szCs w:val="28"/>
        </w:rPr>
        <w:t xml:space="preserve">Статус многодетной семьи присваивается при наличии трех и более детей. Он сохраняется до достижения старшим ребенк</w:t>
      </w:r>
      <w:r>
        <w:rPr>
          <w:rFonts w:ascii="Times New Roman" w:hAnsi="Times New Roman" w:eastAsia="Times New Roman"/>
          <w:sz w:val="28"/>
          <w:szCs w:val="28"/>
        </w:rPr>
        <w:t xml:space="preserve">ом 23 лет при условии его очного обучения в колледже или вузе либо прохождения срочной службы. Поддержка предоставляется родителям – гражданам РФ, которые воспитывают несовершеннолетних детей – также граждан РФ, и совместно проживают на территории страны. </w:t>
      </w:r>
      <w:r>
        <w:rPr>
          <w:rFonts w:ascii="Times New Roman" w:hAnsi="Times New Roman" w:eastAsia="Times New Roman"/>
          <w:sz w:val="28"/>
          <w:szCs w:val="28"/>
        </w:rPr>
      </w:r>
      <w:r>
        <w:rPr>
          <w:rFonts w:ascii="Times New Roman" w:hAnsi="Times New Roman" w:eastAsia="Times New Roman"/>
          <w:sz w:val="28"/>
          <w:szCs w:val="28"/>
        </w:rPr>
      </w:r>
    </w:p>
    <w:p>
      <w:pPr>
        <w:ind w:firstLine="708"/>
        <w:jc w:val="both"/>
        <w:spacing w:after="0"/>
        <w:rPr>
          <w:rFonts w:ascii="Times New Roman" w:hAnsi="Times New Roman" w:eastAsia="Times New Roman"/>
          <w:sz w:val="28"/>
          <w:szCs w:val="28"/>
        </w:rPr>
      </w:pPr>
      <w:r>
        <w:rPr>
          <w:rFonts w:ascii="Times New Roman" w:hAnsi="Times New Roman" w:eastAsia="Times New Roman"/>
          <w:sz w:val="28"/>
          <w:szCs w:val="28"/>
        </w:rPr>
        <w:t xml:space="preserve">Некоторые меры поддержки в 2025 году:</w:t>
      </w:r>
      <w:r>
        <w:rPr>
          <w:rFonts w:ascii="Times New Roman" w:hAnsi="Times New Roman" w:eastAsia="Times New Roman"/>
          <w:sz w:val="28"/>
          <w:szCs w:val="28"/>
        </w:rPr>
      </w:r>
      <w:r>
        <w:rPr>
          <w:rFonts w:ascii="Times New Roman" w:hAnsi="Times New Roman" w:eastAsia="Times New Roman"/>
          <w:sz w:val="28"/>
          <w:szCs w:val="28"/>
        </w:rPr>
      </w:r>
    </w:p>
    <w:p>
      <w:pPr>
        <w:pStyle w:val="1227"/>
        <w:numPr>
          <w:ilvl w:val="0"/>
          <w:numId w:val="134"/>
        </w:numPr>
        <w:ind w:left="0" w:firstLine="709"/>
        <w:jc w:val="both"/>
        <w:spacing w:line="276" w:lineRule="auto"/>
        <w:rPr>
          <w:rFonts w:ascii="Times New Roman" w:hAnsi="Times New Roman" w:eastAsia="Times New Roman"/>
          <w:sz w:val="28"/>
          <w:szCs w:val="28"/>
          <w:lang w:val="ru-RU"/>
        </w:rPr>
      </w:pPr>
      <w:r>
        <w:rPr>
          <w:rFonts w:ascii="Times New Roman" w:hAnsi="Times New Roman" w:eastAsia="Times New Roman"/>
          <w:sz w:val="28"/>
          <w:szCs w:val="28"/>
          <w:lang w:val="ru-RU"/>
        </w:rPr>
        <w:t xml:space="preserve">Единовременная выплата при рождении третьего или последующего ребенка. По инициативе губернатора Станислава Воскресенского ее увеличили до 350 тысяч рублей. </w:t>
      </w:r>
      <w:r>
        <w:rPr>
          <w:rFonts w:ascii="Times New Roman" w:hAnsi="Times New Roman" w:eastAsia="Times New Roman"/>
          <w:sz w:val="28"/>
          <w:szCs w:val="28"/>
          <w:lang w:val="ru-RU"/>
        </w:rPr>
      </w:r>
      <w:r>
        <w:rPr>
          <w:rFonts w:ascii="Times New Roman" w:hAnsi="Times New Roman" w:eastAsia="Times New Roman"/>
          <w:sz w:val="28"/>
          <w:szCs w:val="28"/>
          <w:lang w:val="ru-RU"/>
        </w:rPr>
      </w:r>
    </w:p>
    <w:p>
      <w:pPr>
        <w:pStyle w:val="1227"/>
        <w:numPr>
          <w:ilvl w:val="0"/>
          <w:numId w:val="134"/>
        </w:numPr>
        <w:ind w:left="0" w:firstLine="709"/>
        <w:jc w:val="both"/>
        <w:spacing w:line="276" w:lineRule="auto"/>
        <w:rPr>
          <w:rFonts w:ascii="Times New Roman" w:hAnsi="Times New Roman" w:eastAsia="Times New Roman"/>
          <w:sz w:val="28"/>
          <w:szCs w:val="28"/>
        </w:rPr>
      </w:pPr>
      <w:r>
        <w:rPr>
          <w:rFonts w:ascii="Times New Roman" w:hAnsi="Times New Roman" w:eastAsia="Times New Roman"/>
          <w:sz w:val="28"/>
          <w:szCs w:val="28"/>
          <w:lang w:val="ru-RU"/>
        </w:rPr>
        <w:t xml:space="preserve">Компенсация 50% стоимости обучения одного ребенка в колледже или вузе при условии очной и платной формы обучения. </w:t>
      </w:r>
      <w:r>
        <w:rPr>
          <w:rFonts w:ascii="Times New Roman" w:hAnsi="Times New Roman" w:eastAsia="Times New Roman"/>
          <w:sz w:val="28"/>
          <w:szCs w:val="28"/>
        </w:rPr>
        <w:t xml:space="preserve">Этой</w:t>
      </w:r>
      <w:r>
        <w:rPr>
          <w:rFonts w:ascii="Times New Roman" w:hAnsi="Times New Roman" w:eastAsia="Times New Roman"/>
          <w:sz w:val="28"/>
          <w:szCs w:val="28"/>
        </w:rPr>
        <w:t xml:space="preserve"> </w:t>
      </w:r>
      <w:r>
        <w:rPr>
          <w:rFonts w:ascii="Times New Roman" w:hAnsi="Times New Roman" w:eastAsia="Times New Roman"/>
          <w:sz w:val="28"/>
          <w:szCs w:val="28"/>
        </w:rPr>
        <w:t xml:space="preserve">мерой</w:t>
      </w:r>
      <w:r>
        <w:rPr>
          <w:rFonts w:ascii="Times New Roman" w:hAnsi="Times New Roman" w:eastAsia="Times New Roman"/>
          <w:sz w:val="28"/>
          <w:szCs w:val="28"/>
        </w:rPr>
        <w:t xml:space="preserve"> </w:t>
      </w:r>
      <w:r>
        <w:rPr>
          <w:rFonts w:ascii="Times New Roman" w:hAnsi="Times New Roman" w:eastAsia="Times New Roman"/>
          <w:sz w:val="28"/>
          <w:szCs w:val="28"/>
        </w:rPr>
        <w:t xml:space="preserve">поддержки</w:t>
      </w:r>
      <w:r>
        <w:rPr>
          <w:rFonts w:ascii="Times New Roman" w:hAnsi="Times New Roman" w:eastAsia="Times New Roman"/>
          <w:sz w:val="28"/>
          <w:szCs w:val="28"/>
        </w:rPr>
        <w:t xml:space="preserve"> </w:t>
      </w:r>
      <w:r>
        <w:rPr>
          <w:rFonts w:ascii="Times New Roman" w:hAnsi="Times New Roman" w:eastAsia="Times New Roman"/>
          <w:sz w:val="28"/>
          <w:szCs w:val="28"/>
        </w:rPr>
        <w:t xml:space="preserve">воспользовались</w:t>
      </w:r>
      <w:r>
        <w:rPr>
          <w:rFonts w:ascii="Times New Roman" w:hAnsi="Times New Roman" w:eastAsia="Times New Roman"/>
          <w:sz w:val="28"/>
          <w:szCs w:val="28"/>
        </w:rPr>
        <w:t xml:space="preserve"> 107 </w:t>
      </w:r>
      <w:r>
        <w:rPr>
          <w:rFonts w:ascii="Times New Roman" w:hAnsi="Times New Roman" w:eastAsia="Times New Roman"/>
          <w:sz w:val="28"/>
          <w:szCs w:val="28"/>
        </w:rPr>
        <w:t xml:space="preserve">детей</w:t>
      </w:r>
      <w:r>
        <w:rPr>
          <w:rFonts w:ascii="Times New Roman" w:hAnsi="Times New Roman" w:eastAsia="Times New Roman"/>
          <w:sz w:val="28"/>
          <w:szCs w:val="28"/>
        </w:rPr>
        <w:t xml:space="preserve">. </w:t>
      </w:r>
      <w:r>
        <w:rPr>
          <w:rFonts w:ascii="Times New Roman" w:hAnsi="Times New Roman" w:eastAsia="Times New Roman"/>
          <w:sz w:val="28"/>
          <w:szCs w:val="28"/>
        </w:rPr>
      </w:r>
      <w:r>
        <w:rPr>
          <w:rFonts w:ascii="Times New Roman" w:hAnsi="Times New Roman" w:eastAsia="Times New Roman"/>
          <w:sz w:val="28"/>
          <w:szCs w:val="28"/>
        </w:rPr>
      </w:r>
    </w:p>
    <w:p>
      <w:pPr>
        <w:pStyle w:val="1227"/>
        <w:numPr>
          <w:ilvl w:val="0"/>
          <w:numId w:val="134"/>
        </w:numPr>
        <w:ind w:left="0" w:firstLine="709"/>
        <w:jc w:val="both"/>
        <w:spacing w:line="276" w:lineRule="auto"/>
        <w:rPr>
          <w:rFonts w:ascii="Times New Roman" w:hAnsi="Times New Roman" w:eastAsia="Times New Roman"/>
          <w:sz w:val="28"/>
          <w:szCs w:val="28"/>
          <w:lang w:val="ru-RU"/>
        </w:rPr>
      </w:pPr>
      <w:r>
        <w:rPr>
          <w:rFonts w:ascii="Times New Roman" w:hAnsi="Times New Roman" w:eastAsia="Times New Roman"/>
          <w:sz w:val="28"/>
          <w:szCs w:val="28"/>
          <w:lang w:val="ru-RU"/>
        </w:rPr>
        <w:t xml:space="preserve">Бесплатное питание в школах для детей из многодетных семей. С 2025 года бесплатное горячее питание также предусмотрено для школьников 5–11 классов и студентов-очников колледжей. </w:t>
      </w:r>
      <w:r>
        <w:rPr>
          <w:rFonts w:ascii="Times New Roman" w:hAnsi="Times New Roman" w:eastAsia="Times New Roman"/>
          <w:sz w:val="28"/>
          <w:szCs w:val="28"/>
          <w:lang w:val="ru-RU"/>
        </w:rPr>
      </w:r>
      <w:r>
        <w:rPr>
          <w:rFonts w:ascii="Times New Roman" w:hAnsi="Times New Roman" w:eastAsia="Times New Roman"/>
          <w:sz w:val="28"/>
          <w:szCs w:val="28"/>
          <w:lang w:val="ru-RU"/>
        </w:rPr>
      </w:r>
    </w:p>
    <w:p>
      <w:pPr>
        <w:pStyle w:val="1227"/>
        <w:numPr>
          <w:ilvl w:val="0"/>
          <w:numId w:val="134"/>
        </w:numPr>
        <w:ind w:left="0" w:firstLine="709"/>
        <w:jc w:val="both"/>
        <w:spacing w:line="276" w:lineRule="auto"/>
        <w:rPr>
          <w:rFonts w:ascii="Times New Roman" w:hAnsi="Times New Roman" w:eastAsia="Times New Roman"/>
          <w:sz w:val="28"/>
          <w:szCs w:val="28"/>
          <w:lang w:val="ru-RU"/>
        </w:rPr>
      </w:pPr>
      <w:r>
        <w:rPr>
          <w:rFonts w:ascii="Times New Roman" w:hAnsi="Times New Roman" w:eastAsia="Times New Roman"/>
          <w:sz w:val="28"/>
          <w:szCs w:val="28"/>
          <w:lang w:val="ru-RU"/>
        </w:rPr>
        <w:t xml:space="preserve">Приоритетная запись детей к врачам-специалистам. </w:t>
      </w:r>
      <w:r>
        <w:rPr>
          <w:rFonts w:ascii="Times New Roman" w:hAnsi="Times New Roman" w:eastAsia="Times New Roman"/>
          <w:sz w:val="28"/>
          <w:szCs w:val="28"/>
          <w:lang w:val="ru-RU"/>
        </w:rPr>
      </w:r>
      <w:r>
        <w:rPr>
          <w:rFonts w:ascii="Times New Roman" w:hAnsi="Times New Roman" w:eastAsia="Times New Roman"/>
          <w:sz w:val="28"/>
          <w:szCs w:val="28"/>
          <w:lang w:val="ru-RU"/>
        </w:rPr>
      </w:r>
    </w:p>
    <w:p>
      <w:pPr>
        <w:pStyle w:val="1227"/>
        <w:numPr>
          <w:ilvl w:val="0"/>
          <w:numId w:val="134"/>
        </w:numPr>
        <w:ind w:left="0" w:firstLine="709"/>
        <w:jc w:val="both"/>
        <w:spacing w:line="276" w:lineRule="auto"/>
        <w:rPr>
          <w:rFonts w:ascii="Times New Roman" w:hAnsi="Times New Roman" w:eastAsia="Times New Roman"/>
          <w:sz w:val="28"/>
          <w:szCs w:val="28"/>
          <w:lang w:val="ru-RU"/>
        </w:rPr>
      </w:pPr>
      <w:r>
        <w:rPr>
          <w:rFonts w:ascii="Times New Roman" w:hAnsi="Times New Roman" w:eastAsia="Times New Roman"/>
          <w:sz w:val="28"/>
          <w:szCs w:val="28"/>
          <w:lang w:val="ru-RU"/>
        </w:rPr>
        <w:t xml:space="preserve">Освобождение от родительской платы за детский сад. </w:t>
      </w:r>
      <w:r>
        <w:rPr>
          <w:rFonts w:ascii="Times New Roman" w:hAnsi="Times New Roman" w:eastAsia="Times New Roman"/>
          <w:sz w:val="28"/>
          <w:szCs w:val="28"/>
          <w:lang w:val="ru-RU"/>
        </w:rPr>
      </w:r>
      <w:r>
        <w:rPr>
          <w:rFonts w:ascii="Times New Roman" w:hAnsi="Times New Roman" w:eastAsia="Times New Roman"/>
          <w:sz w:val="28"/>
          <w:szCs w:val="28"/>
          <w:lang w:val="ru-RU"/>
        </w:rPr>
      </w:r>
    </w:p>
    <w:p>
      <w:pPr>
        <w:pStyle w:val="1227"/>
        <w:numPr>
          <w:ilvl w:val="0"/>
          <w:numId w:val="134"/>
        </w:numPr>
        <w:ind w:left="0" w:firstLine="709"/>
        <w:jc w:val="both"/>
        <w:spacing w:line="276" w:lineRule="auto"/>
        <w:rPr>
          <w:rFonts w:ascii="Times New Roman" w:hAnsi="Times New Roman" w:eastAsia="Times New Roman"/>
          <w:sz w:val="28"/>
          <w:szCs w:val="28"/>
          <w:lang w:val="ru-RU"/>
        </w:rPr>
      </w:pPr>
      <w:r>
        <w:rPr>
          <w:rFonts w:ascii="Times New Roman" w:hAnsi="Times New Roman" w:eastAsia="Times New Roman"/>
          <w:sz w:val="28"/>
          <w:szCs w:val="28"/>
          <w:lang w:val="ru-RU"/>
        </w:rPr>
        <w:t xml:space="preserve">Отмена транспортного налога на один автомобиль мощностью до 250 л.</w:t>
      </w:r>
      <w:r>
        <w:rPr>
          <w:rFonts w:ascii="Times New Roman" w:hAnsi="Times New Roman" w:eastAsia="Times New Roman"/>
          <w:sz w:val="28"/>
          <w:szCs w:val="28"/>
          <w:lang w:val="ru-RU"/>
        </w:rPr>
        <w:t xml:space="preserve">с</w:t>
      </w:r>
      <w:r>
        <w:rPr>
          <w:rFonts w:ascii="Times New Roman" w:hAnsi="Times New Roman" w:eastAsia="Times New Roman"/>
          <w:sz w:val="28"/>
          <w:szCs w:val="28"/>
          <w:lang w:val="ru-RU"/>
        </w:rPr>
        <w:t xml:space="preserve">.</w:t>
      </w:r>
      <w:r>
        <w:rPr>
          <w:rFonts w:ascii="Times New Roman" w:hAnsi="Times New Roman" w:eastAsia="Times New Roman"/>
          <w:sz w:val="28"/>
          <w:szCs w:val="28"/>
          <w:lang w:val="ru-RU"/>
        </w:rPr>
      </w:r>
      <w:r>
        <w:rPr>
          <w:rFonts w:ascii="Times New Roman" w:hAnsi="Times New Roman" w:eastAsia="Times New Roman"/>
          <w:sz w:val="28"/>
          <w:szCs w:val="28"/>
          <w:lang w:val="ru-RU"/>
        </w:rPr>
      </w:r>
    </w:p>
    <w:p>
      <w:pPr>
        <w:pStyle w:val="1227"/>
        <w:numPr>
          <w:ilvl w:val="0"/>
          <w:numId w:val="134"/>
        </w:numPr>
        <w:ind w:left="0" w:firstLine="709"/>
        <w:jc w:val="both"/>
        <w:spacing w:line="276" w:lineRule="auto"/>
        <w:rPr>
          <w:rFonts w:ascii="Times New Roman" w:hAnsi="Times New Roman" w:eastAsia="Times New Roman"/>
          <w:sz w:val="28"/>
          <w:szCs w:val="28"/>
          <w:lang w:val="ru-RU"/>
        </w:rPr>
      </w:pPr>
      <w:r>
        <w:rPr>
          <w:rFonts w:ascii="Times New Roman" w:hAnsi="Times New Roman" w:eastAsia="Times New Roman"/>
          <w:sz w:val="28"/>
          <w:szCs w:val="28"/>
          <w:lang w:val="ru-RU"/>
        </w:rPr>
        <w:t xml:space="preserve">Бесплатное посещение государственных музеев и театров региона. </w:t>
      </w:r>
      <w:r>
        <w:rPr>
          <w:rFonts w:ascii="Times New Roman" w:hAnsi="Times New Roman" w:eastAsia="Times New Roman"/>
          <w:sz w:val="28"/>
          <w:szCs w:val="28"/>
          <w:lang w:val="ru-RU"/>
        </w:rPr>
      </w:r>
      <w:r>
        <w:rPr>
          <w:rFonts w:ascii="Times New Roman" w:hAnsi="Times New Roman" w:eastAsia="Times New Roman"/>
          <w:sz w:val="28"/>
          <w:szCs w:val="28"/>
          <w:lang w:val="ru-RU"/>
        </w:rPr>
      </w:r>
    </w:p>
    <w:p>
      <w:pPr>
        <w:pStyle w:val="1227"/>
        <w:numPr>
          <w:ilvl w:val="0"/>
          <w:numId w:val="134"/>
        </w:numPr>
        <w:ind w:left="0" w:firstLine="709"/>
        <w:jc w:val="both"/>
        <w:spacing w:line="276" w:lineRule="auto"/>
        <w:rPr>
          <w:rFonts w:ascii="Times New Roman" w:hAnsi="Times New Roman" w:eastAsia="Times New Roman"/>
          <w:sz w:val="28"/>
          <w:szCs w:val="28"/>
          <w:lang w:val="ru-RU"/>
        </w:rPr>
      </w:pPr>
      <w:r>
        <w:rPr>
          <w:rFonts w:ascii="Times New Roman" w:hAnsi="Times New Roman" w:eastAsia="Times New Roman"/>
          <w:sz w:val="28"/>
          <w:szCs w:val="28"/>
          <w:lang w:val="ru-RU"/>
        </w:rPr>
        <w:t xml:space="preserve">Поддержка родителей в открытии или развитии бизнеса: финансовая помощь или бесплатное обучение новой профессии. </w:t>
      </w:r>
      <w:r>
        <w:rPr>
          <w:rFonts w:ascii="Times New Roman" w:hAnsi="Times New Roman" w:eastAsia="Times New Roman"/>
          <w:sz w:val="28"/>
          <w:szCs w:val="28"/>
          <w:lang w:val="ru-RU"/>
        </w:rPr>
      </w:r>
      <w:r>
        <w:rPr>
          <w:rFonts w:ascii="Times New Roman" w:hAnsi="Times New Roman" w:eastAsia="Times New Roman"/>
          <w:sz w:val="28"/>
          <w:szCs w:val="28"/>
          <w:lang w:val="ru-RU"/>
        </w:rPr>
      </w:r>
    </w:p>
    <w:p>
      <w:pPr>
        <w:pStyle w:val="1227"/>
        <w:numPr>
          <w:ilvl w:val="0"/>
          <w:numId w:val="134"/>
        </w:numPr>
        <w:ind w:left="0" w:firstLine="709"/>
        <w:jc w:val="both"/>
        <w:spacing w:line="276" w:lineRule="auto"/>
        <w:rPr>
          <w:rFonts w:ascii="Times New Roman" w:hAnsi="Times New Roman" w:eastAsia="Times New Roman"/>
          <w:sz w:val="28"/>
          <w:szCs w:val="28"/>
          <w:lang w:val="ru-RU"/>
        </w:rPr>
      </w:pPr>
      <w:r>
        <w:rPr>
          <w:rFonts w:ascii="Times New Roman" w:hAnsi="Times New Roman" w:eastAsia="Times New Roman"/>
          <w:sz w:val="28"/>
          <w:szCs w:val="28"/>
          <w:lang w:val="ru-RU"/>
        </w:rPr>
        <w:t xml:space="preserve">Повышенная компенсация расходов на ЖКУ, включающая плату за содержание жилья и капремонт. </w:t>
      </w:r>
      <w:r>
        <w:rPr>
          <w:rFonts w:ascii="Times New Roman" w:hAnsi="Times New Roman" w:eastAsia="Times New Roman"/>
          <w:sz w:val="28"/>
          <w:szCs w:val="28"/>
          <w:lang w:val="ru-RU"/>
        </w:rPr>
      </w:r>
      <w:r>
        <w:rPr>
          <w:rFonts w:ascii="Times New Roman" w:hAnsi="Times New Roman" w:eastAsia="Times New Roman"/>
          <w:sz w:val="28"/>
          <w:szCs w:val="28"/>
          <w:lang w:val="ru-RU"/>
        </w:rPr>
      </w:r>
    </w:p>
    <w:p>
      <w:pPr>
        <w:ind w:firstLine="708"/>
        <w:jc w:val="both"/>
        <w:spacing w:after="0"/>
        <w:rPr>
          <w:rFonts w:ascii="Times New Roman" w:hAnsi="Times New Roman" w:eastAsia="Times New Roman"/>
          <w:bCs/>
          <w:i/>
          <w:sz w:val="28"/>
          <w:szCs w:val="28"/>
        </w:rPr>
      </w:pPr>
      <w:r>
        <w:rPr>
          <w:rFonts w:ascii="Times New Roman" w:hAnsi="Times New Roman" w:eastAsia="Times New Roman"/>
          <w:i/>
          <w:iCs/>
          <w:sz w:val="28"/>
          <w:szCs w:val="28"/>
        </w:rPr>
        <w:t xml:space="preserve">В адрес Уполномоченного поступило обращение от многодетной мамы, супруги участника специальной военной операции с просьбой о содействии в зачислении ее несовершеннолетнего ребенка в дошкольное образовательное учреждение города Иваново.</w:t>
      </w:r>
      <w:r>
        <w:rPr>
          <w:rFonts w:ascii="Times New Roman" w:hAnsi="Times New Roman" w:eastAsia="Times New Roman"/>
          <w:bCs/>
          <w:i/>
          <w:sz w:val="28"/>
          <w:szCs w:val="28"/>
        </w:rPr>
      </w:r>
      <w:r>
        <w:rPr>
          <w:rFonts w:ascii="Times New Roman" w:hAnsi="Times New Roman" w:eastAsia="Times New Roman"/>
          <w:bCs/>
          <w:i/>
          <w:sz w:val="28"/>
          <w:szCs w:val="28"/>
        </w:rPr>
      </w:r>
    </w:p>
    <w:p>
      <w:pPr>
        <w:ind w:firstLine="708"/>
        <w:jc w:val="both"/>
        <w:spacing w:after="0"/>
        <w:rPr>
          <w:bCs/>
          <w:i/>
        </w:rPr>
      </w:pPr>
      <w:r>
        <w:rPr>
          <w:rFonts w:ascii="Times New Roman" w:hAnsi="Times New Roman" w:eastAsia="Times New Roman"/>
          <w:i/>
          <w:iCs/>
          <w:sz w:val="28"/>
          <w:szCs w:val="28"/>
        </w:rPr>
        <w:t xml:space="preserve">Учитывая особую социальную значимость обеспечения прав детей, особенно в семьях, связанных с государственной службой, омбудсменом незамедлительно был направлен соответствующий запрос в Управление образования Администрации города Иваново.</w:t>
      </w:r>
      <w:r>
        <w:rPr>
          <w:bCs/>
          <w:i/>
        </w:rPr>
      </w:r>
      <w:r>
        <w:rPr>
          <w:bCs/>
          <w:i/>
        </w:rPr>
      </w:r>
    </w:p>
    <w:p>
      <w:pPr>
        <w:ind w:firstLine="708"/>
        <w:jc w:val="both"/>
        <w:spacing w:after="0"/>
        <w:rPr>
          <w:bCs/>
          <w:i/>
        </w:rPr>
      </w:pPr>
      <w:r>
        <w:rPr>
          <w:rFonts w:ascii="Times New Roman" w:hAnsi="Times New Roman" w:eastAsia="Times New Roman"/>
          <w:i/>
          <w:iCs/>
          <w:sz w:val="28"/>
          <w:szCs w:val="28"/>
        </w:rPr>
        <w:t xml:space="preserve">Благодаря оперативной и координированной работе профильного упр</w:t>
      </w:r>
      <w:r>
        <w:rPr>
          <w:rFonts w:ascii="Times New Roman" w:hAnsi="Times New Roman" w:eastAsia="Times New Roman"/>
          <w:i/>
          <w:iCs/>
          <w:sz w:val="28"/>
          <w:szCs w:val="28"/>
        </w:rPr>
        <w:t xml:space="preserve">авления, вопрос был решен в кратчайшие сроки. Заявительнице выдано  направление в желаемое дошкольное образовательное учреждение, что позволило обеспечить реализацию права ребенка на получение дошкольного образования в условиях, отвечающих интересам семьи.</w:t>
      </w:r>
      <w:r>
        <w:rPr>
          <w:bCs/>
          <w:i/>
        </w:rPr>
      </w:r>
      <w:r>
        <w:rPr>
          <w:bCs/>
          <w:i/>
        </w:rPr>
      </w:r>
    </w:p>
    <w:p>
      <w:pPr>
        <w:ind w:firstLine="708"/>
        <w:jc w:val="both"/>
        <w:spacing w:after="0"/>
        <w:rPr>
          <w:rFonts w:ascii="Times New Roman" w:hAnsi="Times New Roman" w:eastAsia="Times New Roman"/>
          <w:sz w:val="28"/>
          <w:szCs w:val="28"/>
        </w:rPr>
      </w:pPr>
      <w:r>
        <w:rPr>
          <w:rFonts w:ascii="Times New Roman" w:hAnsi="Times New Roman" w:eastAsia="Times New Roman"/>
          <w:sz w:val="28"/>
          <w:szCs w:val="28"/>
        </w:rPr>
        <w:t xml:space="preserve">Кроме того, многодетные семьи имеют право на получение земельн</w:t>
      </w:r>
      <w:r>
        <w:rPr>
          <w:rFonts w:ascii="Times New Roman" w:hAnsi="Times New Roman" w:eastAsia="Times New Roman"/>
          <w:sz w:val="28"/>
          <w:szCs w:val="28"/>
        </w:rPr>
        <w:t xml:space="preserve">ого участка в собственность бесплатно либо на единовременную денежную выплату на его приобретение. Размер такой выплаты в 2025 году составлял 175 тысяч рублей, но не более стоимости приобретенного земельного участка, определенной в договоре купли-продажи. </w:t>
      </w:r>
      <w:r>
        <w:rPr>
          <w:rFonts w:ascii="Times New Roman" w:hAnsi="Times New Roman" w:eastAsia="Times New Roman"/>
          <w:sz w:val="28"/>
          <w:szCs w:val="28"/>
        </w:rPr>
      </w:r>
      <w:r>
        <w:rPr>
          <w:rFonts w:ascii="Times New Roman" w:hAnsi="Times New Roman" w:eastAsia="Times New Roman"/>
          <w:sz w:val="28"/>
          <w:szCs w:val="28"/>
        </w:rPr>
      </w:r>
    </w:p>
    <w:p>
      <w:pPr>
        <w:ind w:firstLine="708"/>
        <w:jc w:val="both"/>
        <w:spacing w:after="0"/>
      </w:pPr>
      <w:r>
        <w:rPr>
          <w:rFonts w:ascii="Times New Roman" w:hAnsi="Times New Roman" w:eastAsia="Times New Roman"/>
          <w:sz w:val="28"/>
          <w:szCs w:val="28"/>
        </w:rPr>
        <w:t xml:space="preserve">Теме защите семейных прав граждан, в частности многодетных семей, </w:t>
      </w:r>
      <w:r>
        <w:rPr>
          <w:rFonts w:ascii="Times New Roman" w:hAnsi="Times New Roman" w:eastAsia="Times New Roman"/>
          <w:sz w:val="28"/>
          <w:szCs w:val="28"/>
        </w:rPr>
        <w:t xml:space="preserve">было посвящено одно из очередных заседаний Экспертного совета при региональном омбудсмене в 2024 г. Член Экспертного совета Владимир Дубов детально разобрал вопрос соблюдения прав многодетных семей на предоставление бесплатных земельных участков в регионе.</w:t>
      </w:r>
      <w:r/>
    </w:p>
    <w:p>
      <w:pPr>
        <w:ind w:firstLine="708"/>
        <w:jc w:val="both"/>
        <w:spacing w:after="0"/>
      </w:pPr>
      <w:r>
        <w:rPr>
          <w:rFonts w:ascii="Times New Roman" w:hAnsi="Times New Roman" w:eastAsia="Times New Roman"/>
          <w:sz w:val="28"/>
          <w:szCs w:val="28"/>
        </w:rPr>
        <w:t xml:space="preserve">Так, пунктом 6 статьи 39.5 Земельного кодекса РФ установлено, что граждане, имеющие трех и более детей, имеют право приобрест</w:t>
      </w:r>
      <w:r>
        <w:rPr>
          <w:rFonts w:ascii="Times New Roman" w:hAnsi="Times New Roman" w:eastAsia="Times New Roman"/>
          <w:sz w:val="28"/>
          <w:szCs w:val="28"/>
        </w:rPr>
        <w:t xml:space="preserve">и бесплатно, в том числе для индивидуального жилищного строительства, находящиеся в государственной или муниципальной собственности земельные участки в случаях и в порядке, которые установлены органами государственной власти субъектов Российской Федерации.</w:t>
      </w:r>
      <w:r/>
    </w:p>
    <w:p>
      <w:pPr>
        <w:ind w:firstLine="708"/>
        <w:jc w:val="both"/>
        <w:spacing w:after="0"/>
      </w:pPr>
      <w:r>
        <w:rPr>
          <w:rFonts w:ascii="Times New Roman" w:hAnsi="Times New Roman" w:eastAsia="Times New Roman"/>
          <w:sz w:val="28"/>
          <w:szCs w:val="28"/>
        </w:rPr>
        <w:t xml:space="preserve">Во исполнение</w:t>
      </w:r>
      <w:r>
        <w:rPr>
          <w:rFonts w:ascii="Times New Roman" w:hAnsi="Times New Roman" w:eastAsia="Times New Roman"/>
          <w:sz w:val="28"/>
          <w:szCs w:val="28"/>
        </w:rPr>
        <w:t xml:space="preserve"> федерального законодательства в Ивановской области был принят закон от 31.12.2002 № 111-ОЗ «О бесплатном предоставлении земельных участков в собственность гражданам Российской Федерации» (далее – Закон Ивановской области № 111-ОЗ от 31.12.2002). Приказом </w:t>
      </w:r>
      <w:r>
        <w:rPr>
          <w:rFonts w:ascii="Times New Roman" w:hAnsi="Times New Roman" w:eastAsia="Times New Roman"/>
          <w:sz w:val="28"/>
          <w:szCs w:val="28"/>
        </w:rPr>
        <w:t xml:space="preserve">Министерства регионального развития РФ от 09.09.2013 № 372 были утверждены Мето</w:t>
      </w:r>
      <w:r>
        <w:rPr>
          <w:rFonts w:ascii="Times New Roman" w:hAnsi="Times New Roman" w:eastAsia="Times New Roman"/>
          <w:sz w:val="28"/>
          <w:szCs w:val="28"/>
        </w:rPr>
        <w:t xml:space="preserve">дические рекомендации субъектам Российской Федерации по порядку и случаям бесплатного предоставления земельных участков гражданам, имеющих трех и более детей, согласно которым в целях отбора земельных участков рекомендуется использовать следующие критерии:</w:t>
      </w:r>
      <w:r/>
    </w:p>
    <w:p>
      <w:pPr>
        <w:ind w:firstLine="708"/>
        <w:jc w:val="both"/>
        <w:spacing w:after="0"/>
      </w:pPr>
      <w:r>
        <w:rPr>
          <w:rFonts w:ascii="Times New Roman" w:hAnsi="Times New Roman" w:eastAsia="Times New Roman"/>
          <w:sz w:val="28"/>
          <w:szCs w:val="28"/>
        </w:rPr>
        <w:t xml:space="preserve">1) транспортная доступность;</w:t>
      </w:r>
      <w:r/>
    </w:p>
    <w:p>
      <w:pPr>
        <w:ind w:firstLine="708"/>
        <w:jc w:val="both"/>
        <w:spacing w:after="0"/>
      </w:pPr>
      <w:r>
        <w:rPr>
          <w:rFonts w:ascii="Times New Roman" w:hAnsi="Times New Roman" w:eastAsia="Times New Roman"/>
          <w:sz w:val="28"/>
          <w:szCs w:val="28"/>
        </w:rPr>
        <w:t xml:space="preserve">2) удовлетворительная экологическая обстановка (отсутствие на земельном участке зон охраны производственных и особенно опасных производственных объектов, в том числе магистральных трубопроводов, шумового воздействия аэропортов и т.п.);</w:t>
      </w:r>
      <w:r/>
    </w:p>
    <w:p>
      <w:pPr>
        <w:ind w:firstLine="708"/>
        <w:jc w:val="both"/>
        <w:spacing w:after="0"/>
      </w:pPr>
      <w:r>
        <w:rPr>
          <w:rFonts w:ascii="Times New Roman" w:hAnsi="Times New Roman" w:eastAsia="Times New Roman"/>
          <w:sz w:val="28"/>
          <w:szCs w:val="28"/>
        </w:rPr>
        <w:t xml:space="preserve">3) существующая обеспеченность земельных участков объектами инжене</w:t>
      </w:r>
      <w:r>
        <w:rPr>
          <w:rFonts w:ascii="Times New Roman" w:hAnsi="Times New Roman" w:eastAsia="Times New Roman"/>
          <w:sz w:val="28"/>
          <w:szCs w:val="28"/>
        </w:rPr>
        <w:t xml:space="preserve">рной инфраструктуры, потребность в строительстве объектов инженерной инфраструктуры и сроки такого строительства, расходы на подключение (технологическое присоединение) строящихся объектов жилищного строительства к сетям инженерно-технического обеспечения;</w:t>
      </w:r>
      <w:r/>
    </w:p>
    <w:p>
      <w:pPr>
        <w:ind w:firstLine="708"/>
        <w:jc w:val="both"/>
        <w:spacing w:after="0"/>
      </w:pPr>
      <w:r>
        <w:rPr>
          <w:rFonts w:ascii="Times New Roman" w:hAnsi="Times New Roman" w:eastAsia="Times New Roman"/>
          <w:sz w:val="28"/>
          <w:szCs w:val="28"/>
        </w:rPr>
        <w:t xml:space="preserve">4) наличие или сроки строительства объектов социальной инфраструктуры, коммунального обслуживания и торговли;</w:t>
      </w:r>
      <w:r/>
    </w:p>
    <w:p>
      <w:pPr>
        <w:ind w:firstLine="708"/>
        <w:jc w:val="both"/>
        <w:spacing w:after="0"/>
      </w:pPr>
      <w:r>
        <w:rPr>
          <w:rFonts w:ascii="Times New Roman" w:hAnsi="Times New Roman" w:eastAsia="Times New Roman"/>
          <w:sz w:val="28"/>
          <w:szCs w:val="28"/>
        </w:rPr>
        <w:t xml:space="preserve">5) другие критерии в зависимости от целей предоставления гражданам, имеющим трех и более детей, земельных участков.</w:t>
      </w:r>
      <w:r/>
    </w:p>
    <w:p>
      <w:pPr>
        <w:ind w:firstLine="708"/>
        <w:jc w:val="both"/>
        <w:spacing w:after="0"/>
      </w:pPr>
      <w:r>
        <w:rPr>
          <w:rFonts w:ascii="Times New Roman" w:hAnsi="Times New Roman" w:eastAsia="Times New Roman"/>
          <w:sz w:val="28"/>
          <w:szCs w:val="28"/>
        </w:rPr>
        <w:t xml:space="preserve">Однако данные рекомендации Законом Ивановской области № 111-ОЗ от 31.12.2002 г. учитываются не в полной мере, как не учитываются и при предоставлении земельных участков многодетным семьям.</w:t>
      </w:r>
      <w:r/>
    </w:p>
    <w:p>
      <w:pPr>
        <w:ind w:firstLine="708"/>
        <w:jc w:val="both"/>
        <w:spacing w:after="0"/>
        <w:rPr>
          <w:rFonts w:ascii="Times New Roman" w:hAnsi="Times New Roman" w:eastAsia="Times New Roman"/>
          <w:sz w:val="28"/>
          <w:szCs w:val="28"/>
        </w:rPr>
      </w:pPr>
      <w:r>
        <w:rPr>
          <w:rFonts w:ascii="Times New Roman" w:hAnsi="Times New Roman" w:eastAsia="Times New Roman"/>
          <w:sz w:val="28"/>
          <w:szCs w:val="28"/>
        </w:rPr>
        <w:t xml:space="preserve">При этом из Кассационного определения</w:t>
      </w:r>
      <w:r>
        <w:rPr>
          <w:rFonts w:ascii="Times New Roman" w:hAnsi="Times New Roman" w:eastAsia="Times New Roman"/>
          <w:sz w:val="28"/>
          <w:szCs w:val="28"/>
        </w:rPr>
        <w:t xml:space="preserve"> В</w:t>
      </w:r>
      <w:r>
        <w:rPr>
          <w:rFonts w:ascii="Times New Roman" w:hAnsi="Times New Roman" w:eastAsia="Times New Roman"/>
          <w:sz w:val="28"/>
          <w:szCs w:val="28"/>
        </w:rPr>
        <w:t xml:space="preserve">осьмого кассационного с</w:t>
      </w:r>
      <w:r>
        <w:rPr>
          <w:rFonts w:ascii="Times New Roman" w:hAnsi="Times New Roman" w:eastAsia="Times New Roman"/>
          <w:sz w:val="28"/>
          <w:szCs w:val="28"/>
        </w:rPr>
        <w:t xml:space="preserve">уда общей юрисдикции от 19.05.2022 г. №88А-9716/2022 следует, что                        «… уполномоченные органы должны предвидеть потребность в земельных участках для многодетных семей и заблаговременно принимать меры к обеспечению земельных участков инф</w:t>
      </w:r>
      <w:r>
        <w:rPr>
          <w:rFonts w:ascii="Times New Roman" w:hAnsi="Times New Roman" w:eastAsia="Times New Roman"/>
          <w:sz w:val="28"/>
          <w:szCs w:val="28"/>
        </w:rPr>
        <w:t xml:space="preserve">раструктурой. Отсутствие достаточного количества земельных участков не предполагает, что обязанность предоставить земельный участок многодетной семье может не исполняться более девяти лет. Иное означает нарушение статьи 7 Конституции Российской Федерации».</w:t>
      </w:r>
      <w:r>
        <w:rPr>
          <w:rFonts w:ascii="Times New Roman" w:hAnsi="Times New Roman" w:eastAsia="Times New Roman"/>
          <w:sz w:val="28"/>
          <w:szCs w:val="28"/>
        </w:rPr>
      </w:r>
      <w:r>
        <w:rPr>
          <w:rFonts w:ascii="Times New Roman" w:hAnsi="Times New Roman" w:eastAsia="Times New Roman"/>
          <w:sz w:val="28"/>
          <w:szCs w:val="28"/>
        </w:rPr>
      </w:r>
    </w:p>
    <w:p>
      <w:pPr>
        <w:ind w:firstLine="708"/>
        <w:jc w:val="both"/>
        <w:spacing w:after="0"/>
        <w:rPr>
          <w:rFonts w:ascii="Times New Roman" w:hAnsi="Times New Roman" w:eastAsia="Times New Roman"/>
          <w:sz w:val="28"/>
          <w:szCs w:val="28"/>
        </w:rPr>
      </w:pPr>
      <w:r>
        <w:rPr>
          <w:rFonts w:ascii="Times New Roman" w:hAnsi="Times New Roman" w:eastAsia="Times New Roman"/>
          <w:sz w:val="28"/>
          <w:szCs w:val="28"/>
        </w:rPr>
        <w:t xml:space="preserve">Прокуратура Ивановской области в рамках осуществления надзорной деятельности в целях обеспечения эффективности реализации права многодетных семей на получение земельных участков </w:t>
      </w:r>
      <w:r>
        <w:rPr>
          <w:rFonts w:ascii="Times New Roman" w:hAnsi="Times New Roman" w:eastAsia="Times New Roman"/>
          <w:sz w:val="28"/>
          <w:szCs w:val="28"/>
        </w:rPr>
        <w:t xml:space="preserve">в собственность бесплатно в 2025 году в Ивановскую областную Думу направлен законопроект о внесении изменений в Закон Ивановской области от 31.12.2002 № 111-ОЗ «О бесплатном предоставлении земельных участков в собственность гражданам Российской Федерации».</w:t>
      </w:r>
      <w:r>
        <w:rPr>
          <w:rFonts w:ascii="Times New Roman" w:hAnsi="Times New Roman" w:eastAsia="Times New Roman"/>
          <w:sz w:val="28"/>
          <w:szCs w:val="28"/>
        </w:rPr>
        <w:t xml:space="preserve"> Губернатору региона </w:t>
      </w:r>
      <w:r>
        <w:rPr>
          <w:rFonts w:ascii="Times New Roman" w:hAnsi="Times New Roman" w:eastAsia="Times New Roman"/>
          <w:sz w:val="28"/>
          <w:szCs w:val="28"/>
        </w:rPr>
        <w:t xml:space="preserve">направлена информация о возможных вариациях нормативного регулирования вопроса предоставления земли многодетным семьям.</w:t>
      </w:r>
      <w:r>
        <w:rPr>
          <w:rFonts w:ascii="Times New Roman" w:hAnsi="Times New Roman" w:eastAsia="Times New Roman"/>
          <w:sz w:val="28"/>
          <w:szCs w:val="28"/>
        </w:rPr>
      </w:r>
      <w:r>
        <w:rPr>
          <w:rFonts w:ascii="Times New Roman" w:hAnsi="Times New Roman" w:eastAsia="Times New Roman"/>
          <w:sz w:val="28"/>
          <w:szCs w:val="28"/>
        </w:rPr>
      </w:r>
    </w:p>
    <w:p>
      <w:pPr>
        <w:ind w:firstLine="708"/>
        <w:jc w:val="both"/>
        <w:spacing w:after="0"/>
        <w:rPr>
          <w:bCs/>
          <w:i/>
        </w:rPr>
      </w:pPr>
      <w:r>
        <w:rPr>
          <w:rFonts w:ascii="Times New Roman" w:hAnsi="Times New Roman" w:eastAsia="Times New Roman"/>
          <w:i/>
          <w:iCs/>
          <w:sz w:val="28"/>
          <w:szCs w:val="28"/>
        </w:rPr>
        <w:t xml:space="preserve"> В прокуратуре Ивановской области состоялся совместный прием граждан с участием Уполномоченного по права</w:t>
      </w:r>
      <w:r>
        <w:rPr>
          <w:rFonts w:ascii="Times New Roman" w:hAnsi="Times New Roman" w:eastAsia="Times New Roman"/>
          <w:i/>
          <w:iCs/>
          <w:sz w:val="28"/>
          <w:szCs w:val="28"/>
        </w:rPr>
        <w:t xml:space="preserve">м человека в Ивановской области Светланы Шмелевой и первого заместителя прокурора Ивановской области Ирины Бадмаевой. Мероприятие прошло в целях обеспечения дополнительных гарантий государственной защиты прав и свобод человека и гражданина в нашем регионе.</w:t>
      </w:r>
      <w:r>
        <w:rPr>
          <w:bCs/>
          <w:i/>
        </w:rPr>
      </w:r>
      <w:r>
        <w:rPr>
          <w:bCs/>
          <w:i/>
        </w:rPr>
      </w:r>
    </w:p>
    <w:p>
      <w:pPr>
        <w:ind w:firstLine="708"/>
        <w:jc w:val="both"/>
        <w:spacing w:after="0"/>
        <w:rPr>
          <w:rFonts w:ascii="Times New Roman" w:hAnsi="Times New Roman" w:eastAsia="Times New Roman"/>
          <w:bCs/>
          <w:i/>
          <w:sz w:val="28"/>
          <w:szCs w:val="28"/>
        </w:rPr>
      </w:pPr>
      <w:r>
        <w:rPr>
          <w:rFonts w:ascii="Times New Roman" w:hAnsi="Times New Roman" w:eastAsia="Times New Roman"/>
          <w:i/>
          <w:iCs/>
          <w:sz w:val="28"/>
          <w:szCs w:val="28"/>
        </w:rPr>
        <w:t xml:space="preserve">В ходе встречи жители Ивановской области озвучили ряд острых вопросов, напрямую затрагивающих их права и благополучие. Особенно актуальным оказался вопрос предостав</w:t>
      </w:r>
      <w:r>
        <w:rPr>
          <w:rFonts w:ascii="Times New Roman" w:hAnsi="Times New Roman" w:eastAsia="Times New Roman"/>
          <w:i/>
          <w:iCs/>
          <w:sz w:val="28"/>
          <w:szCs w:val="28"/>
        </w:rPr>
        <w:t xml:space="preserve">ления земельных участков многодетным семьям. Один из заявителей не ограничился жалобой — он подготовил и представил на рассмотрение разработанный им законопроект, призванный упростить и упорядочить процедуру выделения земельных участков многодетным семьям.</w:t>
      </w:r>
      <w:r>
        <w:rPr>
          <w:rFonts w:ascii="Times New Roman" w:hAnsi="Times New Roman" w:eastAsia="Times New Roman"/>
          <w:bCs/>
          <w:i/>
          <w:sz w:val="28"/>
          <w:szCs w:val="28"/>
        </w:rPr>
      </w:r>
      <w:r>
        <w:rPr>
          <w:rFonts w:ascii="Times New Roman" w:hAnsi="Times New Roman" w:eastAsia="Times New Roman"/>
          <w:bCs/>
          <w:i/>
          <w:sz w:val="28"/>
          <w:szCs w:val="28"/>
        </w:rPr>
      </w:r>
    </w:p>
    <w:p>
      <w:pPr>
        <w:ind w:firstLine="708"/>
        <w:jc w:val="both"/>
        <w:spacing w:after="0"/>
        <w:rPr>
          <w:rFonts w:ascii="Times New Roman" w:hAnsi="Times New Roman" w:eastAsia="Times New Roman"/>
          <w:bCs/>
          <w:i/>
          <w:sz w:val="28"/>
          <w:szCs w:val="28"/>
        </w:rPr>
      </w:pPr>
      <w:r>
        <w:rPr>
          <w:rFonts w:ascii="Times New Roman" w:hAnsi="Times New Roman" w:eastAsia="Times New Roman"/>
          <w:i/>
          <w:iCs/>
          <w:sz w:val="28"/>
          <w:szCs w:val="28"/>
        </w:rPr>
        <w:t xml:space="preserve">По итогам рассмотрения обращения надзорное ведомство приняло решение направить предложенный законопрое</w:t>
      </w:r>
      <w:r>
        <w:rPr>
          <w:rFonts w:ascii="Times New Roman" w:hAnsi="Times New Roman" w:eastAsia="Times New Roman"/>
          <w:i/>
          <w:iCs/>
          <w:sz w:val="28"/>
          <w:szCs w:val="28"/>
        </w:rPr>
        <w:t xml:space="preserve">кт в Пр</w:t>
      </w:r>
      <w:r>
        <w:rPr>
          <w:rFonts w:ascii="Times New Roman" w:hAnsi="Times New Roman" w:eastAsia="Times New Roman"/>
          <w:i/>
          <w:iCs/>
          <w:sz w:val="28"/>
          <w:szCs w:val="28"/>
        </w:rPr>
        <w:t xml:space="preserve">авительство Ивановской области для детального изучения и дальнейшей проработки. </w:t>
      </w:r>
      <w:r>
        <w:rPr>
          <w:rFonts w:ascii="Times New Roman" w:hAnsi="Times New Roman" w:eastAsia="Times New Roman"/>
          <w:bCs/>
          <w:i/>
          <w:sz w:val="28"/>
          <w:szCs w:val="28"/>
        </w:rPr>
      </w:r>
      <w:r>
        <w:rPr>
          <w:rFonts w:ascii="Times New Roman" w:hAnsi="Times New Roman" w:eastAsia="Times New Roman"/>
          <w:bCs/>
          <w:i/>
          <w:sz w:val="28"/>
          <w:szCs w:val="28"/>
        </w:rPr>
      </w:r>
      <w:r>
        <w:rPr>
          <w:rFonts w:ascii="Times New Roman" w:hAnsi="Times New Roman"/>
          <w:b/>
          <w:sz w:val="28"/>
          <w:szCs w:val="28"/>
        </w:rPr>
      </w:r>
      <w:r>
        <w:rPr>
          <w:rFonts w:ascii="Times New Roman" w:hAnsi="Times New Roman"/>
          <w:b/>
          <w:bCs/>
          <w:sz w:val="28"/>
          <w:szCs w:val="28"/>
        </w:rPr>
      </w:r>
      <w:r>
        <w:rPr>
          <w:rFonts w:ascii="Times New Roman" w:hAnsi="Times New Roman"/>
          <w:b/>
          <w:bCs/>
          <w:sz w:val="28"/>
          <w:szCs w:val="28"/>
        </w:rPr>
      </w:r>
      <w:r>
        <w:rPr>
          <w:rFonts w:ascii="Times New Roman" w:hAnsi="Times New Roman" w:eastAsia="Times New Roman"/>
          <w:bCs/>
          <w:i/>
          <w:sz w:val="28"/>
          <w:szCs w:val="28"/>
        </w:rPr>
      </w:r>
    </w:p>
    <w:p>
      <w:pPr>
        <w:pStyle w:val="1225"/>
        <w:jc w:val="center"/>
      </w:pPr>
      <w:r/>
      <w:bookmarkStart w:id="39" w:name="_Toc17"/>
      <w:r>
        <w:t xml:space="preserve">6.2. Защита прав эвакуированных граждан</w:t>
      </w:r>
      <w:bookmarkEnd w:id="39"/>
      <w:r/>
      <w:r/>
    </w:p>
    <w:p>
      <w:pPr>
        <w:pStyle w:val="1236"/>
        <w:ind w:firstLine="567"/>
        <w:jc w:val="both"/>
        <w:spacing w:before="0" w:beforeAutospacing="0" w:after="0" w:afterAutospacing="0" w:line="276" w:lineRule="auto"/>
        <w:shd w:val="clear" w:color="auto" w:fill="ffffff"/>
        <w:rPr>
          <w:color w:val="000000"/>
          <w:sz w:val="28"/>
          <w:szCs w:val="28"/>
        </w:rPr>
      </w:pPr>
      <w:r>
        <w:rPr>
          <w:sz w:val="28"/>
          <w:szCs w:val="28"/>
        </w:rPr>
        <w:t xml:space="preserve"> </w:t>
      </w:r>
      <w:r>
        <w:rPr>
          <w:color w:val="000000"/>
          <w:sz w:val="28"/>
          <w:szCs w:val="28"/>
        </w:rPr>
      </w:r>
      <w:r>
        <w:rPr>
          <w:color w:val="000000"/>
          <w:sz w:val="28"/>
          <w:szCs w:val="28"/>
        </w:rPr>
      </w:r>
    </w:p>
    <w:p>
      <w:pPr>
        <w:pStyle w:val="1236"/>
        <w:ind w:firstLine="709"/>
        <w:jc w:val="both"/>
        <w:spacing w:before="0" w:beforeAutospacing="0" w:after="0" w:afterAutospacing="0" w:line="276" w:lineRule="auto"/>
        <w:shd w:val="clear" w:color="auto" w:fill="ffffff"/>
      </w:pPr>
      <w:r>
        <w:rPr>
          <w:color w:val="000000"/>
          <w:sz w:val="28"/>
          <w:szCs w:val="28"/>
        </w:rPr>
        <w:t xml:space="preserve">Вопросы соблюдения прав граждан, прибывших на территорию Ивановской области из Луган</w:t>
      </w:r>
      <w:r>
        <w:rPr>
          <w:color w:val="000000"/>
          <w:sz w:val="28"/>
          <w:szCs w:val="28"/>
        </w:rPr>
        <w:t xml:space="preserve">ска, Доне</w:t>
      </w:r>
      <w:r>
        <w:rPr>
          <w:color w:val="000000"/>
          <w:sz w:val="28"/>
          <w:szCs w:val="28"/>
        </w:rPr>
        <w:t xml:space="preserve">цка и других регионов Украины, граждан, эвакуированных из Сирийской Арабской Республики, а также оказания им адресной помощи, с первых дней их прибытия  к нам в регион взяты региональным правительством совместно с компетентными службами на особый контроль.</w:t>
      </w:r>
      <w:r/>
    </w:p>
    <w:p>
      <w:pPr>
        <w:pStyle w:val="1236"/>
        <w:ind w:firstLine="709"/>
        <w:jc w:val="both"/>
        <w:spacing w:before="0" w:beforeAutospacing="0" w:after="0" w:afterAutospacing="0" w:line="276" w:lineRule="auto"/>
        <w:shd w:val="clear" w:color="auto" w:fill="ffffff"/>
      </w:pPr>
      <w:r>
        <w:rPr>
          <w:color w:val="000000"/>
          <w:sz w:val="28"/>
          <w:szCs w:val="28"/>
        </w:rPr>
        <w:t xml:space="preserve">Надо отметить, что руководству Правительства </w:t>
      </w:r>
      <w:r>
        <w:rPr>
          <w:color w:val="000000"/>
          <w:sz w:val="28"/>
          <w:szCs w:val="28"/>
        </w:rPr>
        <w:t xml:space="preserve">Ивановской области, представителям профильных департаментов и гостиничного хозяйства удалось системно решить обозначенные проблемы заявителями,  находящимися в пунктах временного размещения:</w:t>
      </w:r>
      <w:r/>
    </w:p>
    <w:p>
      <w:pPr>
        <w:pStyle w:val="1236"/>
        <w:numPr>
          <w:ilvl w:val="0"/>
          <w:numId w:val="184"/>
        </w:numPr>
        <w:ind w:left="0" w:firstLine="709"/>
        <w:jc w:val="both"/>
        <w:spacing w:before="0" w:beforeAutospacing="0" w:after="0" w:afterAutospacing="0" w:line="276" w:lineRule="auto"/>
        <w:shd w:val="clear" w:color="auto" w:fill="ffffff"/>
      </w:pPr>
      <w:r>
        <w:rPr>
          <w:color w:val="000000"/>
          <w:sz w:val="28"/>
          <w:szCs w:val="28"/>
        </w:rPr>
        <w:t xml:space="preserve">миграционные проблемы и дальнейшая легализация на территории области;</w:t>
      </w:r>
      <w:r/>
    </w:p>
    <w:p>
      <w:pPr>
        <w:pStyle w:val="1236"/>
        <w:numPr>
          <w:ilvl w:val="0"/>
          <w:numId w:val="184"/>
        </w:numPr>
        <w:ind w:left="0" w:firstLine="709"/>
        <w:jc w:val="both"/>
        <w:spacing w:before="0" w:beforeAutospacing="0" w:after="0" w:afterAutospacing="0" w:line="276" w:lineRule="auto"/>
        <w:shd w:val="clear" w:color="auto" w:fill="ffffff"/>
      </w:pPr>
      <w:r>
        <w:rPr>
          <w:color w:val="000000"/>
          <w:sz w:val="28"/>
          <w:szCs w:val="28"/>
        </w:rPr>
        <w:t xml:space="preserve">получение ИНН, страховых и медицинских полисов;</w:t>
      </w:r>
      <w:r/>
    </w:p>
    <w:p>
      <w:pPr>
        <w:pStyle w:val="1236"/>
        <w:numPr>
          <w:ilvl w:val="0"/>
          <w:numId w:val="184"/>
        </w:numPr>
        <w:ind w:left="0" w:firstLine="709"/>
        <w:jc w:val="both"/>
        <w:spacing w:before="0" w:beforeAutospacing="0" w:after="0" w:afterAutospacing="0" w:line="276" w:lineRule="auto"/>
        <w:shd w:val="clear" w:color="auto" w:fill="ffffff"/>
      </w:pPr>
      <w:r>
        <w:rPr>
          <w:color w:val="000000"/>
          <w:sz w:val="28"/>
          <w:szCs w:val="28"/>
        </w:rPr>
        <w:t xml:space="preserve">вопросы трудоустройства, которые были подняты большинством граждан;</w:t>
      </w:r>
      <w:r/>
    </w:p>
    <w:p>
      <w:pPr>
        <w:pStyle w:val="1236"/>
        <w:numPr>
          <w:ilvl w:val="0"/>
          <w:numId w:val="184"/>
        </w:numPr>
        <w:ind w:left="0" w:firstLine="709"/>
        <w:jc w:val="both"/>
        <w:spacing w:before="0" w:beforeAutospacing="0" w:after="0" w:afterAutospacing="0" w:line="276" w:lineRule="auto"/>
        <w:shd w:val="clear" w:color="auto" w:fill="ffffff"/>
      </w:pPr>
      <w:r>
        <w:rPr>
          <w:color w:val="000000"/>
          <w:sz w:val="28"/>
          <w:szCs w:val="28"/>
        </w:rPr>
        <w:t xml:space="preserve">адресное оказание качественных медицинских услуг;</w:t>
      </w:r>
      <w:r/>
    </w:p>
    <w:p>
      <w:pPr>
        <w:pStyle w:val="1236"/>
        <w:numPr>
          <w:ilvl w:val="0"/>
          <w:numId w:val="184"/>
        </w:numPr>
        <w:ind w:left="0" w:firstLine="709"/>
        <w:jc w:val="both"/>
        <w:spacing w:before="0" w:beforeAutospacing="0" w:after="0" w:afterAutospacing="0" w:line="276" w:lineRule="auto"/>
        <w:shd w:val="clear" w:color="auto" w:fill="ffffff"/>
        <w:rPr>
          <w:color w:val="000000"/>
          <w:sz w:val="28"/>
          <w:szCs w:val="28"/>
        </w:rPr>
      </w:pPr>
      <w:r>
        <w:rPr>
          <w:color w:val="000000"/>
          <w:sz w:val="28"/>
          <w:szCs w:val="28"/>
        </w:rPr>
        <w:t xml:space="preserve">оказание действенной психологической поддержки.</w:t>
      </w:r>
      <w:r>
        <w:rPr>
          <w:color w:val="000000"/>
          <w:sz w:val="28"/>
          <w:szCs w:val="28"/>
        </w:rPr>
      </w:r>
      <w:r>
        <w:rPr>
          <w:color w:val="000000"/>
          <w:sz w:val="28"/>
          <w:szCs w:val="28"/>
        </w:rPr>
      </w:r>
    </w:p>
    <w:p>
      <w:pPr>
        <w:pStyle w:val="1236"/>
        <w:ind w:firstLine="708"/>
        <w:jc w:val="both"/>
        <w:spacing w:before="0" w:beforeAutospacing="0" w:after="0" w:afterAutospacing="0" w:line="276" w:lineRule="auto"/>
        <w:shd w:val="clear" w:color="auto" w:fill="ffffff"/>
      </w:pPr>
      <w:r>
        <w:rPr>
          <w:color w:val="000000"/>
          <w:sz w:val="28"/>
          <w:szCs w:val="28"/>
        </w:rPr>
        <w:t xml:space="preserve">По информации Департамента социальной защиты населения Ивановской области за период с 18.02.2022 по 01.01.2026 указанными гражданами подано 1041 заявление на получение единовременной материальной помощи на 1354 человек. Выплата предоставлена 1281 человек.</w:t>
      </w:r>
      <w:r/>
    </w:p>
    <w:p>
      <w:pPr>
        <w:pStyle w:val="1236"/>
        <w:ind w:firstLine="709"/>
        <w:jc w:val="both"/>
        <w:spacing w:before="0" w:beforeAutospacing="0" w:after="0" w:afterAutospacing="0" w:line="276" w:lineRule="auto"/>
        <w:shd w:val="clear" w:color="auto" w:fill="ffffff"/>
      </w:pPr>
      <w:r>
        <w:rPr>
          <w:color w:val="000000"/>
          <w:sz w:val="28"/>
          <w:szCs w:val="28"/>
        </w:rPr>
        <w:t xml:space="preserve">В целях организации социально-бытового устройства, обеспечения продуктами питания, предметами первой необходимости граждан, вынуждено покинувших  свои территории, при</w:t>
      </w:r>
      <w:r>
        <w:rPr>
          <w:color w:val="000000"/>
          <w:sz w:val="28"/>
          <w:szCs w:val="28"/>
        </w:rPr>
        <w:t xml:space="preserve">няты следующие нормативные правовые акты:</w:t>
      </w:r>
      <w:r/>
    </w:p>
    <w:p>
      <w:pPr>
        <w:pStyle w:val="1236"/>
        <w:numPr>
          <w:ilvl w:val="0"/>
          <w:numId w:val="186"/>
        </w:numPr>
        <w:ind w:left="0" w:firstLine="709"/>
        <w:jc w:val="both"/>
        <w:spacing w:before="0" w:beforeAutospacing="0" w:after="0" w:afterAutospacing="0" w:line="276" w:lineRule="auto"/>
        <w:shd w:val="clear" w:color="auto" w:fill="ffffff"/>
      </w:pPr>
      <w:r>
        <w:rPr>
          <w:color w:val="000000"/>
          <w:sz w:val="28"/>
          <w:szCs w:val="28"/>
        </w:rPr>
        <w:t xml:space="preserve">постановление Правительства Ивановской области от 12.05.2022                № 235-п «Об обеспечении мероприятий по временному размещению и питанию граждан Российской Федерации, иностранных граждан и лиц без гражданства, постоянно проживающих на территории</w:t>
      </w:r>
      <w:r>
        <w:rPr>
          <w:color w:val="000000"/>
          <w:sz w:val="28"/>
          <w:szCs w:val="28"/>
        </w:rPr>
        <w:t xml:space="preserve"> Украины, а также на территориях субъектов Российской Федерации, на которых введены максимальный и средний уровни реагирования, вынужденно покинувших жилые помещения и находящихся в пунктах временного размещения и питания на территории Ивановской области»,</w:t>
      </w:r>
      <w:r/>
    </w:p>
    <w:p>
      <w:pPr>
        <w:pStyle w:val="1236"/>
        <w:numPr>
          <w:ilvl w:val="0"/>
          <w:numId w:val="186"/>
        </w:numPr>
        <w:ind w:left="0" w:firstLine="709"/>
        <w:jc w:val="both"/>
        <w:spacing w:before="0" w:beforeAutospacing="0" w:after="0" w:afterAutospacing="0" w:line="276" w:lineRule="auto"/>
        <w:shd w:val="clear" w:color="auto" w:fill="ffffff"/>
      </w:pPr>
      <w:r>
        <w:rPr>
          <w:color w:val="000000"/>
          <w:sz w:val="28"/>
          <w:szCs w:val="28"/>
        </w:rPr>
        <w:t xml:space="preserve">постановление Правительства Ивановской области от 08.04.2025 № 128-п  «Об обеспечении мероприятий </w:t>
      </w:r>
      <w:r>
        <w:rPr>
          <w:color w:val="000000"/>
          <w:sz w:val="28"/>
          <w:szCs w:val="28"/>
        </w:rPr>
        <w:t xml:space="preserve">по временному размещению и питанию граждан Российской Федерации, иностранных граждан и лиц без гражданства, эвакуированных из Сирийской Арабской Республики в Российскую Федерацию, в пунктах временного размещения и питания на территории Ивановской области».</w:t>
      </w:r>
      <w:r/>
    </w:p>
    <w:p>
      <w:pPr>
        <w:pStyle w:val="1236"/>
        <w:ind w:firstLine="709"/>
        <w:jc w:val="both"/>
        <w:spacing w:before="0" w:beforeAutospacing="0" w:after="0" w:afterAutospacing="0" w:line="276" w:lineRule="auto"/>
        <w:shd w:val="clear" w:color="auto" w:fill="ffffff"/>
      </w:pPr>
      <w:r>
        <w:rPr>
          <w:color w:val="000000"/>
          <w:sz w:val="28"/>
          <w:szCs w:val="28"/>
        </w:rPr>
        <w:t xml:space="preserve">Со всеми гражда</w:t>
      </w:r>
      <w:r>
        <w:rPr>
          <w:color w:val="000000"/>
          <w:sz w:val="28"/>
          <w:szCs w:val="28"/>
        </w:rPr>
        <w:t xml:space="preserve">нами, размещенными в ПВР, организована работа по социально-бытовому устройству, обеспечению продуктами питания, предметами первой необходимости, одеждой, медикаментами, трудоустройству и устройству несовершеннолетних в дошкольные и школьные учреждения, ока</w:t>
      </w:r>
      <w:r>
        <w:rPr>
          <w:color w:val="000000"/>
          <w:sz w:val="28"/>
          <w:szCs w:val="28"/>
        </w:rPr>
        <w:t xml:space="preserve">занию помощи в оформлении гражданства Российской Федерации либо вида на жительство (при необходимости), страхового медицинского полиса.  С целью социальной адаптации в Российской Федерации организована работа по регистрации граждан Сирии на Едином портале </w:t>
      </w:r>
      <w:r>
        <w:rPr>
          <w:color w:val="000000"/>
          <w:sz w:val="28"/>
          <w:szCs w:val="28"/>
        </w:rPr>
        <w:t xml:space="preserve">госуслуг</w:t>
      </w:r>
      <w:r>
        <w:rPr>
          <w:color w:val="000000"/>
          <w:sz w:val="28"/>
          <w:szCs w:val="28"/>
        </w:rPr>
        <w:t xml:space="preserve">, прохождению ими биометрической регистрации, приобретению sim-карт местного оператора сотовой связи.</w:t>
      </w:r>
      <w:r/>
    </w:p>
    <w:p>
      <w:pPr>
        <w:pStyle w:val="1236"/>
        <w:ind w:left="0" w:right="0" w:firstLine="709"/>
        <w:jc w:val="both"/>
        <w:spacing w:before="0" w:beforeAutospacing="0" w:after="0" w:afterAutospacing="0" w:line="276" w:lineRule="auto"/>
        <w:shd w:val="clear" w:color="auto" w:fill="ffffff"/>
        <w:rPr>
          <w:color w:val="000000"/>
          <w:sz w:val="28"/>
          <w:szCs w:val="28"/>
        </w:rPr>
      </w:pPr>
      <w:r>
        <w:rPr>
          <w:color w:val="000000"/>
          <w:sz w:val="28"/>
          <w:szCs w:val="28"/>
        </w:rPr>
        <w:t xml:space="preserve">Осуществляется консультирование по правовым вопросам, оказывается социальное сопровождение и социальные услуги.</w:t>
      </w:r>
      <w:r>
        <w:rPr>
          <w:color w:val="000000"/>
          <w:sz w:val="28"/>
          <w:szCs w:val="28"/>
        </w:rPr>
      </w:r>
      <w:r>
        <w:rPr>
          <w:color w:val="000000"/>
          <w:sz w:val="28"/>
          <w:szCs w:val="28"/>
        </w:rPr>
      </w:r>
    </w:p>
    <w:p>
      <w:pPr>
        <w:pStyle w:val="1236"/>
        <w:ind w:firstLine="709"/>
        <w:jc w:val="both"/>
        <w:spacing w:before="0" w:beforeAutospacing="0" w:after="0" w:afterAutospacing="0" w:line="276" w:lineRule="auto"/>
        <w:shd w:val="clear" w:color="auto" w:fill="ffffff"/>
        <w:rPr>
          <w:color w:val="000000"/>
          <w:sz w:val="28"/>
          <w:szCs w:val="28"/>
        </w:rPr>
      </w:pPr>
      <w:r>
        <w:rPr>
          <w:color w:val="000000"/>
          <w:sz w:val="28"/>
          <w:szCs w:val="28"/>
        </w:rPr>
        <w:t xml:space="preserve">Отмечаем системный подход и оказание адресной  необходимой помощи эвакуиров</w:t>
      </w:r>
      <w:r>
        <w:rPr>
          <w:color w:val="000000"/>
          <w:sz w:val="28"/>
          <w:szCs w:val="28"/>
        </w:rPr>
        <w:t xml:space="preserve">анным с территории огня вынужденным переселенцам по линии социального комплекса регионального правительства, высокую активность органов власти, в том числе и муниципального сектора,   в реализации и защите прав людей, попавших в сложную жизненную ситуацию.</w:t>
      </w:r>
      <w:r>
        <w:rPr>
          <w:color w:val="000000"/>
          <w:sz w:val="28"/>
          <w:szCs w:val="28"/>
        </w:rPr>
      </w:r>
      <w:r>
        <w:rPr>
          <w:color w:val="000000"/>
          <w:sz w:val="28"/>
          <w:szCs w:val="28"/>
        </w:rPr>
      </w:r>
    </w:p>
    <w:p>
      <w:pPr>
        <w:ind w:firstLine="709"/>
        <w:jc w:val="both"/>
        <w:spacing w:after="0"/>
        <w:rPr>
          <w:rFonts w:ascii="Times New Roman" w:hAnsi="Times New Roman"/>
          <w:sz w:val="28"/>
          <w:szCs w:val="28"/>
        </w:rPr>
      </w:pPr>
      <w:r>
        <w:rPr>
          <w:rFonts w:ascii="Times New Roman" w:hAnsi="Times New Roman"/>
          <w:sz w:val="28"/>
          <w:szCs w:val="28"/>
        </w:rPr>
        <w:t xml:space="preserve">В целях мониторинга развития у</w:t>
      </w:r>
      <w:r>
        <w:rPr>
          <w:rFonts w:ascii="Times New Roman" w:hAnsi="Times New Roman"/>
          <w:sz w:val="28"/>
          <w:szCs w:val="28"/>
        </w:rPr>
        <w:t xml:space="preserve">слуг для лиц, испытывающих жизненные трудности, Уполномоченный продолжила практику проведения выездных совместных приемов в пунктах временного размещения эвакуированных граждан (ПВР). Здесь необходимо отметить взаимосвязь руководства ПВР с омбудсменом – пе</w:t>
      </w:r>
      <w:r>
        <w:rPr>
          <w:rFonts w:ascii="Times New Roman" w:hAnsi="Times New Roman"/>
          <w:sz w:val="28"/>
          <w:szCs w:val="28"/>
        </w:rPr>
        <w:t xml:space="preserve">рвоначально выявляется потребность проживающих в консультировании по конкретной тематике, приглашаются те органы власти, в чью компетенцию входит решение тех или иных проблем, что в свою очередь повышает результативность рассмотрения обращений заявителей. </w:t>
      </w:r>
      <w:r>
        <w:rPr>
          <w:rFonts w:ascii="Times New Roman" w:hAnsi="Times New Roman"/>
          <w:sz w:val="28"/>
          <w:szCs w:val="28"/>
        </w:rPr>
      </w:r>
      <w:r>
        <w:rPr>
          <w:rFonts w:ascii="Times New Roman" w:hAnsi="Times New Roman"/>
          <w:sz w:val="28"/>
          <w:szCs w:val="28"/>
        </w:rPr>
      </w:r>
    </w:p>
    <w:p>
      <w:pPr>
        <w:ind w:firstLine="709"/>
        <w:jc w:val="both"/>
        <w:spacing w:after="0"/>
        <w:rPr>
          <w:rFonts w:ascii="Times New Roman" w:hAnsi="Times New Roman"/>
          <w:sz w:val="28"/>
          <w:szCs w:val="28"/>
        </w:rPr>
      </w:pPr>
      <w:r>
        <w:rPr>
          <w:rFonts w:ascii="Times New Roman" w:hAnsi="Times New Roman"/>
          <w:sz w:val="28"/>
          <w:szCs w:val="28"/>
        </w:rPr>
        <w:t xml:space="preserve">Важнейшим элементом долгосрочной адаптации является изучение русского языка для нуждающихся. Без владения языком сложно ориентироваться в новой среде, общаться с окружающими, искать работу, понимать законы и правила жизни в России. </w:t>
      </w:r>
      <w:r>
        <w:rPr>
          <w:rFonts w:ascii="Times New Roman" w:hAnsi="Times New Roman"/>
          <w:sz w:val="28"/>
          <w:szCs w:val="28"/>
        </w:rPr>
      </w:r>
      <w:r>
        <w:rPr>
          <w:rFonts w:ascii="Times New Roman" w:hAnsi="Times New Roman"/>
          <w:sz w:val="28"/>
          <w:szCs w:val="28"/>
        </w:rPr>
      </w:r>
    </w:p>
    <w:p>
      <w:pPr>
        <w:ind w:firstLine="709"/>
        <w:jc w:val="both"/>
        <w:spacing w:after="0"/>
        <w:rPr>
          <w:rFonts w:ascii="Times New Roman" w:hAnsi="Times New Roman"/>
          <w:sz w:val="28"/>
          <w:szCs w:val="28"/>
        </w:rPr>
      </w:pPr>
      <w:r>
        <w:rPr>
          <w:rFonts w:ascii="Times New Roman" w:hAnsi="Times New Roman"/>
          <w:sz w:val="28"/>
          <w:szCs w:val="28"/>
        </w:rPr>
        <w:t xml:space="preserve">В адрес директора Департамента образования и науки в Ивановской области Уполномо</w:t>
      </w:r>
      <w:r>
        <w:rPr>
          <w:rFonts w:ascii="Times New Roman" w:hAnsi="Times New Roman"/>
          <w:sz w:val="28"/>
          <w:szCs w:val="28"/>
        </w:rPr>
        <w:t xml:space="preserve">ченным направлена информация о необходимости принятия мер по решению обозначенного вопроса. Данный вопрос решён положительно. </w:t>
      </w:r>
      <w:r>
        <w:rPr>
          <w:rFonts w:ascii="Times New Roman" w:hAnsi="Times New Roman"/>
          <w:sz w:val="28"/>
          <w:szCs w:val="28"/>
        </w:rPr>
      </w:r>
    </w:p>
    <w:p>
      <w:pPr>
        <w:ind w:firstLine="709"/>
        <w:jc w:val="both"/>
        <w:spacing w:after="0"/>
        <w:rPr>
          <w:rFonts w:ascii="Times New Roman" w:hAnsi="Times New Roman"/>
          <w:sz w:val="28"/>
          <w:szCs w:val="28"/>
        </w:rPr>
      </w:pPr>
      <w:r>
        <w:rPr>
          <w:rFonts w:ascii="Times New Roman" w:hAnsi="Times New Roman"/>
          <w:sz w:val="28"/>
          <w:szCs w:val="28"/>
        </w:rPr>
        <w:t xml:space="preserve">Следует подчеркнуть, что количество поступивших обращений от заявителей – вынужденных переселенцев сократилось в 4 раза. </w:t>
      </w:r>
      <w:r>
        <w:rPr>
          <w:rFonts w:ascii="Times New Roman" w:hAnsi="Times New Roman"/>
          <w:sz w:val="28"/>
          <w:szCs w:val="28"/>
        </w:rPr>
        <w:t xml:space="preserve">Значит</w:t>
      </w:r>
      <w:r>
        <w:rPr>
          <w:rFonts w:ascii="Times New Roman" w:hAnsi="Times New Roman"/>
          <w:sz w:val="28"/>
          <w:szCs w:val="28"/>
        </w:rPr>
        <w:t xml:space="preserve"> система оказания поддержки особой категории прибывших в наш регион переселенцев  по линии регионального правительства работает.</w:t>
      </w:r>
      <w:r>
        <w:rPr>
          <w:rFonts w:ascii="Times New Roman" w:hAnsi="Times New Roman"/>
          <w:sz w:val="28"/>
          <w:szCs w:val="28"/>
        </w:rPr>
      </w:r>
      <w:r/>
    </w:p>
    <w:p>
      <w:pPr>
        <w:ind w:firstLine="709"/>
        <w:jc w:val="both"/>
        <w:spacing w:after="0"/>
        <w:rPr>
          <w:rFonts w:ascii="Times New Roman" w:hAnsi="Times New Roman"/>
          <w:bCs/>
          <w:i/>
          <w:sz w:val="28"/>
          <w:szCs w:val="28"/>
        </w:rPr>
      </w:pPr>
      <w:r>
        <w:rPr>
          <w:rFonts w:ascii="Times New Roman" w:hAnsi="Times New Roman"/>
          <w:i/>
          <w:iCs/>
          <w:sz w:val="28"/>
          <w:szCs w:val="28"/>
        </w:rPr>
        <w:t xml:space="preserve">К созданию благоприятных условий пребывания вынужденных переселенцев  инициативно подключились и сотрудники УФСИН. </w:t>
      </w:r>
      <w:r>
        <w:rPr>
          <w:rFonts w:ascii="Times New Roman" w:hAnsi="Times New Roman"/>
          <w:i/>
          <w:iCs/>
          <w:sz w:val="28"/>
          <w:szCs w:val="28"/>
        </w:rPr>
        <w:t xml:space="preserve">Руководством ПВР областного центра и управлением УФСИН по Ивановской области сегодня наработано системное взаимодействие по решени</w:t>
      </w:r>
      <w:r>
        <w:rPr>
          <w:rFonts w:ascii="Times New Roman" w:hAnsi="Times New Roman"/>
          <w:i/>
          <w:iCs/>
          <w:sz w:val="28"/>
          <w:szCs w:val="28"/>
        </w:rPr>
        <w:t xml:space="preserve">ю вопросов в области защиты прав человека, прежде всего находившихся в местах лишения свободы. Сотрудники данного ведомства постоянно ищут и формы работы, затрагивающие струны человеческой души, способствующие восстановлению таких качеств у осужденных как </w:t>
      </w:r>
      <w:r>
        <w:rPr>
          <w:rFonts w:ascii="Times New Roman" w:hAnsi="Times New Roman"/>
          <w:i/>
          <w:iCs/>
          <w:sz w:val="28"/>
          <w:szCs w:val="28"/>
        </w:rPr>
        <w:t xml:space="preserve">эмпатия</w:t>
      </w:r>
      <w:r>
        <w:rPr>
          <w:rFonts w:ascii="Times New Roman" w:hAnsi="Times New Roman"/>
          <w:i/>
          <w:iCs/>
          <w:sz w:val="28"/>
          <w:szCs w:val="28"/>
        </w:rPr>
        <w:t xml:space="preserve">, милосердие, забота о других. На данной встрече не было </w:t>
      </w:r>
      <w:r>
        <w:rPr>
          <w:rFonts w:ascii="Times New Roman" w:hAnsi="Times New Roman"/>
          <w:i/>
          <w:iCs/>
          <w:sz w:val="28"/>
          <w:szCs w:val="28"/>
        </w:rPr>
        <w:t xml:space="preserve">равнодушных</w:t>
      </w:r>
      <w:r>
        <w:rPr>
          <w:rFonts w:ascii="Times New Roman" w:hAnsi="Times New Roman"/>
          <w:i/>
          <w:iCs/>
          <w:sz w:val="28"/>
          <w:szCs w:val="28"/>
        </w:rPr>
        <w:t xml:space="preserve">. </w:t>
      </w:r>
      <w:r>
        <w:rPr>
          <w:rFonts w:ascii="Times New Roman" w:hAnsi="Times New Roman"/>
          <w:i/>
          <w:iCs/>
          <w:sz w:val="28"/>
          <w:szCs w:val="28"/>
        </w:rPr>
        <w:t xml:space="preserve">Дети вынужденных переселенцев не хотели отпускать гостей, потому что чувствовали тепло и заботу от нас, </w:t>
      </w:r>
      <w:r>
        <w:rPr>
          <w:rFonts w:ascii="Times New Roman" w:hAnsi="Times New Roman"/>
          <w:i/>
          <w:iCs/>
          <w:sz w:val="28"/>
          <w:szCs w:val="28"/>
        </w:rPr>
        <w:t xml:space="preserve">взрослых.</w:t>
      </w:r>
      <w:r>
        <w:rPr>
          <w:rFonts w:ascii="Times New Roman" w:hAnsi="Times New Roman"/>
          <w:bCs/>
          <w:i/>
          <w:sz w:val="28"/>
          <w:szCs w:val="28"/>
        </w:rPr>
      </w:r>
      <w:r>
        <w:rPr>
          <w:rFonts w:ascii="Times New Roman" w:hAnsi="Times New Roman"/>
          <w:bCs/>
          <w:i/>
          <w:sz w:val="28"/>
          <w:szCs w:val="28"/>
        </w:rPr>
      </w:r>
    </w:p>
    <w:p>
      <w:pPr>
        <w:ind w:left="0" w:right="0" w:firstLine="709"/>
        <w:jc w:val="both"/>
        <w:spacing w:after="0"/>
      </w:pPr>
      <w:r>
        <w:rPr>
          <w:rFonts w:ascii="Times New Roman" w:hAnsi="Times New Roman"/>
          <w:sz w:val="28"/>
          <w:szCs w:val="28"/>
        </w:rPr>
        <w:t xml:space="preserve">Спасибо за поддержку эвакуированных семей и </w:t>
      </w:r>
      <w:r>
        <w:rPr>
          <w:rFonts w:ascii="Times New Roman" w:hAnsi="Times New Roman"/>
          <w:sz w:val="28"/>
          <w:szCs w:val="28"/>
        </w:rPr>
        <w:t xml:space="preserve">лидерам Благотворительного фонда «Своих не бросаем», предоставившим  гуманитарную помощь вынужденным эвакуированным гражданам, в качестве необходимых предметов для жизни и быта. Для детей - новогодние подарки.</w:t>
      </w:r>
      <w:r/>
    </w:p>
    <w:p>
      <w:pPr>
        <w:ind w:firstLine="709"/>
        <w:jc w:val="both"/>
        <w:spacing w:after="0"/>
      </w:pPr>
      <w:r>
        <w:rPr>
          <w:rFonts w:ascii="Times New Roman" w:hAnsi="Times New Roman"/>
          <w:sz w:val="28"/>
          <w:szCs w:val="28"/>
        </w:rPr>
        <w:t xml:space="preserve">Проживающие в ПВР</w:t>
      </w:r>
      <w:r>
        <w:rPr>
          <w:rFonts w:ascii="Times New Roman" w:hAnsi="Times New Roman"/>
          <w:sz w:val="28"/>
          <w:szCs w:val="28"/>
        </w:rPr>
        <w:t xml:space="preserve"> высказали пожелания по посещению культурных мероприятий, позволяющих наполнить жизнь в современной ситуации «теплыми красками». Решение поставленных вопросов взято под личный контроль Уполномоченного, подключены подведомственные учреждения сферы культуры.</w:t>
      </w:r>
      <w:r/>
    </w:p>
    <w:p>
      <w:pPr>
        <w:ind w:firstLine="708"/>
        <w:jc w:val="both"/>
        <w:spacing w:after="0"/>
        <w:rPr>
          <w:rFonts w:ascii="Times New Roman" w:hAnsi="Times New Roman"/>
          <w:i/>
          <w:sz w:val="28"/>
          <w:szCs w:val="28"/>
        </w:rPr>
      </w:pPr>
      <w:r>
        <w:rPr>
          <w:rFonts w:ascii="Times New Roman" w:hAnsi="Times New Roman"/>
          <w:i/>
          <w:iCs/>
          <w:sz w:val="28"/>
          <w:szCs w:val="28"/>
        </w:rPr>
        <w:t xml:space="preserve">«Следует отметить, что данные встречи совместно с администрацией ПВР, юридическим сообществом и волонтерами позволяют людям, познавшим горе и страдания, чувствовать себя защищенными. Вместе всегда легче!», - отметила правозащитник Светлана Шмелева.</w:t>
      </w:r>
      <w:r>
        <w:rPr>
          <w:rFonts w:ascii="Times New Roman" w:hAnsi="Times New Roman"/>
          <w:i/>
          <w:sz w:val="28"/>
          <w:szCs w:val="28"/>
        </w:rPr>
      </w:r>
      <w:r>
        <w:rPr>
          <w:rFonts w:ascii="Times New Roman" w:hAnsi="Times New Roman"/>
          <w:i/>
          <w:sz w:val="28"/>
          <w:szCs w:val="28"/>
        </w:rPr>
      </w:r>
    </w:p>
    <w:p>
      <w:pPr>
        <w:ind w:firstLine="709"/>
        <w:jc w:val="both"/>
        <w:spacing w:after="0"/>
        <w:rPr>
          <w:rFonts w:ascii="Times New Roman" w:hAnsi="Times New Roman"/>
          <w:sz w:val="28"/>
          <w:szCs w:val="28"/>
        </w:rPr>
      </w:pPr>
      <w:r>
        <w:rPr>
          <w:rFonts w:ascii="Times New Roman" w:hAnsi="Times New Roman"/>
          <w:sz w:val="28"/>
          <w:szCs w:val="28"/>
        </w:rPr>
        <w:t xml:space="preserve">В мае 2025 года Уполномоченный инициировала заседание рабочей группы в ПВР областного центра. </w:t>
      </w:r>
      <w:r>
        <w:rPr>
          <w:rFonts w:ascii="Times New Roman" w:hAnsi="Times New Roman"/>
          <w:sz w:val="28"/>
          <w:szCs w:val="28"/>
        </w:rPr>
      </w:r>
      <w:r>
        <w:rPr>
          <w:rFonts w:ascii="Times New Roman" w:hAnsi="Times New Roman"/>
          <w:sz w:val="28"/>
          <w:szCs w:val="28"/>
        </w:rPr>
        <w:t xml:space="preserve">Состоялось конструктивное обсуждение вопросов, направленных на благоприятное пребывание беженцев на территории Ивановской области.</w:t>
      </w:r>
      <w:r/>
      <w:r>
        <w:rPr>
          <w:rFonts w:ascii="Times New Roman" w:hAnsi="Times New Roman"/>
          <w:sz w:val="28"/>
          <w:szCs w:val="28"/>
        </w:rPr>
      </w:r>
    </w:p>
    <w:p>
      <w:pPr>
        <w:ind w:firstLine="708"/>
        <w:jc w:val="both"/>
        <w:spacing w:after="0"/>
        <w:rPr>
          <w:bCs/>
          <w:i/>
        </w:rPr>
      </w:pPr>
      <w:r>
        <w:rPr>
          <w:rFonts w:ascii="Times New Roman" w:hAnsi="Times New Roman"/>
          <w:i/>
          <w:iCs/>
          <w:sz w:val="28"/>
          <w:szCs w:val="28"/>
        </w:rPr>
        <w:t xml:space="preserve">«Благодарю представителей регионального управления МЧС, управления по вопросам миграции УМВД России по Ивановской области, департамента соцзащиты населения, комитета по тр</w:t>
      </w:r>
      <w:r>
        <w:rPr>
          <w:rFonts w:ascii="Times New Roman" w:hAnsi="Times New Roman"/>
          <w:i/>
          <w:iCs/>
          <w:sz w:val="28"/>
          <w:szCs w:val="28"/>
        </w:rPr>
        <w:t xml:space="preserve">уду, содействию занятости населения и трудовой миграции, Ивановского областного отделения Российского Красного Креста за слаженную работу и содействие в разрешении обозначенных вопросов, оказание адресной помощи заявителям», - подчеркнула Светлана Шмелева.</w:t>
      </w:r>
      <w:r>
        <w:rPr>
          <w:bCs/>
          <w:i/>
        </w:rPr>
      </w:r>
      <w:r>
        <w:rPr>
          <w:bCs/>
          <w:i/>
        </w:rPr>
      </w:r>
    </w:p>
    <w:p>
      <w:pPr>
        <w:pStyle w:val="1225"/>
        <w:jc w:val="center"/>
      </w:pPr>
      <w:r/>
      <w:bookmarkStart w:id="40" w:name="_Toc18"/>
      <w:r>
        <w:rPr>
          <w:rStyle w:val="1252"/>
          <w:rFonts w:ascii="Times New Roman" w:hAnsi="Times New Roman" w:eastAsia="Times New Roman" w:cs="Times New Roman"/>
          <w:color w:val="000000" w:themeColor="text1"/>
          <w:sz w:val="28"/>
          <w:szCs w:val="28"/>
        </w:rPr>
        <w:t xml:space="preserve">Уполномоченный рекомендует</w:t>
      </w:r>
      <w:r>
        <w:t xml:space="preserve">:</w:t>
      </w:r>
      <w:bookmarkEnd w:id="40"/>
      <w:r/>
      <w:r/>
      <w:r/>
      <w:r/>
      <w:r/>
    </w:p>
    <w:p>
      <w:r/>
      <w:r/>
    </w:p>
    <w:p>
      <w:pPr>
        <w:ind w:firstLine="709"/>
        <w:spacing w:after="0" w:afterAutospacing="0"/>
        <w:rPr>
          <w:rFonts w:ascii="Times New Roman" w:hAnsi="Times New Roman"/>
          <w:b/>
          <w:i/>
          <w:sz w:val="28"/>
          <w:szCs w:val="28"/>
        </w:rPr>
      </w:pPr>
      <w:r>
        <w:rPr>
          <w:rFonts w:ascii="Times New Roman" w:hAnsi="Times New Roman"/>
          <w:b/>
          <w:i/>
          <w:sz w:val="28"/>
          <w:szCs w:val="28"/>
        </w:rPr>
        <w:t xml:space="preserve">Правительству Ивановской области:</w:t>
      </w:r>
      <w:r>
        <w:rPr>
          <w:rFonts w:ascii="Times New Roman" w:hAnsi="Times New Roman"/>
          <w:b/>
          <w:i/>
          <w:sz w:val="28"/>
          <w:szCs w:val="28"/>
        </w:rPr>
      </w:r>
      <w:r>
        <w:rPr>
          <w:rFonts w:ascii="Times New Roman" w:hAnsi="Times New Roman"/>
          <w:b/>
          <w:i/>
          <w:sz w:val="28"/>
          <w:szCs w:val="28"/>
        </w:rPr>
      </w:r>
    </w:p>
    <w:p>
      <w:pPr>
        <w:pStyle w:val="1236"/>
        <w:numPr>
          <w:ilvl w:val="0"/>
          <w:numId w:val="185"/>
        </w:numPr>
        <w:ind w:left="0" w:firstLine="709"/>
        <w:jc w:val="both"/>
        <w:spacing w:before="0" w:beforeAutospacing="0" w:after="0" w:afterAutospacing="0" w:line="276" w:lineRule="auto"/>
        <w:shd w:val="clear" w:color="auto" w:fill="ffffff"/>
        <w:rPr>
          <w:color w:val="000000" w:themeColor="text1"/>
        </w:rPr>
      </w:pPr>
      <w:r>
        <w:rPr>
          <w:color w:val="000000" w:themeColor="text1"/>
          <w:sz w:val="28"/>
          <w:szCs w:val="28"/>
        </w:rPr>
        <w:t xml:space="preserve">усилить координацию между органами власти, НКО и волонтерами в вопросах социально-бытового устройства эвакуированных граждан.</w:t>
      </w:r>
      <w:r>
        <w:rPr>
          <w:color w:val="000000" w:themeColor="text1"/>
        </w:rPr>
      </w:r>
      <w:r>
        <w:rPr>
          <w:color w:val="000000" w:themeColor="text1"/>
        </w:rPr>
      </w:r>
    </w:p>
    <w:p>
      <w:pPr>
        <w:pStyle w:val="1227"/>
        <w:ind w:left="0"/>
        <w:jc w:val="both"/>
        <w:spacing w:line="276" w:lineRule="auto"/>
        <w:rPr>
          <w:rFonts w:ascii="Calibri" w:hAnsi="Calibri" w:eastAsia="Calibri"/>
          <w:sz w:val="22"/>
          <w:szCs w:val="22"/>
          <w:lang w:val="ru-RU" w:bidi="ar-SA"/>
        </w:rPr>
      </w:pPr>
      <w:r>
        <w:rPr>
          <w:rFonts w:ascii="Calibri" w:hAnsi="Calibri" w:eastAsia="Calibri"/>
          <w:sz w:val="22"/>
          <w:szCs w:val="22"/>
          <w:lang w:val="ru-RU" w:bidi="ar-SA"/>
        </w:rPr>
      </w:r>
      <w:r>
        <w:rPr>
          <w:rFonts w:ascii="Calibri" w:hAnsi="Calibri" w:eastAsia="Calibri"/>
          <w:sz w:val="22"/>
          <w:szCs w:val="22"/>
          <w:lang w:val="ru-RU" w:bidi="ar-SA"/>
        </w:rPr>
      </w:r>
      <w:r>
        <w:rPr>
          <w:rFonts w:ascii="Calibri" w:hAnsi="Calibri" w:eastAsia="Calibri"/>
          <w:sz w:val="22"/>
          <w:szCs w:val="22"/>
          <w:lang w:val="ru-RU" w:bidi="ar-SA"/>
        </w:rPr>
      </w:r>
    </w:p>
    <w:p>
      <w:pPr>
        <w:pStyle w:val="1227"/>
        <w:ind w:left="0" w:firstLine="709"/>
        <w:jc w:val="both"/>
        <w:spacing w:line="276" w:lineRule="auto"/>
        <w:rPr>
          <w:rFonts w:ascii="Times New Roman" w:hAnsi="Times New Roman"/>
          <w:b/>
          <w:bCs/>
          <w:i/>
          <w:sz w:val="28"/>
          <w:szCs w:val="28"/>
          <w:lang w:val="ru-RU"/>
        </w:rPr>
      </w:pPr>
      <w:r>
        <w:rPr>
          <w:rFonts w:ascii="Times New Roman" w:hAnsi="Times New Roman"/>
          <w:b/>
          <w:bCs/>
          <w:i/>
          <w:sz w:val="28"/>
          <w:szCs w:val="28"/>
          <w:lang w:val="ru-RU"/>
        </w:rPr>
        <w:t xml:space="preserve">Департаменту социальной защиты населения Ивановской области:</w:t>
      </w:r>
      <w:r>
        <w:rPr>
          <w:rFonts w:ascii="Times New Roman" w:hAnsi="Times New Roman"/>
          <w:b/>
          <w:bCs/>
          <w:i/>
          <w:sz w:val="28"/>
          <w:szCs w:val="28"/>
          <w:lang w:val="ru-RU"/>
        </w:rPr>
      </w:r>
      <w:r>
        <w:rPr>
          <w:rFonts w:ascii="Times New Roman" w:hAnsi="Times New Roman"/>
          <w:b/>
          <w:bCs/>
          <w:i/>
          <w:sz w:val="28"/>
          <w:szCs w:val="28"/>
          <w:lang w:val="ru-RU"/>
        </w:rPr>
      </w:r>
    </w:p>
    <w:p>
      <w:pPr>
        <w:pStyle w:val="1227"/>
        <w:numPr>
          <w:ilvl w:val="0"/>
          <w:numId w:val="187"/>
        </w:numPr>
        <w:ind w:left="0" w:firstLine="709"/>
        <w:jc w:val="both"/>
        <w:spacing w:line="276" w:lineRule="auto"/>
        <w:rPr>
          <w:rFonts w:ascii="Times New Roman" w:hAnsi="Times New Roman"/>
          <w:sz w:val="28"/>
          <w:szCs w:val="28"/>
          <w:lang w:val="ru-RU"/>
        </w:rPr>
      </w:pPr>
      <w:r>
        <w:rPr>
          <w:rFonts w:ascii="Times New Roman" w:hAnsi="Times New Roman"/>
          <w:sz w:val="28"/>
          <w:szCs w:val="28"/>
          <w:lang w:val="ru-RU"/>
        </w:rPr>
        <w:t xml:space="preserve"> активизировать психологическую поддержку </w:t>
      </w:r>
      <w:r>
        <w:rPr>
          <w:rFonts w:ascii="Times New Roman" w:hAnsi="Times New Roman"/>
          <w:sz w:val="28"/>
          <w:szCs w:val="28"/>
          <w:lang w:val="ru-RU"/>
        </w:rPr>
        <w:t xml:space="preserve">проживающим</w:t>
      </w:r>
      <w:r>
        <w:rPr>
          <w:rFonts w:ascii="Times New Roman" w:hAnsi="Times New Roman"/>
          <w:sz w:val="28"/>
          <w:szCs w:val="28"/>
          <w:lang w:val="ru-RU"/>
        </w:rPr>
        <w:t xml:space="preserve"> в ПВР;</w:t>
      </w:r>
      <w:r>
        <w:rPr>
          <w:rFonts w:ascii="Times New Roman" w:hAnsi="Times New Roman"/>
          <w:sz w:val="28"/>
          <w:szCs w:val="28"/>
          <w:lang w:val="ru-RU"/>
        </w:rPr>
      </w:r>
      <w:r>
        <w:rPr>
          <w:rFonts w:ascii="Times New Roman" w:hAnsi="Times New Roman"/>
          <w:sz w:val="28"/>
          <w:szCs w:val="28"/>
          <w:lang w:val="ru-RU"/>
        </w:rPr>
      </w:r>
    </w:p>
    <w:p>
      <w:pPr>
        <w:pStyle w:val="1227"/>
        <w:numPr>
          <w:ilvl w:val="0"/>
          <w:numId w:val="187"/>
        </w:numPr>
        <w:ind w:left="0" w:firstLine="709"/>
        <w:jc w:val="both"/>
        <w:spacing w:line="276" w:lineRule="auto"/>
        <w:rPr>
          <w:rFonts w:ascii="Times New Roman" w:hAnsi="Times New Roman"/>
          <w:sz w:val="28"/>
          <w:szCs w:val="28"/>
          <w:lang w:val="ru-RU"/>
        </w:rPr>
      </w:pPr>
      <w:r>
        <w:rPr>
          <w:rFonts w:ascii="Times New Roman" w:hAnsi="Times New Roman"/>
          <w:sz w:val="28"/>
          <w:szCs w:val="28"/>
          <w:lang w:val="ru-RU"/>
        </w:rPr>
        <w:t xml:space="preserve"> проводить патронажи, беседы с несовершеннолетними и их законными представителями для профилактики правонарушений и социальной адаптации;</w:t>
      </w:r>
      <w:r>
        <w:rPr>
          <w:rFonts w:ascii="Times New Roman" w:hAnsi="Times New Roman"/>
          <w:sz w:val="28"/>
          <w:szCs w:val="28"/>
          <w:lang w:val="ru-RU"/>
        </w:rPr>
      </w:r>
      <w:r>
        <w:rPr>
          <w:rFonts w:ascii="Times New Roman" w:hAnsi="Times New Roman"/>
          <w:sz w:val="28"/>
          <w:szCs w:val="28"/>
          <w:lang w:val="ru-RU"/>
        </w:rPr>
      </w:r>
    </w:p>
    <w:p>
      <w:pPr>
        <w:pStyle w:val="1227"/>
        <w:numPr>
          <w:ilvl w:val="0"/>
          <w:numId w:val="187"/>
        </w:numPr>
        <w:ind w:left="0" w:firstLine="709"/>
        <w:jc w:val="both"/>
        <w:spacing w:line="276" w:lineRule="auto"/>
        <w:rPr>
          <w:rFonts w:ascii="Times New Roman" w:hAnsi="Times New Roman"/>
          <w:sz w:val="28"/>
          <w:szCs w:val="28"/>
          <w:lang w:val="ru-RU"/>
        </w:rPr>
      </w:pPr>
      <w:r>
        <w:rPr>
          <w:rFonts w:ascii="Times New Roman" w:hAnsi="Times New Roman"/>
          <w:sz w:val="28"/>
          <w:szCs w:val="28"/>
          <w:lang w:val="ru-RU"/>
        </w:rPr>
        <w:t xml:space="preserve">расширить механизмы поддержки некоммерческих организаций, оказывающих разностороннюю помощь вынужденным переселенцам, а также содействовать в создании значимых инициатив, </w:t>
      </w:r>
      <w:r>
        <w:rPr>
          <w:rFonts w:ascii="Times New Roman" w:hAnsi="Times New Roman"/>
          <w:sz w:val="28"/>
          <w:szCs w:val="28"/>
          <w:lang w:val="ru-RU"/>
        </w:rPr>
        <w:t xml:space="preserve">иницируемых</w:t>
      </w:r>
      <w:r>
        <w:rPr>
          <w:rFonts w:ascii="Times New Roman" w:hAnsi="Times New Roman"/>
          <w:sz w:val="28"/>
          <w:szCs w:val="28"/>
          <w:lang w:val="ru-RU"/>
        </w:rPr>
        <w:t xml:space="preserve"> самими переселенцами, что позволит улучшить условия для их социальной адаптации и интеграции в общество. </w:t>
      </w:r>
      <w:r>
        <w:rPr>
          <w:rFonts w:ascii="Times New Roman" w:hAnsi="Times New Roman"/>
          <w:sz w:val="28"/>
          <w:szCs w:val="28"/>
          <w:lang w:val="ru-RU"/>
        </w:rPr>
      </w:r>
      <w:r>
        <w:rPr>
          <w:rFonts w:ascii="Times New Roman" w:hAnsi="Times New Roman"/>
          <w:sz w:val="28"/>
          <w:szCs w:val="28"/>
          <w:lang w:val="ru-RU"/>
        </w:rPr>
      </w:r>
    </w:p>
    <w:p>
      <w:pPr>
        <w:pStyle w:val="1227"/>
        <w:ind w:left="709"/>
        <w:jc w:val="both"/>
        <w:spacing w:line="276" w:lineRule="auto"/>
        <w:rPr>
          <w:rFonts w:ascii="Times New Roman" w:hAnsi="Times New Roman"/>
          <w:sz w:val="28"/>
          <w:szCs w:val="28"/>
          <w:lang w:val="ru-RU"/>
        </w:rPr>
      </w:pPr>
      <w:r>
        <w:rPr>
          <w:rFonts w:ascii="Times New Roman" w:hAnsi="Times New Roman"/>
          <w:sz w:val="28"/>
          <w:szCs w:val="28"/>
          <w:lang w:val="ru-RU"/>
        </w:rPr>
      </w:r>
      <w:r>
        <w:rPr>
          <w:rFonts w:ascii="Times New Roman" w:hAnsi="Times New Roman"/>
          <w:sz w:val="28"/>
          <w:szCs w:val="28"/>
          <w:lang w:val="ru-RU"/>
        </w:rPr>
      </w:r>
      <w:r>
        <w:rPr>
          <w:rFonts w:ascii="Times New Roman" w:hAnsi="Times New Roman"/>
          <w:sz w:val="28"/>
          <w:szCs w:val="28"/>
          <w:lang w:val="ru-RU"/>
        </w:rPr>
      </w:r>
    </w:p>
    <w:p>
      <w:pPr>
        <w:pStyle w:val="1236"/>
        <w:ind w:firstLine="709"/>
        <w:spacing w:before="0" w:beforeAutospacing="0" w:after="0" w:afterAutospacing="0" w:line="276" w:lineRule="auto"/>
        <w:shd w:val="clear" w:color="auto" w:fill="ffffff"/>
        <w:rPr>
          <w:b/>
          <w:i/>
          <w:color w:val="000000" w:themeColor="text1"/>
        </w:rPr>
      </w:pPr>
      <w:r>
        <w:rPr>
          <w:b/>
          <w:i/>
          <w:color w:val="000000" w:themeColor="text1"/>
          <w:sz w:val="28"/>
          <w:szCs w:val="28"/>
        </w:rPr>
        <w:t xml:space="preserve">Департаменту образования  и науки Ивановской области:</w:t>
      </w:r>
      <w:r>
        <w:rPr>
          <w:b/>
          <w:i/>
          <w:color w:val="000000" w:themeColor="text1"/>
        </w:rPr>
      </w:r>
      <w:r>
        <w:rPr>
          <w:b/>
          <w:i/>
          <w:color w:val="000000" w:themeColor="text1"/>
        </w:rPr>
      </w:r>
    </w:p>
    <w:p>
      <w:pPr>
        <w:pStyle w:val="1236"/>
        <w:numPr>
          <w:ilvl w:val="0"/>
          <w:numId w:val="187"/>
        </w:numPr>
        <w:ind w:left="0" w:firstLine="709"/>
        <w:jc w:val="both"/>
        <w:spacing w:before="0" w:beforeAutospacing="0" w:after="0" w:afterAutospacing="0" w:line="276" w:lineRule="auto"/>
        <w:shd w:val="clear" w:color="auto" w:fill="ffffff"/>
        <w:rPr>
          <w:color w:val="000000" w:themeColor="text1"/>
        </w:rPr>
      </w:pPr>
      <w:r>
        <w:rPr>
          <w:color w:val="000000" w:themeColor="text1"/>
          <w:sz w:val="28"/>
          <w:szCs w:val="28"/>
        </w:rPr>
        <w:t xml:space="preserve">организовать систематическое проведение курсов русского языка </w:t>
      </w:r>
      <w:r>
        <w:rPr>
          <w:color w:val="000000" w:themeColor="text1"/>
          <w:sz w:val="28"/>
          <w:szCs w:val="28"/>
        </w:rPr>
        <w:t xml:space="preserve">для нуждающихся в этом</w:t>
      </w:r>
      <w:r>
        <w:rPr>
          <w:color w:val="000000" w:themeColor="text1"/>
          <w:sz w:val="28"/>
          <w:szCs w:val="28"/>
        </w:rPr>
        <w:t xml:space="preserve"> детей и взрослых из числа эвакуированных граждан, предусмотрев различные форматы обучения (очный, дистанционный, смешанный);</w:t>
      </w:r>
      <w:r>
        <w:rPr>
          <w:color w:val="000000" w:themeColor="text1"/>
        </w:rPr>
      </w:r>
      <w:r>
        <w:rPr>
          <w:color w:val="000000" w:themeColor="text1"/>
        </w:rPr>
      </w:r>
    </w:p>
    <w:p>
      <w:pPr>
        <w:pStyle w:val="1236"/>
        <w:numPr>
          <w:ilvl w:val="0"/>
          <w:numId w:val="187"/>
        </w:numPr>
        <w:ind w:left="0" w:firstLine="709"/>
        <w:jc w:val="both"/>
        <w:spacing w:before="0" w:beforeAutospacing="0" w:after="0" w:afterAutospacing="0" w:line="276" w:lineRule="auto"/>
        <w:shd w:val="clear" w:color="auto" w:fill="ffffff"/>
        <w:rPr>
          <w:color w:val="000000" w:themeColor="text1"/>
        </w:rPr>
      </w:pPr>
      <w:r>
        <w:rPr>
          <w:color w:val="000000" w:themeColor="text1"/>
          <w:sz w:val="28"/>
          <w:szCs w:val="28"/>
        </w:rPr>
        <w:t xml:space="preserve">обеспечить психолого-педагогическое сопровождение детей эвакуированных граждан в образовательных организациях, способствуя их успешной социализации.</w:t>
      </w:r>
      <w:r>
        <w:rPr>
          <w:color w:val="000000" w:themeColor="text1"/>
        </w:rPr>
      </w:r>
      <w:r>
        <w:rPr>
          <w:color w:val="000000" w:themeColor="text1"/>
        </w:rPr>
      </w:r>
    </w:p>
    <w:p>
      <w:pPr>
        <w:pStyle w:val="1236"/>
        <w:ind w:left="709"/>
        <w:jc w:val="both"/>
        <w:spacing w:before="0" w:beforeAutospacing="0" w:after="0" w:afterAutospacing="0" w:line="276" w:lineRule="auto"/>
        <w:shd w:val="clear" w:color="auto" w:fill="ffffff"/>
        <w:rPr>
          <w:color w:val="000000" w:themeColor="text1"/>
        </w:rPr>
      </w:pPr>
      <w:r>
        <w:rPr>
          <w:color w:val="000000" w:themeColor="text1"/>
        </w:rPr>
      </w:r>
      <w:r>
        <w:rPr>
          <w:color w:val="000000" w:themeColor="text1"/>
        </w:rPr>
      </w:r>
      <w:r>
        <w:rPr>
          <w:color w:val="000000" w:themeColor="text1"/>
        </w:rPr>
      </w:r>
    </w:p>
    <w:p>
      <w:pPr>
        <w:pStyle w:val="1227"/>
        <w:ind w:left="0" w:firstLine="709"/>
        <w:jc w:val="both"/>
        <w:spacing w:line="276" w:lineRule="auto"/>
        <w:rPr>
          <w:rFonts w:ascii="Times New Roman" w:hAnsi="Times New Roman"/>
          <w:b/>
          <w:bCs/>
          <w:i/>
          <w:sz w:val="28"/>
          <w:szCs w:val="28"/>
          <w:lang w:val="ru-RU"/>
        </w:rPr>
      </w:pPr>
      <w:r>
        <w:rPr>
          <w:rFonts w:ascii="Times New Roman" w:hAnsi="Times New Roman"/>
          <w:b/>
          <w:bCs/>
          <w:i/>
          <w:sz w:val="28"/>
          <w:szCs w:val="28"/>
          <w:lang w:val="ru-RU"/>
        </w:rPr>
        <w:t xml:space="preserve">Комитету Ивановской области по труду, содействию занятости населения и трудовой миграции:</w:t>
      </w:r>
      <w:r>
        <w:rPr>
          <w:rFonts w:ascii="Times New Roman" w:hAnsi="Times New Roman"/>
          <w:b/>
          <w:bCs/>
          <w:i/>
          <w:sz w:val="28"/>
          <w:szCs w:val="28"/>
          <w:lang w:val="ru-RU"/>
        </w:rPr>
      </w:r>
      <w:r>
        <w:rPr>
          <w:rFonts w:ascii="Times New Roman" w:hAnsi="Times New Roman"/>
          <w:b/>
          <w:bCs/>
          <w:i/>
          <w:sz w:val="28"/>
          <w:szCs w:val="28"/>
          <w:lang w:val="ru-RU"/>
        </w:rPr>
      </w:r>
    </w:p>
    <w:p>
      <w:pPr>
        <w:pStyle w:val="1227"/>
        <w:numPr>
          <w:ilvl w:val="0"/>
          <w:numId w:val="187"/>
        </w:numPr>
        <w:ind w:left="0" w:firstLine="709"/>
        <w:jc w:val="both"/>
        <w:spacing w:line="276" w:lineRule="auto"/>
        <w:rPr>
          <w:rFonts w:ascii="Times New Roman" w:hAnsi="Times New Roman"/>
          <w:sz w:val="28"/>
          <w:szCs w:val="28"/>
          <w:lang w:val="ru-RU"/>
        </w:rPr>
      </w:pPr>
      <w:r>
        <w:rPr>
          <w:rFonts w:ascii="Times New Roman" w:hAnsi="Times New Roman"/>
          <w:sz w:val="28"/>
          <w:szCs w:val="28"/>
          <w:lang w:val="ru-RU"/>
        </w:rPr>
        <w:t xml:space="preserve">активно содействовать в трудоустройстве с учётом профессии, специальности и квалификации переселенцев;</w:t>
      </w:r>
      <w:r>
        <w:rPr>
          <w:rFonts w:ascii="Times New Roman" w:hAnsi="Times New Roman"/>
          <w:sz w:val="28"/>
          <w:szCs w:val="28"/>
          <w:lang w:val="ru-RU"/>
        </w:rPr>
      </w:r>
      <w:r>
        <w:rPr>
          <w:rFonts w:ascii="Times New Roman" w:hAnsi="Times New Roman"/>
          <w:sz w:val="28"/>
          <w:szCs w:val="28"/>
          <w:lang w:val="ru-RU"/>
        </w:rPr>
      </w:r>
    </w:p>
    <w:p>
      <w:pPr>
        <w:pStyle w:val="1227"/>
        <w:numPr>
          <w:ilvl w:val="0"/>
          <w:numId w:val="187"/>
        </w:numPr>
        <w:ind w:left="0" w:firstLine="709"/>
        <w:jc w:val="both"/>
        <w:spacing w:line="276" w:lineRule="auto"/>
        <w:rPr>
          <w:rFonts w:ascii="Times New Roman" w:hAnsi="Times New Roman"/>
          <w:sz w:val="28"/>
          <w:szCs w:val="28"/>
          <w:lang w:val="ru-RU"/>
        </w:rPr>
      </w:pPr>
      <w:r>
        <w:rPr>
          <w:rFonts w:ascii="Times New Roman" w:hAnsi="Times New Roman"/>
          <w:sz w:val="28"/>
          <w:szCs w:val="28"/>
          <w:lang w:val="ru-RU"/>
        </w:rPr>
        <w:t xml:space="preserve">проработать вопрос по получению профессиональной переподготовки и повышению квалификации взрослых эвакуированных;</w:t>
      </w:r>
      <w:r>
        <w:rPr>
          <w:rFonts w:ascii="Times New Roman" w:hAnsi="Times New Roman"/>
          <w:sz w:val="28"/>
          <w:szCs w:val="28"/>
          <w:lang w:val="ru-RU"/>
        </w:rPr>
      </w:r>
      <w:r>
        <w:rPr>
          <w:rFonts w:ascii="Times New Roman" w:hAnsi="Times New Roman"/>
          <w:sz w:val="28"/>
          <w:szCs w:val="28"/>
          <w:lang w:val="ru-RU"/>
        </w:rPr>
      </w:r>
    </w:p>
    <w:p>
      <w:pPr>
        <w:pStyle w:val="1227"/>
        <w:numPr>
          <w:ilvl w:val="0"/>
          <w:numId w:val="187"/>
        </w:numPr>
        <w:ind w:left="0" w:firstLine="709"/>
        <w:jc w:val="both"/>
        <w:spacing w:line="276" w:lineRule="auto"/>
        <w:rPr>
          <w:rFonts w:ascii="Times New Roman" w:hAnsi="Times New Roman"/>
          <w:sz w:val="28"/>
          <w:szCs w:val="28"/>
          <w:lang w:val="ru-RU"/>
        </w:rPr>
      </w:pPr>
      <w:r>
        <w:rPr>
          <w:rFonts w:ascii="Times New Roman" w:hAnsi="Times New Roman"/>
          <w:sz w:val="28"/>
          <w:szCs w:val="28"/>
          <w:lang w:val="ru-RU"/>
        </w:rPr>
        <w:t xml:space="preserve">для предприятий, принимающих на работу вынужденных переселенцев рассмотреть возможность налоговых льгот и возможной компенсации.</w:t>
      </w:r>
      <w:r>
        <w:rPr>
          <w:rFonts w:ascii="Times New Roman" w:hAnsi="Times New Roman"/>
          <w:sz w:val="28"/>
          <w:szCs w:val="28"/>
          <w:lang w:val="ru-RU"/>
        </w:rPr>
      </w:r>
      <w:r>
        <w:rPr>
          <w:rFonts w:ascii="Times New Roman" w:hAnsi="Times New Roman"/>
          <w:sz w:val="28"/>
          <w:szCs w:val="28"/>
          <w:lang w:val="ru-RU"/>
        </w:rPr>
      </w:r>
    </w:p>
    <w:p>
      <w:pPr>
        <w:jc w:val="both"/>
        <w:spacing w:after="0"/>
        <w:rPr>
          <w:rFonts w:ascii="Times New Roman" w:hAnsi="Times New Roman"/>
          <w:b/>
          <w:bCs/>
          <w:sz w:val="28"/>
          <w:szCs w:val="28"/>
        </w:rPr>
      </w:pPr>
      <w:r>
        <w:rPr>
          <w:rFonts w:ascii="Times New Roman" w:hAnsi="Times New Roman"/>
          <w:b/>
          <w:sz w:val="28"/>
          <w:szCs w:val="28"/>
        </w:rPr>
      </w:r>
      <w:r>
        <w:rPr>
          <w:rFonts w:ascii="Times New Roman" w:hAnsi="Times New Roman"/>
          <w:b/>
          <w:bCs/>
          <w:sz w:val="28"/>
          <w:szCs w:val="28"/>
        </w:rPr>
      </w:r>
      <w:r>
        <w:rPr>
          <w:rFonts w:ascii="Times New Roman" w:hAnsi="Times New Roman"/>
          <w:b/>
          <w:bCs/>
          <w:sz w:val="28"/>
          <w:szCs w:val="28"/>
        </w:rPr>
      </w:r>
    </w:p>
    <w:p>
      <w:pPr>
        <w:pStyle w:val="1226"/>
        <w:jc w:val="center"/>
        <w:rPr>
          <w:rFonts w:ascii="Times New Roman" w:hAnsi="Times New Roman" w:cs="Times New Roman"/>
          <w:color w:val="auto"/>
          <w:sz w:val="28"/>
          <w:szCs w:val="28"/>
        </w:rPr>
      </w:pPr>
      <w:r/>
      <w:bookmarkStart w:id="41" w:name="_Toc19"/>
      <w:r>
        <w:rPr>
          <w:rFonts w:ascii="Times New Roman" w:hAnsi="Times New Roman" w:cs="Times New Roman"/>
          <w:b/>
          <w:bCs/>
          <w:color w:val="auto"/>
          <w:sz w:val="28"/>
          <w:szCs w:val="28"/>
        </w:rPr>
        <w:t xml:space="preserve">6.3. Соблюдение прав лиц с ограниченными возможностями здоровья</w:t>
      </w:r>
      <w:r>
        <w:rPr>
          <w:rFonts w:ascii="Times New Roman" w:hAnsi="Times New Roman" w:cs="Times New Roman"/>
          <w:b/>
          <w:bCs/>
          <w:color w:val="auto"/>
          <w:sz w:val="28"/>
          <w:szCs w:val="28"/>
        </w:rPr>
      </w:r>
      <w:bookmarkEnd w:id="41"/>
      <w:r>
        <w:rPr>
          <w:rFonts w:ascii="Times New Roman" w:hAnsi="Times New Roman" w:cs="Times New Roman"/>
          <w:color w:val="auto"/>
          <w:sz w:val="28"/>
          <w:szCs w:val="28"/>
        </w:rPr>
      </w:r>
      <w:r>
        <w:rPr>
          <w:rFonts w:ascii="Times New Roman" w:hAnsi="Times New Roman" w:cs="Times New Roman"/>
          <w:color w:val="auto"/>
          <w:sz w:val="28"/>
          <w:szCs w:val="28"/>
        </w:rPr>
      </w:r>
    </w:p>
    <w:p>
      <w:pPr>
        <w:jc w:val="center"/>
        <w:spacing w:after="0"/>
        <w:rPr>
          <w:rFonts w:ascii="Times New Roman" w:hAnsi="Times New Roman"/>
          <w:b/>
          <w:i/>
          <w:sz w:val="28"/>
          <w:szCs w:val="28"/>
        </w:rPr>
      </w:pPr>
      <w:r>
        <w:rPr>
          <w:rFonts w:ascii="Times New Roman" w:hAnsi="Times New Roman"/>
          <w:b/>
          <w:i/>
          <w:sz w:val="28"/>
          <w:szCs w:val="28"/>
        </w:rPr>
      </w:r>
      <w:r>
        <w:rPr>
          <w:rFonts w:ascii="Times New Roman" w:hAnsi="Times New Roman"/>
          <w:b/>
          <w:i/>
          <w:sz w:val="28"/>
          <w:szCs w:val="28"/>
        </w:rPr>
      </w:r>
      <w:r>
        <w:rPr>
          <w:rFonts w:ascii="Times New Roman" w:hAnsi="Times New Roman"/>
          <w:b/>
          <w:i/>
          <w:sz w:val="28"/>
          <w:szCs w:val="28"/>
        </w:rPr>
      </w:r>
    </w:p>
    <w:p>
      <w:pPr>
        <w:ind w:firstLine="709"/>
        <w:jc w:val="both"/>
        <w:spacing w:after="0"/>
      </w:pPr>
      <w:r>
        <w:rPr>
          <w:rFonts w:ascii="Times New Roman" w:hAnsi="Times New Roman"/>
          <w:sz w:val="28"/>
          <w:szCs w:val="28"/>
        </w:rPr>
        <w:t xml:space="preserve">В Российской Федерации сформирована развернутая нормативно-правовая база, обеспечивающая защиту прав и предоставление социальных гарантий людям с инвалидностью. Основополагающие принципы защиты </w:t>
      </w:r>
      <w:r>
        <w:rPr>
          <w:rFonts w:ascii="Times New Roman" w:hAnsi="Times New Roman"/>
          <w:sz w:val="28"/>
          <w:szCs w:val="28"/>
        </w:rPr>
        <w:t xml:space="preserve">этих прав закреплены на нескольких уровнях правового регулирования: в Конституции РФ, федеральном и региональном законодательстве, а также в международных правовых актах. Ключевым международным документом в этой сфере выступает Конвенция ООН о правах инвал</w:t>
      </w:r>
      <w:r>
        <w:rPr>
          <w:rFonts w:ascii="Times New Roman" w:hAnsi="Times New Roman"/>
          <w:sz w:val="28"/>
          <w:szCs w:val="28"/>
        </w:rPr>
        <w:t xml:space="preserve">идов, которую Россия ратифицировала в 2012 году. Это событие стало поворотным моментом в развитии отечественного законодательства: оно задало вектор на гармонизацию национальных норм с международными стандартами и стимулировало масштабную правовую реформу.</w:t>
      </w:r>
      <w:r/>
    </w:p>
    <w:p>
      <w:pPr>
        <w:ind w:firstLine="709"/>
        <w:jc w:val="both"/>
        <w:spacing w:after="0"/>
        <w:rPr>
          <w:rFonts w:ascii="Times New Roman" w:hAnsi="Times New Roman"/>
          <w:sz w:val="28"/>
          <w:szCs w:val="28"/>
        </w:rPr>
      </w:pPr>
      <w:r>
        <w:rPr>
          <w:rFonts w:ascii="Times New Roman" w:hAnsi="Times New Roman"/>
          <w:sz w:val="28"/>
          <w:szCs w:val="28"/>
        </w:rPr>
        <w:t xml:space="preserve"> Во исполнение положе</w:t>
      </w:r>
      <w:r>
        <w:rPr>
          <w:rFonts w:ascii="Times New Roman" w:hAnsi="Times New Roman"/>
          <w:sz w:val="28"/>
          <w:szCs w:val="28"/>
        </w:rPr>
        <w:t xml:space="preserve">ний Конвенции 1 декабря 2014 года принят Федеральный закон № 419-ФЗ, внесший изменения в  25 федеральных законов. Эти поправки нацелены на создание условий доступности объектов и услуг для инвалидов, а также на компенсацию ограничений их жизнедеятельности.</w:t>
      </w:r>
      <w:r>
        <w:rPr>
          <w:rFonts w:ascii="Times New Roman" w:hAnsi="Times New Roman"/>
          <w:sz w:val="28"/>
          <w:szCs w:val="28"/>
        </w:rPr>
      </w:r>
      <w:r>
        <w:rPr>
          <w:rFonts w:ascii="Times New Roman" w:hAnsi="Times New Roman"/>
          <w:sz w:val="28"/>
          <w:szCs w:val="28"/>
        </w:rPr>
      </w:r>
    </w:p>
    <w:p>
      <w:pPr>
        <w:ind w:firstLine="709"/>
        <w:jc w:val="both"/>
        <w:spacing w:after="0"/>
      </w:pPr>
      <w:r>
        <w:rPr>
          <w:rFonts w:ascii="Times New Roman" w:hAnsi="Times New Roman"/>
          <w:sz w:val="28"/>
          <w:szCs w:val="28"/>
        </w:rPr>
        <w:t xml:space="preserve">По состоянию на 1 января 2026 года в Ивановской области официально зарегистрировано 72 101 человек с установленной инвалидностью,</w:t>
      </w:r>
      <w:r>
        <w:rPr>
          <w:rFonts w:ascii="Times New Roman" w:hAnsi="Times New Roman"/>
          <w:sz w:val="28"/>
          <w:szCs w:val="28"/>
        </w:rPr>
        <w:t xml:space="preserve"> что составляет 8 % от общей численности населения региона - это свидетельствует о значительной социальной нагрузке и подчеркивает актуальность вопросов реабилитации, адаптации и интеграции людей с ограниченными возможностями здоровья в общественную жизнь.</w:t>
      </w:r>
      <w:r/>
    </w:p>
    <w:p>
      <w:pPr>
        <w:ind w:firstLine="709"/>
        <w:jc w:val="both"/>
        <w:spacing w:after="0"/>
      </w:pPr>
      <w:r>
        <w:rPr>
          <w:rFonts w:ascii="Times New Roman" w:hAnsi="Times New Roman"/>
          <w:sz w:val="28"/>
          <w:szCs w:val="28"/>
        </w:rPr>
        <w:t xml:space="preserve">Детальный анализ структуры инвалидности демонстрирует следующее распределение по группам:</w:t>
      </w:r>
      <w:r/>
    </w:p>
    <w:p>
      <w:pPr>
        <w:pStyle w:val="1227"/>
        <w:numPr>
          <w:ilvl w:val="0"/>
          <w:numId w:val="135"/>
        </w:numPr>
        <w:ind w:left="0" w:firstLine="709"/>
        <w:jc w:val="both"/>
        <w:spacing w:line="276" w:lineRule="auto"/>
        <w:rPr>
          <w:lang w:val="ru-RU"/>
        </w:rPr>
      </w:pPr>
      <w:r>
        <w:rPr>
          <w:rFonts w:ascii="Times New Roman" w:hAnsi="Times New Roman"/>
          <w:sz w:val="28"/>
          <w:szCs w:val="28"/>
          <w:lang w:val="ru-RU"/>
        </w:rPr>
        <w:t xml:space="preserve">к </w:t>
      </w:r>
      <w:r>
        <w:rPr>
          <w:rFonts w:ascii="Times New Roman" w:hAnsi="Times New Roman"/>
          <w:sz w:val="28"/>
          <w:szCs w:val="28"/>
        </w:rPr>
        <w:t xml:space="preserve">I</w:t>
      </w:r>
      <w:r>
        <w:rPr>
          <w:rFonts w:ascii="Times New Roman" w:hAnsi="Times New Roman"/>
          <w:sz w:val="28"/>
          <w:szCs w:val="28"/>
          <w:lang w:val="ru-RU"/>
        </w:rPr>
        <w:t xml:space="preserve"> группе отнесены 10 260 человек (около 14,2 % от общего числа инвалидов) - это граждане с наиболее выраженными нарушениями функций организма, зачастую нуждающиеся в постоянной помощи и уходе, имеющие серьезные ограничения в самообслуживании и передвижении;</w:t>
      </w:r>
      <w:r>
        <w:rPr>
          <w:lang w:val="ru-RU"/>
        </w:rPr>
      </w:r>
      <w:r>
        <w:rPr>
          <w:lang w:val="ru-RU"/>
        </w:rPr>
      </w:r>
    </w:p>
    <w:p>
      <w:pPr>
        <w:pStyle w:val="1227"/>
        <w:numPr>
          <w:ilvl w:val="0"/>
          <w:numId w:val="135"/>
        </w:numPr>
        <w:ind w:left="0" w:firstLine="709"/>
        <w:jc w:val="both"/>
        <w:spacing w:line="276" w:lineRule="auto"/>
        <w:rPr>
          <w:lang w:val="ru-RU"/>
        </w:rPr>
      </w:pPr>
      <w:r>
        <w:rPr>
          <w:rFonts w:ascii="Times New Roman" w:hAnsi="Times New Roman"/>
          <w:sz w:val="28"/>
          <w:szCs w:val="28"/>
          <w:lang w:val="ru-RU"/>
        </w:rPr>
        <w:t xml:space="preserve">ко </w:t>
      </w:r>
      <w:r>
        <w:rPr>
          <w:rFonts w:ascii="Times New Roman" w:hAnsi="Times New Roman"/>
          <w:sz w:val="28"/>
          <w:szCs w:val="28"/>
        </w:rPr>
        <w:t xml:space="preserve">II</w:t>
      </w:r>
      <w:r>
        <w:rPr>
          <w:rFonts w:ascii="Times New Roman" w:hAnsi="Times New Roman"/>
          <w:sz w:val="28"/>
          <w:szCs w:val="28"/>
          <w:lang w:val="ru-RU"/>
        </w:rPr>
        <w:t xml:space="preserve"> группе</w:t>
      </w:r>
      <w:r>
        <w:rPr>
          <w:rFonts w:ascii="Times New Roman" w:hAnsi="Times New Roman"/>
          <w:sz w:val="28"/>
          <w:szCs w:val="28"/>
          <w:lang w:val="ru-RU"/>
        </w:rPr>
        <w:t xml:space="preserve"> причислены 27 107 человек (примерно 37,6 % от общего числа) - люди с умеренными или выраженными нарушениями, которые могут частично обслуживать себя и выполнять отдельные виды деятельности, но нуждаются в специальных условиях труда и социальной поддержке;</w:t>
      </w:r>
      <w:r>
        <w:rPr>
          <w:lang w:val="ru-RU"/>
        </w:rPr>
      </w:r>
      <w:r>
        <w:rPr>
          <w:lang w:val="ru-RU"/>
        </w:rPr>
      </w:r>
    </w:p>
    <w:p>
      <w:pPr>
        <w:pStyle w:val="1227"/>
        <w:numPr>
          <w:ilvl w:val="0"/>
          <w:numId w:val="135"/>
        </w:numPr>
        <w:ind w:left="0" w:firstLine="709"/>
        <w:jc w:val="both"/>
        <w:spacing w:line="276" w:lineRule="auto"/>
        <w:rPr>
          <w:lang w:val="ru-RU"/>
        </w:rPr>
      </w:pPr>
      <w:r>
        <w:rPr>
          <w:rFonts w:ascii="Times New Roman" w:hAnsi="Times New Roman"/>
          <w:sz w:val="28"/>
          <w:szCs w:val="28"/>
          <w:lang w:val="ru-RU"/>
        </w:rPr>
        <w:t xml:space="preserve">к </w:t>
      </w:r>
      <w:r>
        <w:rPr>
          <w:rFonts w:ascii="Times New Roman" w:hAnsi="Times New Roman"/>
          <w:sz w:val="28"/>
          <w:szCs w:val="28"/>
        </w:rPr>
        <w:t xml:space="preserve">III</w:t>
      </w:r>
      <w:r>
        <w:rPr>
          <w:rFonts w:ascii="Times New Roman" w:hAnsi="Times New Roman"/>
          <w:sz w:val="28"/>
          <w:szCs w:val="28"/>
          <w:lang w:val="ru-RU"/>
        </w:rPr>
        <w:t xml:space="preserve"> группе относятся 30 947 человек (порядка 42,9 % от общего числа) - граждане с менее выраженными ограничениями жизнедеятельности, способные к трудовой деятельности при создании определенных условий и адаптации рабочего места;</w:t>
      </w:r>
      <w:r>
        <w:rPr>
          <w:lang w:val="ru-RU"/>
        </w:rPr>
      </w:r>
      <w:r>
        <w:rPr>
          <w:lang w:val="ru-RU"/>
        </w:rPr>
      </w:r>
    </w:p>
    <w:p>
      <w:pPr>
        <w:pStyle w:val="1227"/>
        <w:numPr>
          <w:ilvl w:val="0"/>
          <w:numId w:val="135"/>
        </w:numPr>
        <w:ind w:left="0" w:firstLine="709"/>
        <w:jc w:val="both"/>
        <w:spacing w:line="276" w:lineRule="auto"/>
        <w:rPr>
          <w:lang w:val="ru-RU"/>
        </w:rPr>
      </w:pPr>
      <w:r>
        <w:rPr>
          <w:rFonts w:ascii="Times New Roman" w:hAnsi="Times New Roman"/>
          <w:sz w:val="28"/>
          <w:szCs w:val="28"/>
          <w:lang w:val="ru-RU"/>
        </w:rPr>
        <w:t xml:space="preserve">отдельную категорию составляют 3 787 детей</w:t>
      </w:r>
      <w:r>
        <w:rPr>
          <w:rFonts w:hint="eastAsia" w:ascii="MS Mincho" w:hAnsi="MS Mincho" w:eastAsia="MS Mincho" w:cs="MS Mincho"/>
          <w:sz w:val="28"/>
          <w:szCs w:val="28"/>
          <w:lang w:val="ru-RU"/>
        </w:rPr>
        <w:t xml:space="preserve">‑</w:t>
      </w:r>
      <w:r>
        <w:rPr>
          <w:rFonts w:ascii="Times New Roman" w:hAnsi="Times New Roman"/>
          <w:sz w:val="28"/>
          <w:szCs w:val="28"/>
          <w:lang w:val="ru-RU"/>
        </w:rPr>
        <w:t xml:space="preserve">инвалидов (около 5,3 % от общего числа), для которых особенно важны ранняя реабилитация, доступное образование, специализированная медицинская помощь и </w:t>
      </w:r>
      <w:r>
        <w:rPr>
          <w:rFonts w:ascii="Times New Roman" w:hAnsi="Times New Roman"/>
          <w:sz w:val="28"/>
          <w:szCs w:val="28"/>
          <w:lang w:val="ru-RU"/>
        </w:rPr>
        <w:t xml:space="preserve">психолого</w:t>
      </w:r>
      <w:r>
        <w:rPr>
          <w:rFonts w:hint="eastAsia" w:ascii="MS Mincho" w:hAnsi="MS Mincho" w:eastAsia="MS Mincho" w:cs="MS Mincho"/>
          <w:sz w:val="28"/>
          <w:szCs w:val="28"/>
          <w:lang w:val="ru-RU"/>
        </w:rPr>
        <w:t xml:space="preserve">‑</w:t>
      </w:r>
      <w:r>
        <w:rPr>
          <w:rFonts w:ascii="Times New Roman" w:hAnsi="Times New Roman"/>
          <w:sz w:val="28"/>
          <w:szCs w:val="28"/>
          <w:lang w:val="ru-RU"/>
        </w:rPr>
        <w:t xml:space="preserve">педагогическая поддержка.</w:t>
      </w:r>
      <w:r>
        <w:rPr>
          <w:lang w:val="ru-RU"/>
        </w:rPr>
      </w:r>
      <w:r>
        <w:rPr>
          <w:lang w:val="ru-RU"/>
        </w:rPr>
      </w:r>
    </w:p>
    <w:p>
      <w:pPr>
        <w:ind w:firstLine="709"/>
        <w:jc w:val="both"/>
        <w:spacing w:after="0"/>
        <w:rPr>
          <w:rFonts w:ascii="Times New Roman" w:hAnsi="Times New Roman"/>
          <w:sz w:val="28"/>
          <w:szCs w:val="28"/>
        </w:rPr>
      </w:pPr>
      <w:r>
        <w:rPr>
          <w:rFonts w:ascii="Times New Roman" w:hAnsi="Times New Roman"/>
          <w:sz w:val="28"/>
          <w:szCs w:val="28"/>
        </w:rPr>
        <w:t xml:space="preserve">Такое распределение отражает слож</w:t>
      </w:r>
      <w:r>
        <w:rPr>
          <w:rFonts w:ascii="Times New Roman" w:hAnsi="Times New Roman"/>
          <w:sz w:val="28"/>
          <w:szCs w:val="28"/>
        </w:rPr>
        <w:t xml:space="preserve">ную многоуровневую структуру потребностей населения с инвалидностью: от необходимости в тотальной социальной опеке (I группа) до задач по профессиональной ориентации и трудоустройству (III группа), а также особую важность комплексной поддержки семей с деть</w:t>
      </w:r>
      <w:r>
        <w:rPr>
          <w:rFonts w:ascii="Times New Roman" w:hAnsi="Times New Roman"/>
          <w:sz w:val="28"/>
          <w:szCs w:val="28"/>
        </w:rPr>
        <w:t xml:space="preserve">ми-инвалидами. Эти данные служат важной основой для планирования работы органов социальной защиты, здравоохранения и образования, формирования бюджета на предоставление льгот, технических средств реабилитации, развития доступной среды в Ивановской области.</w:t>
      </w:r>
      <w:r>
        <w:rPr>
          <w:rFonts w:ascii="Times New Roman" w:hAnsi="Times New Roman"/>
          <w:sz w:val="28"/>
          <w:szCs w:val="28"/>
        </w:rPr>
      </w:r>
      <w:r>
        <w:rPr>
          <w:rFonts w:ascii="Times New Roman" w:hAnsi="Times New Roman"/>
          <w:sz w:val="28"/>
          <w:szCs w:val="28"/>
        </w:rPr>
      </w:r>
    </w:p>
    <w:p>
      <w:pPr>
        <w:ind w:firstLine="709"/>
        <w:jc w:val="both"/>
        <w:spacing w:after="0"/>
        <w:rPr>
          <w:rFonts w:ascii="Times New Roman" w:hAnsi="Times New Roman"/>
          <w:sz w:val="28"/>
          <w:szCs w:val="28"/>
        </w:rPr>
      </w:pPr>
      <w:r>
        <w:rPr>
          <w:rFonts w:ascii="Times New Roman" w:hAnsi="Times New Roman"/>
          <w:sz w:val="28"/>
          <w:szCs w:val="28"/>
        </w:rPr>
        <w:t xml:space="preserve">Доступная среда для инвалидов - это комплекс условий, позволяющий людям с инвал</w:t>
      </w:r>
      <w:r>
        <w:rPr>
          <w:rFonts w:ascii="Times New Roman" w:hAnsi="Times New Roman"/>
          <w:sz w:val="28"/>
          <w:szCs w:val="28"/>
        </w:rPr>
        <w:t xml:space="preserve">идностью вести независимый образ жизни и полноценно участвовать во всех сферах общества: беспрепятственно получать образование, медицинскую помощь, пользоваться транспортом, посещать учреждения культуры, работать и отдыхать. Она помогает повысить качество </w:t>
      </w:r>
      <w:r>
        <w:rPr>
          <w:rFonts w:ascii="Times New Roman" w:hAnsi="Times New Roman"/>
          <w:sz w:val="28"/>
          <w:szCs w:val="28"/>
        </w:rPr>
        <w:t xml:space="preserve">жизни инвалидов, уменьшить стигматизацию и дискриминацию, а также способствует развитию чувства уважения и толерантности в обществе.</w:t>
      </w:r>
      <w:r>
        <w:rPr>
          <w:rFonts w:ascii="Times New Roman" w:hAnsi="Times New Roman"/>
          <w:sz w:val="28"/>
          <w:szCs w:val="28"/>
        </w:rPr>
      </w:r>
      <w:r>
        <w:rPr>
          <w:rFonts w:ascii="Times New Roman" w:hAnsi="Times New Roman"/>
          <w:sz w:val="28"/>
          <w:szCs w:val="28"/>
        </w:rPr>
      </w:r>
    </w:p>
    <w:p>
      <w:pPr>
        <w:ind w:firstLine="709"/>
        <w:jc w:val="both"/>
        <w:spacing w:after="0"/>
      </w:pPr>
      <w:r>
        <w:rPr>
          <w:rFonts w:ascii="Times New Roman" w:hAnsi="Times New Roman"/>
          <w:sz w:val="28"/>
          <w:szCs w:val="28"/>
        </w:rPr>
        <w:t xml:space="preserve">Основываясь на результ</w:t>
      </w:r>
      <w:r>
        <w:rPr>
          <w:rFonts w:ascii="Times New Roman" w:hAnsi="Times New Roman"/>
          <w:sz w:val="28"/>
          <w:szCs w:val="28"/>
        </w:rPr>
        <w:t xml:space="preserve">атах работы с обращениями граждан, которые поступали в адрес Уполномоченного, а также на основе постоянного мониторинга средств массовой информации и общей ситуации в сфере обеспечения доступной среды для инвалидов, можно выделить несколько важных проблем.</w:t>
      </w:r>
      <w:r/>
    </w:p>
    <w:p>
      <w:pPr>
        <w:ind w:firstLine="709"/>
        <w:jc w:val="both"/>
        <w:spacing w:after="0"/>
      </w:pPr>
      <w:r>
        <w:rPr>
          <w:rFonts w:ascii="Times New Roman" w:hAnsi="Times New Roman"/>
          <w:sz w:val="28"/>
          <w:szCs w:val="28"/>
        </w:rPr>
        <w:t xml:space="preserve">Требования к обеспечению условий доступности для инвалидов жилых помещений и общего имущества в многоквартирном доме установлены постановлением Правительства РФ от 09.07.2016 № 649, утверд</w:t>
      </w:r>
      <w:r>
        <w:rPr>
          <w:rFonts w:ascii="Times New Roman" w:hAnsi="Times New Roman"/>
          <w:sz w:val="28"/>
          <w:szCs w:val="28"/>
        </w:rPr>
        <w:t xml:space="preserve">ившим Правила обеспечения условий доступности для инвалидов жилых помещений и общего имущества в многоквартирном доме. Документ устанавливает порядок обеспечения таких условий и требования по приспособлению жилых помещений с учетом потребностей инвалидов. </w:t>
      </w:r>
      <w:r/>
    </w:p>
    <w:p>
      <w:pPr>
        <w:ind w:firstLine="709"/>
        <w:jc w:val="both"/>
        <w:spacing w:after="0"/>
        <w:rPr>
          <w:rFonts w:ascii="Times New Roman" w:hAnsi="Times New Roman"/>
          <w:sz w:val="28"/>
          <w:szCs w:val="28"/>
        </w:rPr>
      </w:pPr>
      <w:r>
        <w:rPr>
          <w:rFonts w:ascii="Times New Roman" w:hAnsi="Times New Roman"/>
          <w:sz w:val="28"/>
          <w:szCs w:val="28"/>
        </w:rPr>
        <w:t xml:space="preserve">Несмотря на принятые  меры со стороны органов власти в обеспечении доступной среды рассматриваемой категории граждан, актуальны</w:t>
      </w:r>
      <w:r>
        <w:rPr>
          <w:rFonts w:ascii="Times New Roman" w:hAnsi="Times New Roman"/>
          <w:sz w:val="28"/>
          <w:szCs w:val="28"/>
        </w:rPr>
        <w:t xml:space="preserve">м остается вопрос доступности для инвалидов жилых помещений и общего имущества в многоквартирном доме.  Многие из них продолжают сталкиваться с проблемами из-за отсутствия необходимой инфраструктуры и доступной среды в местах проживания, особенно в многокв</w:t>
      </w:r>
      <w:r>
        <w:rPr>
          <w:rFonts w:ascii="Times New Roman" w:hAnsi="Times New Roman"/>
          <w:sz w:val="28"/>
          <w:szCs w:val="28"/>
        </w:rPr>
        <w:t xml:space="preserve">артирных жилых домах. Значительная часть жилого фонда не отвечает потребностям в первую очередь инвалидов-колясочников. У большинства таких граждан отсутствуют условия доступной среды в жилье, а у остальных имеется лишь условная либо частичная доступность.</w:t>
      </w:r>
      <w:r>
        <w:rPr>
          <w:rFonts w:ascii="Times New Roman" w:hAnsi="Times New Roman"/>
          <w:sz w:val="28"/>
          <w:szCs w:val="28"/>
        </w:rPr>
      </w:r>
      <w:r>
        <w:rPr>
          <w:rFonts w:ascii="Times New Roman" w:hAnsi="Times New Roman"/>
          <w:sz w:val="28"/>
          <w:szCs w:val="28"/>
        </w:rPr>
      </w:r>
    </w:p>
    <w:p>
      <w:pPr>
        <w:ind w:firstLine="709"/>
        <w:jc w:val="both"/>
        <w:spacing w:after="0"/>
        <w:rPr>
          <w:bCs/>
          <w:i/>
        </w:rPr>
      </w:pPr>
      <w:r>
        <w:rPr>
          <w:rFonts w:ascii="Times New Roman" w:hAnsi="Times New Roman"/>
          <w:i/>
          <w:iCs/>
          <w:sz w:val="28"/>
          <w:szCs w:val="28"/>
        </w:rPr>
        <w:t xml:space="preserve">Благодаря вмешательству прокуратуры Октябрьского района               </w:t>
      </w:r>
      <w:r>
        <w:rPr>
          <w:rFonts w:ascii="Times New Roman" w:hAnsi="Times New Roman"/>
          <w:i/>
          <w:iCs/>
          <w:sz w:val="28"/>
          <w:szCs w:val="28"/>
        </w:rPr>
        <w:t xml:space="preserve">г</w:t>
      </w:r>
      <w:r>
        <w:rPr>
          <w:rFonts w:ascii="Times New Roman" w:hAnsi="Times New Roman"/>
          <w:i/>
          <w:iCs/>
          <w:sz w:val="28"/>
          <w:szCs w:val="28"/>
        </w:rPr>
        <w:t xml:space="preserve">. Иваново восстановлены права участника специальной военной операции на доступную среду.</w:t>
      </w:r>
      <w:r>
        <w:rPr>
          <w:bCs/>
          <w:i/>
        </w:rPr>
      </w:r>
      <w:r>
        <w:rPr>
          <w:bCs/>
          <w:i/>
        </w:rPr>
      </w:r>
    </w:p>
    <w:p>
      <w:pPr>
        <w:ind w:firstLine="709"/>
        <w:jc w:val="both"/>
        <w:spacing w:after="0"/>
        <w:rPr>
          <w:bCs/>
          <w:i/>
        </w:rPr>
      </w:pPr>
      <w:r>
        <w:rPr>
          <w:rFonts w:ascii="Times New Roman" w:hAnsi="Times New Roman"/>
          <w:i/>
          <w:iCs/>
          <w:sz w:val="28"/>
          <w:szCs w:val="28"/>
        </w:rPr>
        <w:t xml:space="preserve">В ходе проверки установлено, что в п</w:t>
      </w:r>
      <w:r>
        <w:rPr>
          <w:rFonts w:ascii="Times New Roman" w:hAnsi="Times New Roman"/>
          <w:i/>
          <w:iCs/>
          <w:sz w:val="28"/>
          <w:szCs w:val="28"/>
        </w:rPr>
        <w:t xml:space="preserve">одъезде многоквартирного дома, в котором проживает участник специальной военной операции, отсутствовал пандус, что создавало препятствия для свободного перемещения, прогулок, посещения учреждений здравоохранения лицу с ограниченными возможностями здоровья.</w:t>
      </w:r>
      <w:r>
        <w:rPr>
          <w:bCs/>
          <w:i/>
        </w:rPr>
      </w:r>
      <w:r>
        <w:rPr>
          <w:bCs/>
          <w:i/>
        </w:rPr>
      </w:r>
    </w:p>
    <w:p>
      <w:pPr>
        <w:ind w:firstLine="709"/>
        <w:jc w:val="both"/>
        <w:spacing w:after="0"/>
        <w:rPr>
          <w:rFonts w:ascii="Times New Roman" w:hAnsi="Times New Roman"/>
          <w:bCs/>
          <w:i/>
          <w:sz w:val="28"/>
          <w:szCs w:val="28"/>
        </w:rPr>
      </w:pPr>
      <w:r>
        <w:rPr>
          <w:rFonts w:ascii="Times New Roman" w:hAnsi="Times New Roman"/>
          <w:i/>
          <w:iCs/>
          <w:sz w:val="28"/>
          <w:szCs w:val="28"/>
        </w:rPr>
        <w:t xml:space="preserve">Несмотря на это, управляющей организацией мер к приведению в соответствие входных групп в многоквартирный дом и доступности объекта жилищной инфраструктуры для </w:t>
      </w:r>
      <w:r>
        <w:rPr>
          <w:rFonts w:ascii="Times New Roman" w:hAnsi="Times New Roman"/>
          <w:i/>
          <w:iCs/>
          <w:sz w:val="28"/>
          <w:szCs w:val="28"/>
        </w:rPr>
        <w:t xml:space="preserve">маломобильных</w:t>
      </w:r>
      <w:r>
        <w:rPr>
          <w:rFonts w:ascii="Times New Roman" w:hAnsi="Times New Roman"/>
          <w:i/>
          <w:iCs/>
          <w:sz w:val="28"/>
          <w:szCs w:val="28"/>
        </w:rPr>
        <w:t xml:space="preserve"> групп населения не принималось. В связи с этим прокуратурой района 23.07.2025 директору управляющей организац</w:t>
      </w:r>
      <w:r>
        <w:rPr>
          <w:rFonts w:ascii="Times New Roman" w:hAnsi="Times New Roman"/>
          <w:i/>
          <w:iCs/>
          <w:sz w:val="28"/>
          <w:szCs w:val="28"/>
        </w:rPr>
        <w:t xml:space="preserve">ии ООО</w:t>
      </w:r>
      <w:r>
        <w:rPr>
          <w:rFonts w:ascii="Times New Roman" w:hAnsi="Times New Roman"/>
          <w:i/>
          <w:iCs/>
          <w:sz w:val="28"/>
          <w:szCs w:val="28"/>
        </w:rPr>
        <w:t xml:space="preserve"> «Гарант-Сервис» внесено представление, после вмешательства надзорного ведомства подъезд дома оборудован пандусом.</w:t>
      </w:r>
      <w:r>
        <w:rPr>
          <w:rFonts w:ascii="Times New Roman" w:hAnsi="Times New Roman"/>
          <w:bCs/>
          <w:i/>
          <w:sz w:val="28"/>
          <w:szCs w:val="28"/>
        </w:rPr>
      </w:r>
      <w:r>
        <w:rPr>
          <w:rFonts w:ascii="Times New Roman" w:hAnsi="Times New Roman"/>
          <w:bCs/>
          <w:i/>
          <w:sz w:val="28"/>
          <w:szCs w:val="28"/>
        </w:rPr>
      </w:r>
    </w:p>
    <w:p>
      <w:pPr>
        <w:ind w:firstLine="709"/>
        <w:jc w:val="both"/>
        <w:spacing w:after="0"/>
      </w:pPr>
      <w:r>
        <w:rPr>
          <w:rFonts w:ascii="Times New Roman" w:hAnsi="Times New Roman"/>
          <w:sz w:val="28"/>
          <w:szCs w:val="28"/>
        </w:rPr>
        <w:t xml:space="preserve">Таким образом, следует признать, что на сегодняшний день вопрос беспрепятственного доступа инвалидов к жилым помещениям и общему имуществу многоквартирного дома по-прежнему остается одной из болезненных тем.</w:t>
      </w:r>
      <w:r/>
    </w:p>
    <w:p>
      <w:pPr>
        <w:ind w:firstLine="709"/>
        <w:jc w:val="both"/>
        <w:spacing w:after="0"/>
      </w:pPr>
      <w:r>
        <w:rPr>
          <w:rFonts w:ascii="Times New Roman" w:hAnsi="Times New Roman"/>
          <w:sz w:val="28"/>
          <w:szCs w:val="28"/>
        </w:rPr>
        <w:t xml:space="preserve">К некоторым препятствиям на пути к обеспечению доступности можно назвать:</w:t>
      </w:r>
      <w:r/>
    </w:p>
    <w:p>
      <w:pPr>
        <w:pStyle w:val="1227"/>
        <w:numPr>
          <w:ilvl w:val="0"/>
          <w:numId w:val="136"/>
        </w:numPr>
        <w:ind w:left="0" w:firstLine="709"/>
        <w:jc w:val="both"/>
        <w:spacing w:line="276" w:lineRule="auto"/>
        <w:rPr>
          <w:lang w:val="ru-RU"/>
        </w:rPr>
      </w:pPr>
      <w:r>
        <w:rPr>
          <w:rFonts w:ascii="Times New Roman" w:hAnsi="Times New Roman"/>
          <w:sz w:val="28"/>
          <w:szCs w:val="28"/>
          <w:lang w:val="ru-RU"/>
        </w:rPr>
        <w:t xml:space="preserve">необходимость </w:t>
      </w:r>
      <w:r>
        <w:rPr>
          <w:rFonts w:ascii="Times New Roman" w:hAnsi="Times New Roman"/>
          <w:sz w:val="28"/>
          <w:szCs w:val="28"/>
          <w:lang w:val="ru-RU"/>
        </w:rPr>
        <w:t xml:space="preserve">получения согласия собственников жилых помещений многоквартирного дома</w:t>
      </w:r>
      <w:r>
        <w:rPr>
          <w:rFonts w:ascii="Times New Roman" w:hAnsi="Times New Roman"/>
          <w:sz w:val="28"/>
          <w:szCs w:val="28"/>
          <w:lang w:val="ru-RU"/>
        </w:rPr>
        <w:t xml:space="preserve"> на установку и передачу в состав общего имущества специальных приспособлений;</w:t>
      </w:r>
      <w:r>
        <w:rPr>
          <w:lang w:val="ru-RU"/>
        </w:rPr>
      </w:r>
      <w:r>
        <w:rPr>
          <w:lang w:val="ru-RU"/>
        </w:rPr>
      </w:r>
    </w:p>
    <w:p>
      <w:pPr>
        <w:pStyle w:val="1227"/>
        <w:numPr>
          <w:ilvl w:val="0"/>
          <w:numId w:val="136"/>
        </w:numPr>
        <w:ind w:left="0" w:firstLine="709"/>
        <w:jc w:val="both"/>
        <w:spacing w:line="276" w:lineRule="auto"/>
        <w:rPr>
          <w:lang w:val="ru-RU"/>
        </w:rPr>
      </w:pPr>
      <w:r>
        <w:rPr>
          <w:rFonts w:ascii="Times New Roman" w:hAnsi="Times New Roman"/>
          <w:sz w:val="28"/>
          <w:szCs w:val="28"/>
          <w:lang w:val="ru-RU"/>
        </w:rPr>
        <w:t xml:space="preserve">отсутствие правового механизма, регулирующего вопросы технического обслуживания и содержания такого оборудования;</w:t>
      </w:r>
      <w:r>
        <w:rPr>
          <w:lang w:val="ru-RU"/>
        </w:rPr>
      </w:r>
      <w:r>
        <w:rPr>
          <w:lang w:val="ru-RU"/>
        </w:rPr>
      </w:r>
    </w:p>
    <w:p>
      <w:pPr>
        <w:pStyle w:val="1227"/>
        <w:numPr>
          <w:ilvl w:val="0"/>
          <w:numId w:val="136"/>
        </w:numPr>
        <w:ind w:left="0" w:firstLine="709"/>
        <w:jc w:val="both"/>
        <w:spacing w:line="276" w:lineRule="auto"/>
        <w:rPr>
          <w:lang w:val="ru-RU"/>
        </w:rPr>
      </w:pPr>
      <w:r>
        <w:rPr>
          <w:rFonts w:ascii="Times New Roman" w:hAnsi="Times New Roman"/>
          <w:sz w:val="28"/>
          <w:szCs w:val="28"/>
          <w:lang w:val="ru-RU"/>
        </w:rPr>
        <w:t xml:space="preserve">проблемы финансового характера, когда региональные органы исполнительной власти и органы местного самоуправления не финансируют мероприятия по приспособлению жилых помещений и общего имущества;</w:t>
      </w:r>
      <w:r>
        <w:rPr>
          <w:lang w:val="ru-RU"/>
        </w:rPr>
      </w:r>
      <w:r>
        <w:rPr>
          <w:lang w:val="ru-RU"/>
        </w:rPr>
      </w:r>
    </w:p>
    <w:p>
      <w:pPr>
        <w:pStyle w:val="1227"/>
        <w:numPr>
          <w:ilvl w:val="0"/>
          <w:numId w:val="136"/>
        </w:numPr>
        <w:ind w:left="0" w:firstLine="709"/>
        <w:jc w:val="both"/>
        <w:spacing w:line="276" w:lineRule="auto"/>
        <w:rPr>
          <w:lang w:val="ru-RU"/>
        </w:rPr>
      </w:pPr>
      <w:r>
        <w:rPr>
          <w:rFonts w:ascii="Times New Roman" w:hAnsi="Times New Roman"/>
          <w:sz w:val="28"/>
          <w:szCs w:val="28"/>
          <w:lang w:val="ru-RU"/>
        </w:rPr>
        <w:t xml:space="preserve">необходимость признания инвалида малоимущим для предоставления ему жилого помещения взамен признанного непригодным для проживания инвалида;</w:t>
      </w:r>
      <w:r>
        <w:rPr>
          <w:lang w:val="ru-RU"/>
        </w:rPr>
      </w:r>
      <w:r>
        <w:rPr>
          <w:lang w:val="ru-RU"/>
        </w:rPr>
      </w:r>
    </w:p>
    <w:p>
      <w:pPr>
        <w:pStyle w:val="1227"/>
        <w:numPr>
          <w:ilvl w:val="0"/>
          <w:numId w:val="136"/>
        </w:numPr>
        <w:ind w:left="0" w:firstLine="709"/>
        <w:jc w:val="both"/>
        <w:spacing w:line="276" w:lineRule="auto"/>
        <w:rPr>
          <w:lang w:val="ru-RU"/>
        </w:rPr>
      </w:pPr>
      <w:r>
        <w:rPr>
          <w:rFonts w:ascii="Times New Roman" w:hAnsi="Times New Roman"/>
          <w:sz w:val="28"/>
          <w:szCs w:val="28"/>
          <w:lang w:val="ru-RU"/>
        </w:rPr>
        <w:t xml:space="preserve">межведомственная разобщенность при реализации рекомендаций, содержащихся в индивидуальной программе реабилитации или </w:t>
      </w:r>
      <w:r>
        <w:rPr>
          <w:rFonts w:ascii="Times New Roman" w:hAnsi="Times New Roman"/>
          <w:sz w:val="28"/>
          <w:szCs w:val="28"/>
          <w:lang w:val="ru-RU"/>
        </w:rPr>
        <w:t xml:space="preserve">абилитации</w:t>
      </w:r>
      <w:r>
        <w:rPr>
          <w:rFonts w:ascii="Times New Roman" w:hAnsi="Times New Roman"/>
          <w:sz w:val="28"/>
          <w:szCs w:val="28"/>
          <w:lang w:val="ru-RU"/>
        </w:rPr>
        <w:t xml:space="preserve"> инвалида, по оборудованию жилого помещения специальными средствами и приспособлениями;</w:t>
      </w:r>
      <w:r>
        <w:rPr>
          <w:lang w:val="ru-RU"/>
        </w:rPr>
      </w:r>
      <w:r>
        <w:rPr>
          <w:lang w:val="ru-RU"/>
        </w:rPr>
      </w:r>
    </w:p>
    <w:p>
      <w:pPr>
        <w:pStyle w:val="1227"/>
        <w:numPr>
          <w:ilvl w:val="0"/>
          <w:numId w:val="136"/>
        </w:numPr>
        <w:ind w:left="0" w:firstLine="709"/>
        <w:jc w:val="both"/>
        <w:spacing w:line="276" w:lineRule="auto"/>
        <w:rPr>
          <w:rFonts w:ascii="Times New Roman" w:hAnsi="Times New Roman"/>
          <w:sz w:val="28"/>
          <w:szCs w:val="28"/>
          <w:lang w:val="ru-RU"/>
        </w:rPr>
      </w:pPr>
      <w:r>
        <w:rPr>
          <w:rFonts w:ascii="Times New Roman" w:hAnsi="Times New Roman"/>
          <w:sz w:val="28"/>
          <w:szCs w:val="28"/>
          <w:lang w:val="ru-RU"/>
        </w:rPr>
        <w:t xml:space="preserve">низкий уровень информированности граждан, имеющих инвалидность, о возможностях и механизмах адаптации жилого помещения и общего имущества в многоквартирном доме с учетом их потребностей.</w:t>
      </w:r>
      <w:r>
        <w:rPr>
          <w:rFonts w:ascii="Times New Roman" w:hAnsi="Times New Roman"/>
          <w:sz w:val="28"/>
          <w:szCs w:val="28"/>
          <w:lang w:val="ru-RU"/>
        </w:rPr>
      </w:r>
      <w:r>
        <w:rPr>
          <w:rFonts w:ascii="Times New Roman" w:hAnsi="Times New Roman"/>
          <w:sz w:val="28"/>
          <w:szCs w:val="28"/>
          <w:lang w:val="ru-RU"/>
        </w:rPr>
      </w:r>
    </w:p>
    <w:p>
      <w:pPr>
        <w:ind w:firstLine="709"/>
        <w:jc w:val="both"/>
        <w:spacing w:after="0"/>
      </w:pPr>
      <w:r>
        <w:rPr>
          <w:rFonts w:ascii="Times New Roman" w:hAnsi="Times New Roman"/>
          <w:sz w:val="28"/>
          <w:szCs w:val="28"/>
        </w:rPr>
        <w:t xml:space="preserve">Анализ корреспонденции, поступающей в правозащитную службу, выявляет ряд существенных проблем в сфере адаптации инвалидов.</w:t>
      </w:r>
      <w:r/>
    </w:p>
    <w:p>
      <w:pPr>
        <w:ind w:firstLine="709"/>
        <w:jc w:val="both"/>
        <w:spacing w:after="0"/>
      </w:pPr>
      <w:r>
        <w:rPr>
          <w:rFonts w:ascii="Times New Roman" w:hAnsi="Times New Roman"/>
          <w:sz w:val="28"/>
          <w:szCs w:val="28"/>
        </w:rPr>
        <w:t xml:space="preserve">Прежде </w:t>
      </w:r>
      <w:r>
        <w:rPr>
          <w:rFonts w:ascii="Times New Roman" w:hAnsi="Times New Roman"/>
          <w:sz w:val="28"/>
          <w:szCs w:val="28"/>
        </w:rPr>
        <w:t xml:space="preserve">всего</w:t>
      </w:r>
      <w:r>
        <w:rPr>
          <w:rFonts w:ascii="Times New Roman" w:hAnsi="Times New Roman"/>
          <w:sz w:val="28"/>
          <w:szCs w:val="28"/>
        </w:rPr>
        <w:t xml:space="preserve"> это недостаточное развитие </w:t>
      </w:r>
      <w:r>
        <w:rPr>
          <w:rFonts w:ascii="Times New Roman" w:hAnsi="Times New Roman"/>
          <w:sz w:val="28"/>
          <w:szCs w:val="28"/>
        </w:rPr>
        <w:t xml:space="preserve">безбарьерной</w:t>
      </w:r>
      <w:r>
        <w:rPr>
          <w:rFonts w:ascii="Times New Roman" w:hAnsi="Times New Roman"/>
          <w:sz w:val="28"/>
          <w:szCs w:val="28"/>
        </w:rPr>
        <w:t xml:space="preserve"> среды: соответствую</w:t>
      </w:r>
      <w:r>
        <w:rPr>
          <w:rFonts w:ascii="Times New Roman" w:hAnsi="Times New Roman"/>
          <w:sz w:val="28"/>
          <w:szCs w:val="28"/>
        </w:rPr>
        <w:t xml:space="preserve">щие условия созданы далеко не повсеместно. В обращениях граждане указывают на отсутствие пандусов и подъемных платформ в жилых домах, социальных учреждениях и на объектах инфраструктуры. Отмечаются проблемы с доступностью общественного транспорта, отсутств</w:t>
      </w:r>
      <w:r>
        <w:rPr>
          <w:rFonts w:ascii="Times New Roman" w:hAnsi="Times New Roman"/>
          <w:sz w:val="28"/>
          <w:szCs w:val="28"/>
        </w:rPr>
        <w:t xml:space="preserve">ием тактильной разметки для слабовидящих, а также с обустройством парковочных мест для инвалидов. Эти барьеры существенно ограничивают мобильность и самостоятельность людей с ограниченными возможностями здоровья, затрудняют их участие в общественной жизни.</w:t>
      </w:r>
      <w:r/>
    </w:p>
    <w:p>
      <w:pPr>
        <w:ind w:firstLine="709"/>
        <w:jc w:val="both"/>
        <w:spacing w:after="0"/>
      </w:pPr>
      <w:r>
        <w:rPr>
          <w:rFonts w:ascii="Times New Roman" w:hAnsi="Times New Roman"/>
          <w:sz w:val="28"/>
          <w:szCs w:val="28"/>
        </w:rPr>
        <w:t xml:space="preserve">Отдельная категория об</w:t>
      </w:r>
      <w:r>
        <w:rPr>
          <w:rFonts w:ascii="Times New Roman" w:hAnsi="Times New Roman"/>
          <w:sz w:val="28"/>
          <w:szCs w:val="28"/>
        </w:rPr>
        <w:t xml:space="preserve">ращений касается содействия в устройстве в интернаты одиноко проживающих и неспособных обеспечить себе уход лиц с ограниченными возможностями здоровья. Такие запросы поступают как от родственников инвалидов, так и от иных граждан - соседей, представителей </w:t>
      </w:r>
      <w:r>
        <w:rPr>
          <w:rFonts w:ascii="Times New Roman" w:hAnsi="Times New Roman"/>
          <w:sz w:val="28"/>
          <w:szCs w:val="28"/>
        </w:rPr>
        <w:t xml:space="preserve">общественных организаций, сотрудников медицинских учреждений. Заявители описывают ситуации, когда пожилой человек с инвалидностью остается без необходимой помощи, не может выполнять базовые </w:t>
      </w:r>
      <w:r>
        <w:rPr>
          <w:rFonts w:ascii="Times New Roman" w:hAnsi="Times New Roman"/>
          <w:sz w:val="28"/>
          <w:szCs w:val="28"/>
        </w:rPr>
        <w:t xml:space="preserve">бытовые действия и нуждается в постоянном уходе. В этих случаях оперативно налажено взаимодействие с органами социальной защиты, которые оценивают ситу</w:t>
      </w:r>
      <w:r>
        <w:rPr>
          <w:rFonts w:ascii="Times New Roman" w:hAnsi="Times New Roman"/>
          <w:sz w:val="28"/>
          <w:szCs w:val="28"/>
        </w:rPr>
        <w:t xml:space="preserve">ацию, помогают оформить необходимые документы и содействуют размещению в специализированном учреждении. Неоднократно заявители выражали слова признательности сотрудникам областного и территориального ведомств за возможность получения действенной поддержки.</w:t>
      </w:r>
      <w:r/>
    </w:p>
    <w:p>
      <w:pPr>
        <w:ind w:firstLine="709"/>
        <w:jc w:val="both"/>
        <w:spacing w:after="0"/>
      </w:pPr>
      <w:r>
        <w:rPr>
          <w:rFonts w:ascii="Times New Roman" w:hAnsi="Times New Roman"/>
          <w:sz w:val="28"/>
          <w:szCs w:val="28"/>
        </w:rPr>
        <w:t xml:space="preserve">Не менее </w:t>
      </w:r>
      <w:r>
        <w:rPr>
          <w:rFonts w:ascii="Times New Roman" w:hAnsi="Times New Roman"/>
          <w:sz w:val="28"/>
          <w:szCs w:val="28"/>
        </w:rPr>
        <w:t xml:space="preserve">актуальной остается потребность в оказании социальных услуг на дому. Граждане обращаются с просьбами организовать помощь в бытовых вопросах: покупке продуктов и лекарств, приготовлении пищи, проведении гигиенических процедур, уборке жилья. Особенно остро э</w:t>
      </w:r>
      <w:r>
        <w:rPr>
          <w:rFonts w:ascii="Times New Roman" w:hAnsi="Times New Roman"/>
          <w:sz w:val="28"/>
          <w:szCs w:val="28"/>
        </w:rPr>
        <w:t xml:space="preserve">та проблема стоит для людей с тяжелыми формами инвалидности, которые практически не покидают место проживания. Органы соцзащиты по запросу омбудсмена подключаются к решению таких ситуаций, помогая наладить регулярную поддержку силами социальных работников.</w:t>
      </w:r>
      <w:r/>
    </w:p>
    <w:p>
      <w:pPr>
        <w:ind w:firstLine="709"/>
        <w:jc w:val="both"/>
        <w:spacing w:after="0"/>
        <w:rPr>
          <w:rFonts w:ascii="Times New Roman" w:hAnsi="Times New Roman"/>
          <w:sz w:val="28"/>
          <w:szCs w:val="28"/>
        </w:rPr>
      </w:pPr>
      <w:r>
        <w:rPr>
          <w:rFonts w:ascii="Times New Roman" w:hAnsi="Times New Roman"/>
          <w:sz w:val="28"/>
          <w:szCs w:val="28"/>
        </w:rPr>
        <w:t xml:space="preserve">Наконец, значительный блок обращений связан с вопросами обеспечения инвалидов техническими средствами реабилитации (ТСР). Заявители сталкиваются с задержками в предоставлении ТСР, сложностями при оформлении индивидуальной программы реабилитации или </w:t>
      </w:r>
      <w:r>
        <w:rPr>
          <w:rFonts w:ascii="Times New Roman" w:hAnsi="Times New Roman"/>
          <w:sz w:val="28"/>
          <w:szCs w:val="28"/>
        </w:rPr>
        <w:t xml:space="preserve">абилитации</w:t>
      </w:r>
      <w:r>
        <w:rPr>
          <w:rFonts w:ascii="Times New Roman" w:hAnsi="Times New Roman"/>
          <w:sz w:val="28"/>
          <w:szCs w:val="28"/>
        </w:rPr>
        <w:t xml:space="preserve"> (ИПРА), нехваткой определенных видов изделий в региональных перечнях. Часто поднимаются вопросы замены изношенных или вышедших из строя средств, а также обеспече</w:t>
      </w:r>
      <w:r>
        <w:rPr>
          <w:rFonts w:ascii="Times New Roman" w:hAnsi="Times New Roman"/>
          <w:sz w:val="28"/>
          <w:szCs w:val="28"/>
        </w:rPr>
        <w:t xml:space="preserve">ния нестандартными или высокотехнологичными изделиями, не включенными в федеральный перечень. Омбудсмен берет такие случаи на контроль, направляя запросы в профильные ведомства для оперативного разрешения конкретных ситуаций и устранения системных проблем.</w:t>
      </w:r>
      <w:r>
        <w:rPr>
          <w:rFonts w:ascii="Times New Roman" w:hAnsi="Times New Roman"/>
          <w:sz w:val="28"/>
          <w:szCs w:val="28"/>
        </w:rPr>
      </w:r>
      <w:r>
        <w:rPr>
          <w:rFonts w:ascii="Times New Roman" w:hAnsi="Times New Roman"/>
          <w:sz w:val="28"/>
          <w:szCs w:val="28"/>
        </w:rPr>
      </w:r>
    </w:p>
    <w:p>
      <w:pPr>
        <w:pStyle w:val="1253"/>
        <w:ind w:firstLine="709"/>
        <w:jc w:val="both"/>
        <w:spacing w:line="276" w:lineRule="auto"/>
        <w:rPr>
          <w:rFonts w:eastAsia="Calibri"/>
          <w:sz w:val="28"/>
          <w:szCs w:val="28"/>
        </w:rPr>
      </w:pPr>
      <w:r>
        <w:rPr>
          <w:rFonts w:eastAsia="Calibri"/>
          <w:bCs/>
          <w:sz w:val="28"/>
          <w:szCs w:val="28"/>
        </w:rPr>
        <w:t xml:space="preserve">Поступают также обращения по вопросам обеспечения инвалидов техническими средствами реабилитации (ТСР). Омбудсмен взаимодействует с профильными ведомствами для разрешения таких ситуаций.</w:t>
      </w:r>
      <w:r>
        <w:rPr>
          <w:rFonts w:eastAsia="Calibri"/>
          <w:sz w:val="28"/>
          <w:szCs w:val="28"/>
        </w:rPr>
      </w:r>
      <w:r>
        <w:rPr>
          <w:rFonts w:eastAsia="Calibri"/>
          <w:sz w:val="28"/>
          <w:szCs w:val="28"/>
        </w:rPr>
      </w:r>
    </w:p>
    <w:p>
      <w:pPr>
        <w:pStyle w:val="1253"/>
        <w:ind w:firstLine="709"/>
        <w:jc w:val="both"/>
        <w:spacing w:line="276" w:lineRule="auto"/>
        <w:rPr>
          <w:rFonts w:eastAsia="Calibri"/>
          <w:bCs/>
          <w:i/>
          <w:sz w:val="28"/>
          <w:szCs w:val="28"/>
        </w:rPr>
      </w:pPr>
      <w:r>
        <w:rPr>
          <w:rFonts w:eastAsia="Calibri"/>
          <w:i/>
          <w:iCs/>
          <w:sz w:val="28"/>
          <w:szCs w:val="28"/>
        </w:rPr>
        <w:t xml:space="preserve">По результатам надзорных мероприятий в работе ОСФР по Ивановской области выявлены многочисленные факты несвоевременного размещения извещений о проведении закупок ТСР, нарушения сроков выдачи инвалидам направлений на получен</w:t>
      </w:r>
      <w:r>
        <w:rPr>
          <w:rFonts w:eastAsia="Calibri"/>
          <w:i/>
          <w:iCs/>
          <w:sz w:val="28"/>
          <w:szCs w:val="28"/>
        </w:rPr>
        <w:t xml:space="preserve">ие средств реабилитации, отсутствия персонального сопровождения участников СВО. В связи с выявленными нарушениями управляющему ОСФР по Ивановской области надзорным ведомством внесено представление, которое рассмотрено и удовлетворено, нарушения устранены. </w:t>
      </w:r>
      <w:r>
        <w:rPr>
          <w:rFonts w:eastAsia="Calibri"/>
          <w:bCs/>
          <w:i/>
          <w:sz w:val="28"/>
          <w:szCs w:val="28"/>
        </w:rPr>
      </w:r>
      <w:r>
        <w:rPr>
          <w:rFonts w:eastAsia="Calibri"/>
          <w:bCs/>
          <w:i/>
          <w:sz w:val="28"/>
          <w:szCs w:val="28"/>
        </w:rPr>
      </w:r>
    </w:p>
    <w:p>
      <w:pPr>
        <w:pStyle w:val="1253"/>
        <w:ind w:firstLine="709"/>
        <w:jc w:val="both"/>
        <w:spacing w:line="276" w:lineRule="auto"/>
      </w:pPr>
      <w:r>
        <w:rPr>
          <w:rFonts w:eastAsia="Calibri"/>
          <w:sz w:val="28"/>
          <w:szCs w:val="28"/>
        </w:rPr>
        <w:t xml:space="preserve">Финансовое обеспечение расходных обязательств Российской Федерации, связанных с обеспечением инвалидов техническими средствами </w:t>
      </w:r>
      <w:r>
        <w:rPr>
          <w:rFonts w:eastAsia="Calibri"/>
          <w:sz w:val="28"/>
          <w:szCs w:val="28"/>
        </w:rPr>
        <w:t xml:space="preserve">реабилитации, осуществляется за счет средств, предусмотренных в федеральном бюджете на соответствующий год. Обеспечение инвалидов техническими средствами реабилитации производится в рамках бюджетных ассигнований, доведенных О</w:t>
      </w:r>
      <w:r>
        <w:rPr>
          <w:rFonts w:eastAsia="Calibri"/>
          <w:sz w:val="28"/>
          <w:szCs w:val="28"/>
        </w:rPr>
        <w:t xml:space="preserve">тделению Фонда. В целях обеспечения инвалидов техническими средствами реабилитации лимиты бюджетных обязательств доводятся Отделению Фонда в рамках исполнения Государственной программы Российской Федерации «Доступная среда» по статье расходов «Обеспечение </w:t>
      </w:r>
      <w:r>
        <w:rPr>
          <w:rFonts w:eastAsia="Calibri"/>
          <w:sz w:val="28"/>
          <w:szCs w:val="28"/>
        </w:rPr>
        <w:t xml:space="preserve">инвалидов</w:t>
      </w:r>
      <w:r>
        <w:rPr>
          <w:rFonts w:eastAsia="Calibri"/>
          <w:sz w:val="28"/>
          <w:szCs w:val="28"/>
        </w:rPr>
        <w:t xml:space="preserve"> техническими средствами реабилитации, включая изготовление и ремонт протезно-ортопедических изделий».</w:t>
      </w:r>
      <w:r/>
    </w:p>
    <w:p>
      <w:pPr>
        <w:pStyle w:val="1253"/>
        <w:ind w:firstLine="709"/>
        <w:jc w:val="both"/>
        <w:spacing w:line="276" w:lineRule="auto"/>
      </w:pPr>
      <w:r>
        <w:rPr>
          <w:rFonts w:eastAsia="Calibri"/>
          <w:sz w:val="28"/>
          <w:szCs w:val="28"/>
        </w:rPr>
        <w:t xml:space="preserve">По информации ОСФР по Ивановской области в 2025 году Отделению Фонда на обеспечение инвалидов ТСР было доведено 687 414,2 тыс. руб., что на 40 % превысило объем ассигнований, выделенных Отделению на обеспечение инвалидов ТСР в 2024 году. </w:t>
      </w:r>
      <w:r/>
    </w:p>
    <w:p>
      <w:pPr>
        <w:pStyle w:val="1253"/>
        <w:ind w:firstLine="709"/>
        <w:jc w:val="both"/>
        <w:spacing w:line="276" w:lineRule="auto"/>
      </w:pPr>
      <w:r>
        <w:rPr>
          <w:rFonts w:eastAsia="Calibri"/>
          <w:sz w:val="28"/>
          <w:szCs w:val="28"/>
        </w:rPr>
        <w:t xml:space="preserve">Данные средства были направлены на заключение 94 государственны</w:t>
      </w:r>
      <w:r>
        <w:rPr>
          <w:rFonts w:eastAsia="Calibri"/>
          <w:sz w:val="28"/>
          <w:szCs w:val="28"/>
        </w:rPr>
        <w:t xml:space="preserve">х контрактов на выдачу (изготовление) технических средств реабилитации, на выплату компенсации за самостоятельно приобретенные инвалидами технические средства реабилитации, а также на приобретение ТСР с использованием электронного сертификата (далее – ЭС).</w:t>
      </w:r>
      <w:r>
        <w:rPr>
          <w:rFonts w:eastAsia="Calibri"/>
          <w:sz w:val="28"/>
          <w:szCs w:val="28"/>
        </w:rPr>
        <w:t xml:space="preserve"> В рамках государственных контрактов было выдано 157 474 изделий на общую сумму 152 132,9 тыс. руб.</w:t>
      </w:r>
      <w:r/>
    </w:p>
    <w:p>
      <w:pPr>
        <w:pStyle w:val="1253"/>
        <w:ind w:firstLine="709"/>
        <w:jc w:val="both"/>
        <w:spacing w:line="276" w:lineRule="auto"/>
      </w:pPr>
      <w:r>
        <w:rPr>
          <w:rFonts w:eastAsia="Calibri"/>
          <w:sz w:val="28"/>
          <w:szCs w:val="28"/>
        </w:rPr>
        <w:t xml:space="preserve">Кроме этого, в прошлом году закупка некоторых видов ТСР (специальных средств при нарушениях функции выделения, абсорбирующего белья, сигнализаторов звука, детских опор для лежания, ползанья, стояния, сидения, ходунков и т.д.) осуществлялась Отдел</w:t>
      </w:r>
      <w:r>
        <w:rPr>
          <w:rFonts w:eastAsia="Calibri"/>
          <w:sz w:val="28"/>
          <w:szCs w:val="28"/>
        </w:rPr>
        <w:t xml:space="preserve">ением Фонда пенсионного и социального страхования Российской Федерации по Республике Башкортостан (далее – Центр компетенции) в соответствии с наделенными полномочиями по планированию и осуществлению закупок технических средств реабилитации для обеспечения</w:t>
      </w:r>
      <w:r>
        <w:rPr>
          <w:rFonts w:eastAsia="Calibri"/>
          <w:sz w:val="28"/>
          <w:szCs w:val="28"/>
        </w:rPr>
        <w:t xml:space="preserve"> инвалидов. При этом</w:t>
      </w:r>
      <w:r>
        <w:rPr>
          <w:rFonts w:eastAsia="Calibri"/>
          <w:sz w:val="28"/>
          <w:szCs w:val="28"/>
        </w:rPr>
        <w:t xml:space="preserve">,</w:t>
      </w:r>
      <w:r>
        <w:rPr>
          <w:rFonts w:eastAsia="Calibri"/>
          <w:sz w:val="28"/>
          <w:szCs w:val="28"/>
        </w:rPr>
        <w:t xml:space="preserve"> в соответствии с п. 1 р</w:t>
      </w:r>
      <w:r>
        <w:rPr>
          <w:rFonts w:eastAsia="Calibri"/>
          <w:sz w:val="28"/>
          <w:szCs w:val="28"/>
        </w:rPr>
        <w:t xml:space="preserve">аздела «Особые условия исполнения Государственного контракта» Приложения №1 к Государственным контрактам заказчик в ходе исполнения Контракта для исполнения обязательств привлекал отделения Фонда пенсионного и социального страхования Российской Федерации. </w:t>
      </w:r>
      <w:r/>
    </w:p>
    <w:p>
      <w:pPr>
        <w:pStyle w:val="1253"/>
        <w:ind w:firstLine="709"/>
        <w:jc w:val="both"/>
        <w:spacing w:line="276" w:lineRule="auto"/>
      </w:pPr>
      <w:r>
        <w:rPr>
          <w:rFonts w:eastAsia="Calibri"/>
          <w:sz w:val="28"/>
          <w:szCs w:val="28"/>
        </w:rPr>
        <w:t xml:space="preserve">Всего  за данный отчётный период Отделением Фонд</w:t>
      </w:r>
      <w:r>
        <w:rPr>
          <w:rFonts w:eastAsia="Calibri"/>
          <w:sz w:val="28"/>
          <w:szCs w:val="28"/>
        </w:rPr>
        <w:t xml:space="preserve">а осуществлялось сопровождение 37 контрактов, заключенных Центром компетенции с целью обеспечения инвалидов техническими средствами реабилитации. В рамках данных контрактов было выдано 3 510 229 изделий на общую сумму                    168106,1 тыс. руб. </w:t>
      </w:r>
      <w:r/>
    </w:p>
    <w:p>
      <w:pPr>
        <w:pStyle w:val="1253"/>
        <w:ind w:firstLine="709"/>
        <w:jc w:val="both"/>
        <w:spacing w:line="276" w:lineRule="auto"/>
      </w:pPr>
      <w:r>
        <w:rPr>
          <w:rFonts w:eastAsia="Calibri"/>
          <w:sz w:val="28"/>
          <w:szCs w:val="28"/>
        </w:rPr>
        <w:t xml:space="preserve">Кроме этого, в 2025 году было заключено 6 контрактов на сумму 2 471,2 тыс. руб. (количество ТСР к выдаче 897) с доставкой ТСР силами Отделения. Выдача изделий в рамках таких контрактов осуществлялась со</w:t>
      </w:r>
      <w:r>
        <w:rPr>
          <w:rFonts w:eastAsia="Calibri"/>
          <w:sz w:val="28"/>
          <w:szCs w:val="28"/>
        </w:rPr>
        <w:t xml:space="preserve">трудниками клиентских служб, а в случае необходимости, ТСР доставлялись по месту жительства заявителей. Учитывая тот факт, что в стоимость ТСР поставщиками не включались расходы по доставке изделий и логистике, Отделению удалось сэкономить 409,8 тыс. руб. </w:t>
      </w:r>
      <w:r/>
    </w:p>
    <w:p>
      <w:pPr>
        <w:pStyle w:val="1253"/>
        <w:ind w:firstLine="709"/>
        <w:jc w:val="both"/>
        <w:spacing w:line="276" w:lineRule="auto"/>
      </w:pPr>
      <w:r>
        <w:rPr>
          <w:rFonts w:eastAsia="Calibri"/>
          <w:sz w:val="28"/>
          <w:szCs w:val="28"/>
        </w:rPr>
        <w:t xml:space="preserve">Общая сумма расх</w:t>
      </w:r>
      <w:r>
        <w:rPr>
          <w:rFonts w:eastAsia="Calibri"/>
          <w:sz w:val="28"/>
          <w:szCs w:val="28"/>
        </w:rPr>
        <w:t xml:space="preserve">одов, с учетом заключенных контрактов Центром компетенции, направленных на обеспечение инвалидов ТСР в 2025 году составили 855329,7 тыс. руб., что в 1,5 раза больше фактических расходов 2024 года (сумма расходов по 2024 году составила 565 389,5 тыс. руб.).</w:t>
      </w:r>
      <w:r/>
    </w:p>
    <w:p>
      <w:pPr>
        <w:pStyle w:val="1253"/>
        <w:ind w:firstLine="709"/>
        <w:jc w:val="both"/>
        <w:spacing w:line="276" w:lineRule="auto"/>
      </w:pPr>
      <w:r>
        <w:rPr>
          <w:rFonts w:eastAsia="Calibri"/>
          <w:sz w:val="28"/>
          <w:szCs w:val="28"/>
        </w:rPr>
        <w:t xml:space="preserve">В связи с вступлением в силу с 1 января 2025 года Федерального закона от 29 октября 2024 г. № 367-ФЗ «О внесении изменений в отдельные законодательные акты Российской Федерации, приостановлении действия отдельных положений за</w:t>
      </w:r>
      <w:r>
        <w:rPr>
          <w:rFonts w:eastAsia="Calibri"/>
          <w:sz w:val="28"/>
          <w:szCs w:val="28"/>
        </w:rPr>
        <w:t xml:space="preserve">конодательных актов Российской Федерации, признании утратившими силу отдельных положений законодательных актов Российской Федерации и об установлении особенностей исполнения бюджетов бюджетной системы Российской Федерации в 2025 году» обеспечение инвалидов</w:t>
      </w:r>
      <w:r>
        <w:rPr>
          <w:rFonts w:eastAsia="Calibri"/>
          <w:sz w:val="28"/>
          <w:szCs w:val="28"/>
        </w:rPr>
        <w:t xml:space="preserve">, </w:t>
      </w:r>
      <w:r>
        <w:rPr>
          <w:rFonts w:eastAsia="Calibri"/>
          <w:sz w:val="28"/>
          <w:szCs w:val="28"/>
        </w:rPr>
        <w:t xml:space="preserve">начиная с 01.01.2025 осуществляется</w:t>
      </w:r>
      <w:r>
        <w:rPr>
          <w:rFonts w:eastAsia="Calibri"/>
          <w:sz w:val="28"/>
          <w:szCs w:val="28"/>
        </w:rPr>
        <w:t xml:space="preserve"> двумя способами:</w:t>
      </w:r>
      <w:r/>
    </w:p>
    <w:p>
      <w:pPr>
        <w:pStyle w:val="1253"/>
        <w:numPr>
          <w:ilvl w:val="0"/>
          <w:numId w:val="173"/>
        </w:numPr>
        <w:ind w:left="0" w:firstLine="709"/>
        <w:jc w:val="both"/>
        <w:spacing w:line="276" w:lineRule="auto"/>
      </w:pPr>
      <w:r>
        <w:rPr>
          <w:rFonts w:eastAsia="Calibri"/>
          <w:sz w:val="28"/>
          <w:szCs w:val="28"/>
        </w:rPr>
        <w:t xml:space="preserve">выдача инвалидам технических средств реабилитации по направлениям Отделения;</w:t>
      </w:r>
      <w:r/>
    </w:p>
    <w:p>
      <w:pPr>
        <w:pStyle w:val="1253"/>
        <w:numPr>
          <w:ilvl w:val="0"/>
          <w:numId w:val="173"/>
        </w:numPr>
        <w:ind w:left="0" w:firstLine="709"/>
        <w:jc w:val="both"/>
        <w:spacing w:line="276" w:lineRule="auto"/>
      </w:pPr>
      <w:r>
        <w:rPr>
          <w:rFonts w:eastAsia="Calibri"/>
          <w:sz w:val="28"/>
          <w:szCs w:val="28"/>
        </w:rPr>
        <w:t xml:space="preserve">формирование электронного сертификата для приобретения технического средства (изделия) и услуги по ремонту технического средства (изделия) с использованием электронного сертификата.</w:t>
      </w:r>
      <w:r/>
    </w:p>
    <w:p>
      <w:pPr>
        <w:pStyle w:val="1253"/>
        <w:ind w:firstLine="709"/>
        <w:jc w:val="both"/>
        <w:spacing w:line="276" w:lineRule="auto"/>
      </w:pPr>
      <w:r>
        <w:rPr>
          <w:rFonts w:eastAsia="Calibri"/>
          <w:sz w:val="28"/>
          <w:szCs w:val="28"/>
        </w:rPr>
        <w:t xml:space="preserve">Таким образом, </w:t>
      </w:r>
      <w:r>
        <w:rPr>
          <w:rFonts w:eastAsia="Calibri"/>
          <w:sz w:val="28"/>
          <w:szCs w:val="28"/>
        </w:rPr>
        <w:t xml:space="preserve">начиная с 1 января 2025 года Отделением Фонда осуществляется</w:t>
      </w:r>
      <w:r>
        <w:rPr>
          <w:rFonts w:eastAsia="Calibri"/>
          <w:sz w:val="28"/>
          <w:szCs w:val="28"/>
        </w:rPr>
        <w:t xml:space="preserve"> выплата компенсации только за самостоятельно приобретенные изделия, которые были приобретены до 1 января 2025 года. Самостоятельное приобретение ТСР, рекомендованного инвалиду в индивидуально программе реабилитации или </w:t>
      </w:r>
      <w:r>
        <w:rPr>
          <w:rFonts w:eastAsia="Calibri"/>
          <w:sz w:val="28"/>
          <w:szCs w:val="28"/>
        </w:rPr>
        <w:t xml:space="preserve">абилитации</w:t>
      </w:r>
      <w:r>
        <w:rPr>
          <w:rFonts w:eastAsia="Calibri"/>
          <w:sz w:val="28"/>
          <w:szCs w:val="28"/>
        </w:rPr>
        <w:t xml:space="preserve">, с 01 января 2025 года доступно с использованием электронного сертификата.</w:t>
      </w:r>
      <w:r/>
    </w:p>
    <w:p>
      <w:pPr>
        <w:pStyle w:val="1253"/>
        <w:ind w:firstLine="709"/>
        <w:jc w:val="both"/>
        <w:spacing w:line="276" w:lineRule="auto"/>
      </w:pPr>
      <w:r>
        <w:rPr>
          <w:rFonts w:eastAsia="Calibri"/>
          <w:sz w:val="28"/>
          <w:szCs w:val="28"/>
        </w:rPr>
        <w:t xml:space="preserve">Выплата ежегодной денежной компенса</w:t>
      </w:r>
      <w:r>
        <w:rPr>
          <w:rFonts w:eastAsia="Calibri"/>
          <w:sz w:val="28"/>
          <w:szCs w:val="28"/>
        </w:rPr>
        <w:t xml:space="preserve">ции расходов на содержание и ветеринарное обслуживание собак-проводников, а также компенсация самостоятельно произведенных расходов на оплату проезда к месту нахождения организации, в которую выдано направление, и обратно, осуществляется в прежнем порядке.</w:t>
      </w:r>
      <w:r/>
    </w:p>
    <w:p>
      <w:pPr>
        <w:pStyle w:val="1253"/>
        <w:ind w:firstLine="709"/>
        <w:jc w:val="both"/>
        <w:spacing w:line="276" w:lineRule="auto"/>
      </w:pPr>
      <w:r>
        <w:rPr>
          <w:rFonts w:eastAsia="Calibri"/>
          <w:sz w:val="28"/>
          <w:szCs w:val="28"/>
        </w:rPr>
        <w:t xml:space="preserve">Так, в 2025 году расходы на выплату компенсации за самостоятельно приобретенные до 01.01.2025 ТСР (с учетом заявок, поступивших в конце </w:t>
      </w:r>
      <w:r>
        <w:rPr>
          <w:rFonts w:eastAsia="Calibri"/>
          <w:sz w:val="28"/>
          <w:szCs w:val="28"/>
        </w:rPr>
        <w:t xml:space="preserve">2024 года) составили 17 363,5 тыс. руб. (количество изделий по заявкам - 67 775шт.).</w:t>
      </w:r>
      <w:r/>
    </w:p>
    <w:p>
      <w:pPr>
        <w:pStyle w:val="1253"/>
        <w:ind w:firstLine="709"/>
        <w:jc w:val="both"/>
        <w:spacing w:line="276" w:lineRule="auto"/>
      </w:pPr>
      <w:r>
        <w:rPr>
          <w:rFonts w:eastAsia="Calibri"/>
          <w:sz w:val="28"/>
          <w:szCs w:val="28"/>
        </w:rPr>
        <w:t xml:space="preserve">Динамика фактических расходов за 2023-2025 г.г. в разрезе видов расходов показывает снижение расходов по обеспечению в рамках заключенных контрактов, и увеличение фактических расходов по электро</w:t>
      </w:r>
      <w:r>
        <w:rPr>
          <w:rFonts w:eastAsia="Calibri"/>
          <w:sz w:val="28"/>
          <w:szCs w:val="28"/>
        </w:rPr>
        <w:t xml:space="preserve">нным сертификатам. Так, расходы по ЭС в 2024 году составили 186 971,9 тыс. руб., что составляло 38% от фактических расходов Отделения Фонда, направленных на обеспечение инвалидов ТСР, в 2025 году – 517 700,8 тыс. руб., что составило 75% от общих расходов. </w:t>
      </w:r>
      <w:r/>
    </w:p>
    <w:p>
      <w:pPr>
        <w:pStyle w:val="1253"/>
        <w:ind w:firstLine="709"/>
        <w:jc w:val="both"/>
        <w:spacing w:line="276" w:lineRule="auto"/>
      </w:pPr>
      <w:r>
        <w:rPr>
          <w:rFonts w:eastAsia="Calibri"/>
          <w:sz w:val="28"/>
          <w:szCs w:val="28"/>
        </w:rPr>
        <w:t xml:space="preserve">Таким образом, механизм обеспечения инвалидов с использованием электронных сертификатов набирает наибольшую популярность среди получателей услуг. Кроме этого, преимущества оформления электронного сертификата сос</w:t>
      </w:r>
      <w:r>
        <w:rPr>
          <w:rFonts w:eastAsia="Calibri"/>
          <w:sz w:val="28"/>
          <w:szCs w:val="28"/>
        </w:rPr>
        <w:t xml:space="preserve">тоит в том, что в среднем сроки активации ЭС составляют от 5 до 10 рабочих дней. При обеспечении в натуральной форме при наличии действующего государственного контракта эти сроки составляют в среднем 45 календарных дней, при отсутствии контракта –120 дней.</w:t>
      </w:r>
      <w:r/>
    </w:p>
    <w:p>
      <w:pPr>
        <w:pStyle w:val="1253"/>
        <w:ind w:firstLine="709"/>
        <w:jc w:val="both"/>
        <w:spacing w:line="276" w:lineRule="auto"/>
      </w:pPr>
      <w:r>
        <w:rPr>
          <w:rFonts w:eastAsia="Calibri"/>
          <w:sz w:val="28"/>
          <w:szCs w:val="28"/>
        </w:rPr>
        <w:t xml:space="preserve">В 2025 году Отделением в соответствии с рекомендациями в индивидуальных программах реабилитации или </w:t>
      </w:r>
      <w:r>
        <w:rPr>
          <w:rFonts w:eastAsia="Calibri"/>
          <w:sz w:val="28"/>
          <w:szCs w:val="28"/>
        </w:rPr>
        <w:t xml:space="preserve">абилитации</w:t>
      </w:r>
      <w:r>
        <w:rPr>
          <w:rFonts w:eastAsia="Calibri"/>
          <w:sz w:val="28"/>
          <w:szCs w:val="28"/>
        </w:rPr>
        <w:t xml:space="preserve"> было обеспечено 13 граждан с ограниченными возможностями колясками с дополнительными функциями стоимостью более 250,00 тыс. руб., а также 65 человек высокотехнологичными протезами в количестве 85 шт. стоимостью свыше 900,00 тыс. руб. </w:t>
      </w:r>
      <w:r/>
    </w:p>
    <w:p>
      <w:pPr>
        <w:pStyle w:val="1253"/>
        <w:ind w:firstLine="709"/>
        <w:jc w:val="both"/>
        <w:spacing w:line="276" w:lineRule="auto"/>
      </w:pPr>
      <w:r>
        <w:rPr>
          <w:rFonts w:eastAsia="Calibri"/>
          <w:sz w:val="28"/>
          <w:szCs w:val="28"/>
        </w:rPr>
        <w:t xml:space="preserve">Особое внимание при обеспечении техническими средствами реабилитации в прошлом году уделялось такой категории граждан как участники специальной военной операции. </w:t>
      </w:r>
      <w:r/>
    </w:p>
    <w:p>
      <w:pPr>
        <w:pStyle w:val="1253"/>
        <w:ind w:firstLine="709"/>
        <w:jc w:val="both"/>
        <w:spacing w:line="276" w:lineRule="auto"/>
      </w:pPr>
      <w:r>
        <w:rPr>
          <w:rFonts w:eastAsia="Calibri"/>
          <w:sz w:val="28"/>
          <w:szCs w:val="28"/>
        </w:rPr>
        <w:t xml:space="preserve">В 2025 году в Отделение за обеспечением ТСР обратился 191 участник СВО. От вышеуказанной категории граждан поступило 1201 заявка на предоставление различных видов ТСР (159 заявок по натуральному обеспечению в рамках заключенных государственных контра</w:t>
      </w:r>
      <w:r>
        <w:rPr>
          <w:rFonts w:eastAsia="Calibri"/>
          <w:sz w:val="28"/>
          <w:szCs w:val="28"/>
        </w:rPr>
        <w:t xml:space="preserve">ктов, 1033 – на активацию электронных сертификатов, 9 - на выплату компенсации за самостоятельно приобретенные ТСР/оплаченные услуги). Приказом Отделения за каждым участником закреплен куратор, осуществляющий сопровождение участников СВО и членов их семей.</w:t>
      </w:r>
      <w:r/>
    </w:p>
    <w:p>
      <w:pPr>
        <w:pStyle w:val="1253"/>
        <w:ind w:firstLine="709"/>
        <w:jc w:val="both"/>
        <w:spacing w:line="276" w:lineRule="auto"/>
        <w:rPr>
          <w:rFonts w:eastAsia="Calibri"/>
          <w:sz w:val="28"/>
          <w:szCs w:val="28"/>
        </w:rPr>
      </w:pPr>
      <w:r>
        <w:rPr>
          <w:rFonts w:eastAsia="Calibri"/>
          <w:sz w:val="28"/>
          <w:szCs w:val="28"/>
        </w:rPr>
        <w:t xml:space="preserve">В рамках установленной компетенции Отделение осуществляет функцию обеспечения граждан льготных категорий, включенных в Федеральный </w:t>
      </w:r>
      <w:r>
        <w:rPr>
          <w:rFonts w:eastAsia="Calibri"/>
          <w:sz w:val="28"/>
          <w:szCs w:val="28"/>
        </w:rPr>
        <w:t xml:space="preserve">регистр лиц, имеющих право на получение государственной социальной помощи в виде набора социальных услуг, путевками на санаторно-курортное лечение (далее – СКЛ) при наличии медицинских показаний, осуществляемое в целях профилактики основных заболеваний, а </w:t>
      </w:r>
      <w:r>
        <w:rPr>
          <w:rFonts w:eastAsia="Calibri"/>
          <w:sz w:val="28"/>
          <w:szCs w:val="28"/>
        </w:rPr>
        <w:t xml:space="preserve">также талонами на право бесплатного проезда к месту лечения и обратно (на основании норм Федерального</w:t>
      </w:r>
      <w:r>
        <w:rPr>
          <w:rFonts w:eastAsia="Calibri"/>
          <w:sz w:val="28"/>
          <w:szCs w:val="28"/>
        </w:rPr>
        <w:t xml:space="preserve"> закона от 17.07.1999 № 178-ФЗ «О государственной социальной помощи»).</w:t>
      </w:r>
      <w:r>
        <w:rPr>
          <w:rFonts w:eastAsia="Calibri"/>
          <w:sz w:val="28"/>
          <w:szCs w:val="28"/>
        </w:rPr>
      </w:r>
      <w:r>
        <w:rPr>
          <w:rFonts w:eastAsia="Calibri"/>
          <w:sz w:val="28"/>
          <w:szCs w:val="28"/>
        </w:rPr>
      </w:r>
    </w:p>
    <w:p>
      <w:pPr>
        <w:pStyle w:val="1253"/>
        <w:ind w:firstLine="709"/>
        <w:jc w:val="both"/>
        <w:spacing w:line="276" w:lineRule="auto"/>
        <w:rPr>
          <w:rFonts w:eastAsia="Calibri"/>
          <w:sz w:val="28"/>
          <w:szCs w:val="28"/>
        </w:rPr>
      </w:pPr>
      <w:r>
        <w:rPr>
          <w:rFonts w:eastAsia="Calibri"/>
          <w:sz w:val="28"/>
          <w:szCs w:val="28"/>
        </w:rPr>
        <w:t xml:space="preserve">Часто в адрес Уполномоченного по правам человека поступают обращения, связанные с оказанием содействия в формировании пакета медицинских д</w:t>
      </w:r>
      <w:r>
        <w:rPr>
          <w:rFonts w:eastAsia="Calibri"/>
          <w:sz w:val="28"/>
          <w:szCs w:val="28"/>
        </w:rPr>
        <w:t xml:space="preserve">окументов для прохождения медико-социальной экспертизы (МСЭ) и установления группы инвалидности. Эти обращения отражают сложности, с которыми сталкиваются граждане при оформлении необходимых бумаг, а также пробелы в информированности о процедурных нюансах.</w:t>
      </w:r>
      <w:r>
        <w:rPr>
          <w:rFonts w:eastAsia="Calibri"/>
          <w:sz w:val="28"/>
          <w:szCs w:val="28"/>
        </w:rPr>
      </w:r>
      <w:r>
        <w:rPr>
          <w:rFonts w:eastAsia="Calibri"/>
          <w:sz w:val="28"/>
          <w:szCs w:val="28"/>
        </w:rPr>
      </w:r>
    </w:p>
    <w:p>
      <w:pPr>
        <w:pStyle w:val="1253"/>
        <w:ind w:firstLine="709"/>
        <w:jc w:val="both"/>
        <w:spacing w:line="276" w:lineRule="auto"/>
        <w:rPr>
          <w:bCs/>
          <w:i/>
        </w:rPr>
      </w:pPr>
      <w:r>
        <w:rPr>
          <w:rFonts w:eastAsia="Calibri"/>
          <w:i/>
          <w:iCs/>
          <w:sz w:val="28"/>
          <w:szCs w:val="28"/>
        </w:rPr>
        <w:t xml:space="preserve">На личный прием к Уполномоченному обратился участник специальной военной операции с просьбой оказать содействие в оформлении инвалидности его матери. Со</w:t>
      </w:r>
      <w:r>
        <w:rPr>
          <w:rFonts w:eastAsia="Calibri"/>
          <w:i/>
          <w:iCs/>
          <w:sz w:val="28"/>
          <w:szCs w:val="28"/>
        </w:rPr>
        <w:t xml:space="preserve"> слов заявителя, нахождение его на родной земле шло к завершению, и необходимо было возвращаться к выполнению боевых задач. Однако здоровье мамы заявителя сильно ухудшилось, в связи с чем, она нуждалась в получении дополнительных мер социальной поддержки. </w:t>
      </w:r>
      <w:r>
        <w:rPr>
          <w:bCs/>
          <w:i/>
        </w:rPr>
      </w:r>
      <w:r>
        <w:rPr>
          <w:bCs/>
          <w:i/>
        </w:rPr>
      </w:r>
    </w:p>
    <w:p>
      <w:pPr>
        <w:pStyle w:val="1253"/>
        <w:ind w:firstLine="709"/>
        <w:jc w:val="both"/>
        <w:spacing w:line="276" w:lineRule="auto"/>
        <w:rPr>
          <w:rFonts w:eastAsia="Calibri"/>
          <w:bCs/>
          <w:i/>
          <w:sz w:val="28"/>
          <w:szCs w:val="28"/>
        </w:rPr>
      </w:pPr>
      <w:r>
        <w:rPr>
          <w:rFonts w:eastAsia="Calibri"/>
          <w:i/>
          <w:iCs/>
          <w:sz w:val="28"/>
          <w:szCs w:val="28"/>
        </w:rPr>
        <w:t xml:space="preserve">Омбудсменом был н</w:t>
      </w:r>
      <w:r>
        <w:rPr>
          <w:rFonts w:eastAsia="Calibri"/>
          <w:i/>
          <w:iCs/>
          <w:sz w:val="28"/>
          <w:szCs w:val="28"/>
        </w:rPr>
        <w:t xml:space="preserve">аправлен запрос в медицинскую организацию по месту жительства матери заявителя, после чего учреждением здравоохранения  оформлено направление в бюро МСЭ с целью освидетельствования матери бойца, по результатам которого ей установлена I группа инвалидности.</w:t>
      </w:r>
      <w:r>
        <w:rPr>
          <w:rFonts w:eastAsia="Calibri"/>
          <w:bCs/>
          <w:i/>
          <w:sz w:val="28"/>
          <w:szCs w:val="28"/>
        </w:rPr>
      </w:r>
      <w:r>
        <w:rPr>
          <w:rFonts w:eastAsia="Calibri"/>
          <w:bCs/>
          <w:i/>
          <w:sz w:val="28"/>
          <w:szCs w:val="28"/>
        </w:rPr>
      </w:r>
    </w:p>
    <w:p>
      <w:pPr>
        <w:pStyle w:val="1253"/>
        <w:ind w:firstLine="709"/>
        <w:jc w:val="both"/>
        <w:spacing w:line="276" w:lineRule="auto"/>
        <w:rPr>
          <w:rFonts w:eastAsia="Calibri"/>
          <w:sz w:val="28"/>
          <w:szCs w:val="28"/>
        </w:rPr>
      </w:pPr>
      <w:r>
        <w:rPr>
          <w:rFonts w:eastAsia="Calibri"/>
          <w:sz w:val="28"/>
          <w:szCs w:val="28"/>
        </w:rPr>
        <w:t xml:space="preserve">В работе омбудсмена встречались случаи необоснованного затягивания процедуры формирования пакета документов, необходимых для направления гражданина на медико-социальную экспертизу (МСЭ), что существенно нарушает его права на своевременное уст</w:t>
      </w:r>
      <w:r>
        <w:rPr>
          <w:rFonts w:eastAsia="Calibri"/>
          <w:sz w:val="28"/>
          <w:szCs w:val="28"/>
        </w:rPr>
        <w:t xml:space="preserve">ановление инвалидности и получение предусмотренных законом мер социальной защиты. Задержки могут возникать на разных этапах: от прохождения обязательных обследований и консультаций узких специалистов до оформления итогового направления врачебной комиссией.</w:t>
      </w:r>
      <w:r>
        <w:rPr>
          <w:rFonts w:eastAsia="Calibri"/>
          <w:sz w:val="28"/>
          <w:szCs w:val="28"/>
        </w:rPr>
      </w:r>
      <w:r>
        <w:rPr>
          <w:rFonts w:eastAsia="Calibri"/>
          <w:sz w:val="28"/>
          <w:szCs w:val="28"/>
        </w:rPr>
      </w:r>
    </w:p>
    <w:p>
      <w:pPr>
        <w:pStyle w:val="1253"/>
        <w:ind w:firstLine="709"/>
        <w:jc w:val="both"/>
        <w:spacing w:line="276" w:lineRule="auto"/>
        <w:rPr>
          <w:bCs/>
          <w:i/>
        </w:rPr>
      </w:pPr>
      <w:r>
        <w:rPr>
          <w:rFonts w:eastAsia="Calibri"/>
          <w:i/>
          <w:iCs/>
          <w:sz w:val="28"/>
          <w:szCs w:val="28"/>
        </w:rPr>
        <w:t xml:space="preserve">На личный прием к Уполномоченному обратился гражданин, имеющий статус инвалида III группы, с заявлением о нарушении его права на своевременное прохождение очередного переосвидетельствования в рамках медико-социальной экспертизы (МСЭ).</w:t>
      </w:r>
      <w:r>
        <w:rPr>
          <w:bCs/>
          <w:i/>
        </w:rPr>
      </w:r>
      <w:r>
        <w:rPr>
          <w:bCs/>
          <w:i/>
        </w:rPr>
      </w:r>
    </w:p>
    <w:p>
      <w:pPr>
        <w:pStyle w:val="1253"/>
        <w:ind w:firstLine="709"/>
        <w:jc w:val="both"/>
        <w:spacing w:line="276" w:lineRule="auto"/>
        <w:rPr>
          <w:bCs/>
          <w:i/>
        </w:rPr>
      </w:pPr>
      <w:r>
        <w:rPr>
          <w:rFonts w:eastAsia="Calibri"/>
          <w:i/>
          <w:iCs/>
          <w:sz w:val="28"/>
          <w:szCs w:val="28"/>
        </w:rPr>
        <w:t xml:space="preserve">Заявитель сообщил, что с мая 2025 года начал процесс подготовки необходимого пакета медицинских документов - включая посещение врачей-с</w:t>
      </w:r>
      <w:r>
        <w:rPr>
          <w:rFonts w:eastAsia="Calibri"/>
          <w:i/>
          <w:iCs/>
          <w:sz w:val="28"/>
          <w:szCs w:val="28"/>
        </w:rPr>
        <w:t xml:space="preserve">пециалистов, прохождение обследований и сдачу лабораторных анализов - в соответствии с установленными требованиями. Однако, несмотря на выполнение всех предписанных медицинских процедур, процесс оформления направления на МСЭ затянулся на несколько месяцев.</w:t>
      </w:r>
      <w:r>
        <w:rPr>
          <w:bCs/>
          <w:i/>
        </w:rPr>
      </w:r>
      <w:r>
        <w:rPr>
          <w:bCs/>
          <w:i/>
        </w:rPr>
      </w:r>
    </w:p>
    <w:p>
      <w:pPr>
        <w:pStyle w:val="1253"/>
        <w:ind w:firstLine="709"/>
        <w:jc w:val="both"/>
        <w:spacing w:line="276" w:lineRule="auto"/>
        <w:rPr>
          <w:bCs/>
          <w:i/>
        </w:rPr>
      </w:pPr>
      <w:r>
        <w:rPr>
          <w:rFonts w:eastAsia="Calibri"/>
          <w:i/>
          <w:iCs/>
          <w:sz w:val="28"/>
          <w:szCs w:val="28"/>
        </w:rPr>
        <w:t xml:space="preserve">При этом, как подчеркнул заявитель, его состояние здоровья остается нестабильным: он испытывает значительные трудности с передвижением, использует трость ка</w:t>
      </w:r>
      <w:r>
        <w:rPr>
          <w:rFonts w:eastAsia="Calibri"/>
          <w:i/>
          <w:iCs/>
          <w:sz w:val="28"/>
          <w:szCs w:val="28"/>
        </w:rPr>
        <w:t xml:space="preserve">к постоянную опору, что свидетельствует о необходимости непрерывного медицинского и социального сопровождения. Задержка с переосвидетельствованием создавала реальную угрозу прекращения предоставления социальных выплат и мер поддержки, положенных инвалидам.</w:t>
      </w:r>
      <w:r>
        <w:rPr>
          <w:bCs/>
          <w:i/>
        </w:rPr>
      </w:r>
      <w:r>
        <w:rPr>
          <w:bCs/>
          <w:i/>
        </w:rPr>
      </w:r>
    </w:p>
    <w:p>
      <w:pPr>
        <w:pStyle w:val="1253"/>
        <w:ind w:firstLine="709"/>
        <w:jc w:val="both"/>
        <w:spacing w:line="276" w:lineRule="auto"/>
        <w:rPr>
          <w:bCs/>
          <w:i/>
        </w:rPr>
      </w:pPr>
      <w:r>
        <w:rPr>
          <w:rFonts w:eastAsia="Calibri"/>
          <w:i/>
          <w:iCs/>
          <w:sz w:val="28"/>
          <w:szCs w:val="28"/>
        </w:rPr>
        <w:t xml:space="preserve">Обращения в медицинскую организацию за разъяснениями причин задержки не принесли результата, и лишь после обращения за содействием </w:t>
      </w:r>
      <w:r>
        <w:rPr>
          <w:rFonts w:eastAsia="Calibri"/>
          <w:i/>
          <w:iCs/>
          <w:sz w:val="28"/>
          <w:szCs w:val="28"/>
        </w:rPr>
        <w:t xml:space="preserve">ко</w:t>
      </w:r>
      <w:r>
        <w:rPr>
          <w:rFonts w:eastAsia="Calibri"/>
          <w:i/>
          <w:iCs/>
          <w:sz w:val="28"/>
          <w:szCs w:val="28"/>
        </w:rPr>
        <w:t xml:space="preserve"> омбудсмену, ситуация была взята на контроль.</w:t>
      </w:r>
      <w:r>
        <w:rPr>
          <w:bCs/>
          <w:i/>
        </w:rPr>
      </w:r>
      <w:r>
        <w:rPr>
          <w:bCs/>
          <w:i/>
        </w:rPr>
      </w:r>
    </w:p>
    <w:p>
      <w:pPr>
        <w:pStyle w:val="1253"/>
        <w:ind w:firstLine="709"/>
        <w:jc w:val="both"/>
        <w:spacing w:line="276" w:lineRule="auto"/>
        <w:rPr>
          <w:bCs/>
          <w:i/>
        </w:rPr>
      </w:pPr>
      <w:r>
        <w:rPr>
          <w:rFonts w:eastAsia="Calibri"/>
          <w:i/>
          <w:iCs/>
          <w:sz w:val="28"/>
          <w:szCs w:val="28"/>
        </w:rPr>
        <w:t xml:space="preserve">В целях выяснения обстоятельств, был направлен официальный запрос в Департамент здравоохранения Ивановской области.</w:t>
      </w:r>
      <w:r>
        <w:rPr>
          <w:bCs/>
          <w:i/>
        </w:rPr>
      </w:r>
      <w:r>
        <w:rPr>
          <w:bCs/>
          <w:i/>
        </w:rPr>
      </w:r>
    </w:p>
    <w:p>
      <w:pPr>
        <w:pStyle w:val="1253"/>
        <w:ind w:firstLine="709"/>
        <w:jc w:val="both"/>
        <w:spacing w:line="276" w:lineRule="auto"/>
        <w:rPr>
          <w:bCs/>
          <w:i/>
        </w:rPr>
      </w:pPr>
      <w:r>
        <w:rPr>
          <w:rFonts w:eastAsia="Calibri"/>
          <w:i/>
          <w:iCs/>
          <w:sz w:val="28"/>
          <w:szCs w:val="28"/>
        </w:rPr>
        <w:t xml:space="preserve">По результатам проведенной проверки </w:t>
      </w:r>
      <w:r>
        <w:rPr>
          <w:rFonts w:eastAsia="Calibri"/>
          <w:i/>
          <w:iCs/>
          <w:sz w:val="28"/>
          <w:szCs w:val="28"/>
        </w:rPr>
        <w:t xml:space="preserve">установлено</w:t>
      </w:r>
      <w:r>
        <w:rPr>
          <w:rFonts w:eastAsia="Calibri"/>
          <w:i/>
          <w:iCs/>
          <w:sz w:val="28"/>
          <w:szCs w:val="28"/>
        </w:rPr>
        <w:t xml:space="preserve">:м</w:t>
      </w:r>
      <w:r>
        <w:rPr>
          <w:rFonts w:eastAsia="Calibri"/>
          <w:i/>
          <w:iCs/>
          <w:sz w:val="28"/>
          <w:szCs w:val="28"/>
        </w:rPr>
        <w:t xml:space="preserve">едицинская</w:t>
      </w:r>
      <w:r>
        <w:rPr>
          <w:rFonts w:eastAsia="Calibri"/>
          <w:i/>
          <w:iCs/>
          <w:sz w:val="28"/>
          <w:szCs w:val="28"/>
        </w:rPr>
        <w:t xml:space="preserve"> организация действительно оформила направление на медико-социальную экспертизу и направила его в Федеральный реестр электронных медицинских документов (РЭМД). Однако документ не был принят в систему по причине технической ошибки.</w:t>
      </w:r>
      <w:r>
        <w:rPr>
          <w:bCs/>
          <w:i/>
        </w:rPr>
      </w:r>
      <w:r>
        <w:rPr>
          <w:bCs/>
          <w:i/>
        </w:rPr>
      </w:r>
    </w:p>
    <w:p>
      <w:pPr>
        <w:pStyle w:val="1253"/>
        <w:ind w:firstLine="709"/>
        <w:jc w:val="both"/>
        <w:spacing w:line="276" w:lineRule="auto"/>
        <w:rPr>
          <w:rFonts w:eastAsia="Calibri"/>
          <w:bCs/>
          <w:i/>
          <w:sz w:val="28"/>
          <w:szCs w:val="28"/>
        </w:rPr>
      </w:pPr>
      <w:r>
        <w:rPr>
          <w:rFonts w:eastAsia="Calibri"/>
          <w:i/>
          <w:iCs/>
          <w:sz w:val="28"/>
          <w:szCs w:val="28"/>
        </w:rPr>
        <w:t xml:space="preserve">После </w:t>
      </w:r>
      <w:r>
        <w:rPr>
          <w:rFonts w:eastAsia="Calibri"/>
          <w:i/>
          <w:iCs/>
          <w:sz w:val="28"/>
          <w:szCs w:val="28"/>
        </w:rPr>
        <w:t xml:space="preserve">выявления проблемы медицинская организация обратилась в Службу технической поддержки, в результате чего ошибка была устранена. Направление повторно передано и успешно зарегистрировано в ФКУ «Главное бюро медико-социальной экспертизы по Ивановской области».</w:t>
      </w:r>
      <w:r>
        <w:rPr>
          <w:rFonts w:eastAsia="Calibri"/>
          <w:bCs/>
          <w:i/>
          <w:sz w:val="28"/>
          <w:szCs w:val="28"/>
        </w:rPr>
      </w:r>
      <w:r>
        <w:rPr>
          <w:rFonts w:eastAsia="Calibri"/>
          <w:bCs/>
          <w:i/>
          <w:sz w:val="28"/>
          <w:szCs w:val="28"/>
        </w:rPr>
      </w:r>
    </w:p>
    <w:p>
      <w:pPr>
        <w:pStyle w:val="1253"/>
        <w:ind w:firstLine="709"/>
        <w:jc w:val="both"/>
        <w:spacing w:line="276" w:lineRule="auto"/>
        <w:rPr>
          <w:rFonts w:eastAsia="Calibri"/>
          <w:sz w:val="28"/>
          <w:szCs w:val="28"/>
        </w:rPr>
      </w:pPr>
      <w:r>
        <w:rPr>
          <w:rFonts w:eastAsia="Calibri"/>
          <w:sz w:val="28"/>
          <w:szCs w:val="28"/>
        </w:rPr>
        <w:t xml:space="preserve">Вместе с тем хочу отметить, что технические сбои не д</w:t>
      </w:r>
      <w:r>
        <w:rPr>
          <w:rFonts w:eastAsia="Calibri"/>
          <w:sz w:val="28"/>
          <w:szCs w:val="28"/>
        </w:rPr>
        <w:t xml:space="preserve">олжны становиться причиной нарушения прав человека на социальную защиту, достойное существование и уважение. Особенно это касается граждан, чье здоровье и благополучие напрямую зависят от бесперебойной работы системы здравоохранения и социальной поддержки.</w:t>
      </w:r>
      <w:r>
        <w:rPr>
          <w:rFonts w:eastAsia="Calibri"/>
          <w:sz w:val="28"/>
          <w:szCs w:val="28"/>
        </w:rPr>
      </w:r>
      <w:r>
        <w:rPr>
          <w:rFonts w:eastAsia="Calibri"/>
          <w:sz w:val="28"/>
          <w:szCs w:val="28"/>
        </w:rPr>
      </w:r>
    </w:p>
    <w:p>
      <w:pPr>
        <w:pStyle w:val="1253"/>
        <w:ind w:firstLine="709"/>
        <w:jc w:val="both"/>
        <w:spacing w:line="276" w:lineRule="auto"/>
        <w:rPr>
          <w:rFonts w:eastAsia="Calibri"/>
          <w:sz w:val="28"/>
          <w:szCs w:val="28"/>
        </w:rPr>
      </w:pPr>
      <w:r>
        <w:rPr>
          <w:rFonts w:eastAsia="Calibri"/>
          <w:sz w:val="28"/>
          <w:szCs w:val="28"/>
        </w:rPr>
        <w:t xml:space="preserve">Медико-социальная экспертиза (МСЭ) — это не просто формальная процедура, а значимый и зачастую переломный этап в жизни человека, столкнувшегося с серьезными проблемами со здоровьем. </w:t>
      </w:r>
      <w:r>
        <w:rPr>
          <w:rFonts w:eastAsia="Calibri"/>
          <w:sz w:val="28"/>
          <w:szCs w:val="28"/>
        </w:rPr>
      </w:r>
      <w:r>
        <w:rPr>
          <w:rFonts w:eastAsia="Calibri"/>
          <w:sz w:val="28"/>
          <w:szCs w:val="28"/>
        </w:rPr>
      </w:r>
    </w:p>
    <w:p>
      <w:pPr>
        <w:pStyle w:val="1253"/>
        <w:ind w:firstLine="709"/>
        <w:jc w:val="both"/>
        <w:spacing w:line="276" w:lineRule="auto"/>
        <w:rPr>
          <w:rFonts w:eastAsia="Calibri"/>
          <w:sz w:val="28"/>
          <w:szCs w:val="28"/>
        </w:rPr>
      </w:pPr>
      <w:r>
        <w:rPr>
          <w:rFonts w:eastAsia="Calibri"/>
          <w:sz w:val="28"/>
          <w:szCs w:val="28"/>
        </w:rPr>
        <w:t xml:space="preserve">Когда состояние ухудшается настолько, </w:t>
      </w:r>
      <w:r>
        <w:rPr>
          <w:rFonts w:eastAsia="Calibri"/>
          <w:sz w:val="28"/>
          <w:szCs w:val="28"/>
        </w:rPr>
        <w:t xml:space="preserve">что привычные повседневные дела даются с огромным трудом или становятся практически невыполнимыми, возникает закономерный вопрос: нужна ли особая поддержка государства, чтобы сохранить приемлемое качество жизни? Именно для ответа на него и существует МСЭ. </w:t>
      </w:r>
      <w:r>
        <w:rPr>
          <w:rFonts w:eastAsia="Calibri"/>
          <w:sz w:val="28"/>
          <w:szCs w:val="28"/>
        </w:rPr>
      </w:r>
      <w:r>
        <w:rPr>
          <w:rFonts w:eastAsia="Calibri"/>
          <w:sz w:val="28"/>
          <w:szCs w:val="28"/>
        </w:rPr>
      </w:r>
    </w:p>
    <w:p>
      <w:pPr>
        <w:pStyle w:val="1253"/>
        <w:ind w:firstLine="709"/>
        <w:jc w:val="both"/>
        <w:spacing w:line="276" w:lineRule="auto"/>
        <w:rPr>
          <w:rFonts w:eastAsia="Calibri"/>
          <w:sz w:val="28"/>
          <w:szCs w:val="28"/>
        </w:rPr>
      </w:pPr>
      <w:r>
        <w:rPr>
          <w:rFonts w:eastAsia="Calibri"/>
          <w:sz w:val="28"/>
          <w:szCs w:val="28"/>
        </w:rPr>
        <w:t xml:space="preserve">В ходе этой комплексной проверки специалисты не ограничиваются прос</w:t>
      </w:r>
      <w:r>
        <w:rPr>
          <w:rFonts w:eastAsia="Calibri"/>
          <w:sz w:val="28"/>
          <w:szCs w:val="28"/>
        </w:rPr>
        <w:t xml:space="preserve">той констатацией диагноза — они всесторонне оценивают, как болезнь или травма повлияли на жизнь человека в целом. Эксперты детально анализируют степень нарушения различных функций организма: двигательных, когнитивных, сенсорных и иных — и изучают, как эти </w:t>
      </w:r>
      <w:r>
        <w:rPr>
          <w:rFonts w:eastAsia="Calibri"/>
          <w:sz w:val="28"/>
          <w:szCs w:val="28"/>
        </w:rPr>
        <w:t xml:space="preserve">нарушения отражаются</w:t>
      </w:r>
      <w:r>
        <w:rPr>
          <w:rFonts w:eastAsia="Calibri"/>
          <w:sz w:val="28"/>
          <w:szCs w:val="28"/>
        </w:rPr>
        <w:t xml:space="preserve"> на способности человека обслуживать себя в быту, выполнять профессиональные обязанности или осваивать новую профессию, поддерживать социальные контакты, ориентироваться в пространстве, безопасно передвигаться и адаптироваться к меняющимся условиям жизни. </w:t>
      </w:r>
      <w:r>
        <w:rPr>
          <w:rFonts w:eastAsia="Calibri"/>
          <w:sz w:val="28"/>
          <w:szCs w:val="28"/>
        </w:rPr>
        <w:tab/>
        <w:t xml:space="preserve">При этом ключевая цель МСЭ состоит не в том, чтобы просто «поставить диагноз» или «присвоить группу инвалидности», а в том, чтобы определить, какая именно социальная защита и поддержка необходимы человеку в его конкретной ситуации. </w:t>
      </w:r>
      <w:r>
        <w:rPr>
          <w:rFonts w:eastAsia="Calibri"/>
          <w:sz w:val="28"/>
          <w:szCs w:val="28"/>
        </w:rPr>
        <w:t xml:space="preserve">Специалисты принимают во внимание множество </w:t>
      </w:r>
      <w:r>
        <w:rPr>
          <w:rFonts w:eastAsia="Calibri"/>
          <w:sz w:val="28"/>
          <w:szCs w:val="28"/>
        </w:rPr>
        <w:t xml:space="preserve">факторов: бытовые условия и доступность окружающей среды, уровень образования и профессиональные навыки, потенциал к реабилитации и восстановлению функций, потребность в технических средствах реабилитации (таких как коляски, слуховые аппараты, протезы или </w:t>
      </w:r>
      <w:r>
        <w:rPr>
          <w:rFonts w:eastAsia="Calibri"/>
          <w:sz w:val="28"/>
          <w:szCs w:val="28"/>
        </w:rPr>
        <w:t xml:space="preserve">ортезы</w:t>
      </w:r>
      <w:r>
        <w:rPr>
          <w:rFonts w:eastAsia="Calibri"/>
          <w:sz w:val="28"/>
          <w:szCs w:val="28"/>
        </w:rPr>
        <w:t xml:space="preserve">), необходимость в программах адаптации и обучении новым навыкам, психологическую поддержку и наличие помощи со стороны близких людей.</w:t>
      </w:r>
      <w:r>
        <w:rPr>
          <w:rFonts w:eastAsia="Calibri"/>
          <w:sz w:val="28"/>
          <w:szCs w:val="28"/>
        </w:rPr>
        <w:t xml:space="preserve"> </w:t>
      </w:r>
      <w:r>
        <w:rPr>
          <w:rFonts w:eastAsia="Calibri"/>
          <w:sz w:val="28"/>
          <w:szCs w:val="28"/>
        </w:rPr>
        <w:tab/>
      </w:r>
      <w:r>
        <w:rPr>
          <w:rFonts w:eastAsia="Calibri"/>
          <w:sz w:val="28"/>
          <w:szCs w:val="28"/>
        </w:rPr>
        <w:t xml:space="preserve">По итогам экспертизы принимается решение о признании человека инвалидом и установлении соответствующей группы инвалидности (I, II или III), от которого зависят не формальные статусы, а вполне реальные права и возможности, гарантированные </w:t>
      </w:r>
      <w:r>
        <w:rPr>
          <w:rFonts w:eastAsia="Calibri"/>
          <w:sz w:val="28"/>
          <w:szCs w:val="28"/>
        </w:rPr>
        <w:t xml:space="preserve">государством: право на пенсию по инвалидности, льготы на приобретение лекарств и прохождение лечения, квоты на трудоустройство и программы профессиональной переподготовки, путевки в санатории и реабилитационные центры, обеспечение необходимыми техническими</w:t>
      </w:r>
      <w:r>
        <w:rPr>
          <w:rFonts w:eastAsia="Calibri"/>
          <w:sz w:val="28"/>
          <w:szCs w:val="28"/>
        </w:rPr>
        <w:t xml:space="preserve"> средствами реабилитации, а также разработка и реализация индивидуальной программы реабилитации или </w:t>
      </w:r>
      <w:r>
        <w:rPr>
          <w:rFonts w:eastAsia="Calibri"/>
          <w:sz w:val="28"/>
          <w:szCs w:val="28"/>
        </w:rPr>
        <w:t xml:space="preserve">абилитации</w:t>
      </w:r>
      <w:r>
        <w:rPr>
          <w:rFonts w:eastAsia="Calibri"/>
          <w:sz w:val="28"/>
          <w:szCs w:val="28"/>
        </w:rPr>
        <w:t xml:space="preserve">. </w:t>
      </w:r>
      <w:r>
        <w:rPr>
          <w:rFonts w:eastAsia="Calibri"/>
          <w:sz w:val="28"/>
          <w:szCs w:val="28"/>
        </w:rPr>
        <w:tab/>
        <w:t xml:space="preserve">Таким образом, заключение МСЭ становится отправной точкой для выстраивания новой жизненной стратегии с опорой на государственную поддержку и ресурсы общества. </w:t>
      </w:r>
      <w:r>
        <w:rPr>
          <w:rFonts w:eastAsia="Calibri"/>
          <w:sz w:val="28"/>
          <w:szCs w:val="28"/>
        </w:rPr>
        <w:t xml:space="preserve">МСЭ выступает подлинным мостом между медицинским диагнозом и реальной социальной помощью: она преобразует клинические данные в практические решения, помогая человеку сохр</w:t>
      </w:r>
      <w:r>
        <w:rPr>
          <w:rFonts w:eastAsia="Calibri"/>
          <w:sz w:val="28"/>
          <w:szCs w:val="28"/>
        </w:rPr>
        <w:t xml:space="preserve">анить достоинство, самостоятельность и максимально возможную активность даже в сложных обстоятельствах - и тем самым дает возможность не просто адаптироваться к новым условиям, но и полноценно участвовать в жизни общества, несмотря на ограничения здоровья.</w:t>
      </w:r>
      <w:r>
        <w:rPr>
          <w:rFonts w:eastAsia="Calibri"/>
          <w:sz w:val="28"/>
          <w:szCs w:val="28"/>
        </w:rPr>
      </w:r>
      <w:r>
        <w:rPr>
          <w:rFonts w:eastAsia="Calibri"/>
          <w:sz w:val="28"/>
          <w:szCs w:val="28"/>
        </w:rPr>
      </w:r>
    </w:p>
    <w:p>
      <w:pPr>
        <w:pStyle w:val="1253"/>
        <w:ind w:firstLine="708"/>
        <w:jc w:val="both"/>
        <w:spacing w:line="276" w:lineRule="auto"/>
        <w:rPr>
          <w:sz w:val="28"/>
          <w:szCs w:val="28"/>
        </w:rPr>
      </w:pPr>
      <w:r>
        <w:rPr>
          <w:sz w:val="28"/>
          <w:szCs w:val="28"/>
        </w:rPr>
        <w:t xml:space="preserve">Всего в 2025 году проведено 23 410 освидетельствования. </w:t>
      </w:r>
      <w:r>
        <w:rPr>
          <w:sz w:val="28"/>
          <w:szCs w:val="28"/>
        </w:rPr>
      </w:r>
      <w:r>
        <w:rPr>
          <w:sz w:val="28"/>
          <w:szCs w:val="28"/>
        </w:rPr>
      </w:r>
    </w:p>
    <w:p>
      <w:pPr>
        <w:pStyle w:val="1253"/>
        <w:ind w:firstLine="708"/>
        <w:jc w:val="both"/>
        <w:spacing w:line="276" w:lineRule="auto"/>
        <w:rPr>
          <w:sz w:val="28"/>
          <w:szCs w:val="28"/>
        </w:rPr>
      </w:pPr>
      <w:r>
        <w:rPr>
          <w:sz w:val="28"/>
          <w:szCs w:val="28"/>
        </w:rPr>
        <w:t xml:space="preserve">В 2025 году отмечается увеличение количества освидетельствований для определения инвалидности, как взрослого, так и детского населения. Всего проведено освидетельствований для определения инвалидности                        - 18 948,  признано инвалидами - 17 809 человек.</w:t>
      </w:r>
      <w:r>
        <w:rPr>
          <w:sz w:val="28"/>
          <w:szCs w:val="28"/>
        </w:rPr>
      </w:r>
      <w:r>
        <w:rPr>
          <w:sz w:val="28"/>
          <w:szCs w:val="28"/>
        </w:rPr>
      </w:r>
    </w:p>
    <w:p>
      <w:pPr>
        <w:pStyle w:val="1253"/>
        <w:ind w:firstLine="708"/>
        <w:jc w:val="both"/>
        <w:spacing w:line="276" w:lineRule="auto"/>
        <w:rPr>
          <w:sz w:val="28"/>
          <w:szCs w:val="28"/>
        </w:rPr>
      </w:pPr>
      <w:r>
        <w:rPr>
          <w:sz w:val="28"/>
          <w:szCs w:val="28"/>
        </w:rPr>
        <w:t xml:space="preserve">Основная деятельность Главного бюро МСЭ заключается в </w:t>
      </w:r>
      <w:bookmarkStart w:id="0" w:name="undefined"/>
      <w:r>
        <w:rPr>
          <w:sz w:val="28"/>
          <w:szCs w:val="28"/>
        </w:rPr>
        <w:t xml:space="preserve">проведении по собственной инициативе повторного освидетельствования граждан, прошедших освидетельствование в бюро</w:t>
      </w:r>
      <w:bookmarkStart w:id="0" w:name="undefined"/>
      <w:r/>
      <w:bookmarkEnd w:id="0"/>
      <w:r>
        <w:rPr>
          <w:sz w:val="28"/>
          <w:szCs w:val="28"/>
        </w:rPr>
        <w:t xml:space="preserve"> (контроль); проведение освидетельствования граждан, </w:t>
      </w:r>
      <w:r>
        <w:rPr>
          <w:sz w:val="28"/>
          <w:szCs w:val="28"/>
        </w:rPr>
        <w:t xml:space="preserve">обжаловавших решения бюро, а также по направлению бюро в случаях, требующих специальных видов обследования, в целях установления структуры и степени ограничения жизнедеятельности и их реабилитационного потенциала, проверка актов бюро МСЭ (см. таблицу 6.1).</w:t>
      </w:r>
      <w:r>
        <w:rPr>
          <w:sz w:val="28"/>
          <w:szCs w:val="28"/>
        </w:rPr>
      </w:r>
      <w:r>
        <w:rPr>
          <w:sz w:val="28"/>
          <w:szCs w:val="28"/>
        </w:rPr>
      </w:r>
    </w:p>
    <w:p>
      <w:pPr>
        <w:jc w:val="both"/>
        <w:spacing w:after="0"/>
        <w:rPr>
          <w:rFonts w:ascii="Times New Roman" w:hAnsi="Times New Roman"/>
          <w:b/>
          <w:bCs/>
          <w:sz w:val="28"/>
          <w:szCs w:val="28"/>
        </w:rPr>
      </w:pPr>
      <w:r>
        <w:rPr>
          <w:rFonts w:ascii="Times New Roman" w:hAnsi="Times New Roman"/>
          <w:b/>
          <w:sz w:val="28"/>
          <w:szCs w:val="28"/>
        </w:rPr>
      </w:r>
      <w:r>
        <w:rPr>
          <w:rFonts w:ascii="Times New Roman" w:hAnsi="Times New Roman"/>
          <w:b/>
          <w:bCs/>
          <w:sz w:val="28"/>
          <w:szCs w:val="28"/>
        </w:rPr>
      </w:r>
      <w:r>
        <w:rPr>
          <w:rFonts w:ascii="Times New Roman" w:hAnsi="Times New Roman"/>
          <w:b/>
          <w:bCs/>
          <w:sz w:val="28"/>
          <w:szCs w:val="28"/>
        </w:rPr>
      </w:r>
    </w:p>
    <w:p>
      <w:pPr>
        <w:jc w:val="center"/>
        <w:spacing w:after="0"/>
        <w:rPr>
          <w:rFonts w:ascii="Times New Roman" w:hAnsi="Times New Roman"/>
          <w:b/>
          <w:sz w:val="28"/>
          <w:szCs w:val="28"/>
        </w:rPr>
      </w:pPr>
      <w:r>
        <w:rPr>
          <w:rFonts w:ascii="Times New Roman" w:hAnsi="Times New Roman"/>
          <w:b/>
          <w:sz w:val="28"/>
          <w:szCs w:val="28"/>
        </w:rPr>
        <w:t xml:space="preserve">Таблица 6.1. Информация о проверке решений бюро МСЭ</w:t>
      </w:r>
      <w:r>
        <w:rPr>
          <w:rFonts w:ascii="Times New Roman" w:hAnsi="Times New Roman"/>
          <w:b/>
          <w:sz w:val="28"/>
          <w:szCs w:val="28"/>
        </w:rPr>
      </w:r>
      <w:r>
        <w:rPr>
          <w:rFonts w:ascii="Times New Roman" w:hAnsi="Times New Roman"/>
          <w:b/>
          <w:sz w:val="28"/>
          <w:szCs w:val="28"/>
        </w:rPr>
      </w:r>
    </w:p>
    <w:p>
      <w:pPr>
        <w:ind w:firstLine="567"/>
        <w:jc w:val="both"/>
        <w:spacing w:after="0"/>
        <w:rPr>
          <w:rFonts w:ascii="Times New Roman" w:hAnsi="Times New Roman"/>
          <w:b/>
          <w:sz w:val="28"/>
          <w:szCs w:val="28"/>
        </w:rPr>
      </w:pPr>
      <w:r>
        <w:rPr>
          <w:rFonts w:ascii="Times New Roman" w:hAnsi="Times New Roman"/>
          <w:b/>
          <w:sz w:val="28"/>
          <w:szCs w:val="28"/>
        </w:rPr>
      </w:r>
      <w:r>
        <w:rPr>
          <w:rFonts w:ascii="Times New Roman" w:hAnsi="Times New Roman"/>
          <w:b/>
          <w:sz w:val="28"/>
          <w:szCs w:val="28"/>
        </w:rPr>
      </w:r>
      <w:r>
        <w:rPr>
          <w:rFonts w:ascii="Times New Roman" w:hAnsi="Times New Roman"/>
          <w:b/>
          <w:sz w:val="28"/>
          <w:szCs w:val="28"/>
        </w:rPr>
      </w:r>
    </w:p>
    <w:tbl>
      <w:tblPr>
        <w:tblW w:w="8932"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ook w:val="01E0" w:firstRow="1" w:lastRow="1" w:firstColumn="1" w:lastColumn="1" w:noHBand="0" w:noVBand="0"/>
      </w:tblPr>
      <w:tblGrid>
        <w:gridCol w:w="5805"/>
        <w:gridCol w:w="1131"/>
        <w:gridCol w:w="998"/>
        <w:gridCol w:w="998"/>
      </w:tblGrid>
      <w:tr>
        <w:tblPrEx/>
        <w:trPr>
          <w:jc w:val="center"/>
        </w:trPr>
        <w:tc>
          <w:tcPr>
            <w:shd w:val="clear" w:color="ffffff" w:fill="ffffff"/>
            <w:tcW w:w="5805" w:type="dxa"/>
            <w:textDirection w:val="lrTb"/>
            <w:noWrap w:val="false"/>
          </w:tcPr>
          <w:p>
            <w:pPr>
              <w:ind w:firstLine="567"/>
              <w:jc w:val="both"/>
              <w:spacing w:after="0"/>
              <w:rPr>
                <w:rFonts w:ascii="Times New Roman" w:hAnsi="Times New Roman"/>
                <w:sz w:val="28"/>
                <w:szCs w:val="28"/>
              </w:rPr>
            </w:pPr>
            <w:r>
              <w:rPr>
                <w:rFonts w:ascii="Times New Roman" w:hAnsi="Times New Roman"/>
                <w:sz w:val="28"/>
                <w:szCs w:val="28"/>
              </w:rPr>
            </w:r>
            <w:r>
              <w:rPr>
                <w:rFonts w:ascii="Times New Roman" w:hAnsi="Times New Roman"/>
                <w:sz w:val="28"/>
                <w:szCs w:val="28"/>
              </w:rPr>
            </w:r>
            <w:r>
              <w:rPr>
                <w:rFonts w:ascii="Times New Roman" w:hAnsi="Times New Roman"/>
                <w:sz w:val="28"/>
                <w:szCs w:val="28"/>
              </w:rPr>
            </w:r>
          </w:p>
        </w:tc>
        <w:tc>
          <w:tcPr>
            <w:shd w:val="clear" w:color="ffffff" w:fill="ffffff"/>
            <w:tcW w:w="1131" w:type="dxa"/>
            <w:textDirection w:val="lrTb"/>
            <w:noWrap w:val="false"/>
          </w:tcPr>
          <w:p>
            <w:pPr>
              <w:jc w:val="center"/>
              <w:spacing w:after="0"/>
              <w:rPr>
                <w:rFonts w:ascii="Times New Roman" w:hAnsi="Times New Roman"/>
                <w:sz w:val="28"/>
                <w:szCs w:val="28"/>
              </w:rPr>
            </w:pPr>
            <w:r>
              <w:rPr>
                <w:rFonts w:ascii="Times New Roman" w:hAnsi="Times New Roman"/>
                <w:sz w:val="28"/>
                <w:szCs w:val="28"/>
              </w:rPr>
              <w:t xml:space="preserve">2023</w:t>
            </w:r>
            <w:r>
              <w:rPr>
                <w:rFonts w:ascii="Times New Roman" w:hAnsi="Times New Roman"/>
                <w:sz w:val="28"/>
                <w:szCs w:val="28"/>
              </w:rPr>
            </w:r>
            <w:r>
              <w:rPr>
                <w:rFonts w:ascii="Times New Roman" w:hAnsi="Times New Roman"/>
                <w:sz w:val="28"/>
                <w:szCs w:val="28"/>
              </w:rPr>
            </w:r>
          </w:p>
        </w:tc>
        <w:tc>
          <w:tcPr>
            <w:shd w:val="clear" w:color="ffffff" w:fill="ffffff"/>
            <w:tcW w:w="998" w:type="dxa"/>
            <w:textDirection w:val="lrTb"/>
            <w:noWrap w:val="false"/>
          </w:tcPr>
          <w:p>
            <w:pPr>
              <w:jc w:val="center"/>
              <w:spacing w:after="0"/>
              <w:rPr>
                <w:rFonts w:ascii="Times New Roman" w:hAnsi="Times New Roman"/>
                <w:sz w:val="28"/>
                <w:szCs w:val="28"/>
              </w:rPr>
            </w:pPr>
            <w:r>
              <w:rPr>
                <w:rFonts w:ascii="Times New Roman" w:hAnsi="Times New Roman"/>
                <w:sz w:val="28"/>
                <w:szCs w:val="28"/>
              </w:rPr>
              <w:t xml:space="preserve">2024</w:t>
            </w:r>
            <w:r>
              <w:rPr>
                <w:rFonts w:ascii="Times New Roman" w:hAnsi="Times New Roman"/>
                <w:sz w:val="28"/>
                <w:szCs w:val="28"/>
              </w:rPr>
            </w:r>
            <w:r>
              <w:rPr>
                <w:rFonts w:ascii="Times New Roman" w:hAnsi="Times New Roman"/>
                <w:sz w:val="28"/>
                <w:szCs w:val="28"/>
              </w:rPr>
            </w:r>
          </w:p>
        </w:tc>
        <w:tc>
          <w:tcPr>
            <w:shd w:val="clear" w:color="ffffff" w:fill="ffffff"/>
            <w:tcW w:w="998" w:type="dxa"/>
            <w:textDirection w:val="lrTb"/>
            <w:noWrap w:val="false"/>
          </w:tcPr>
          <w:p>
            <w:pPr>
              <w:jc w:val="center"/>
              <w:spacing w:after="0"/>
              <w:rPr>
                <w:rFonts w:ascii="Times New Roman" w:hAnsi="Times New Roman"/>
                <w:sz w:val="28"/>
                <w:szCs w:val="28"/>
                <w:lang w:val="en-US"/>
              </w:rPr>
            </w:pPr>
            <w:r>
              <w:rPr>
                <w:rFonts w:ascii="Times New Roman" w:hAnsi="Times New Roman"/>
                <w:sz w:val="28"/>
                <w:szCs w:val="28"/>
              </w:rPr>
              <w:t xml:space="preserve">2025</w:t>
            </w:r>
            <w:r>
              <w:rPr>
                <w:rFonts w:ascii="Times New Roman" w:hAnsi="Times New Roman"/>
                <w:sz w:val="28"/>
                <w:szCs w:val="28"/>
                <w:lang w:val="en-US"/>
              </w:rPr>
            </w:r>
            <w:r>
              <w:rPr>
                <w:rFonts w:ascii="Times New Roman" w:hAnsi="Times New Roman"/>
                <w:sz w:val="28"/>
                <w:szCs w:val="28"/>
                <w:lang w:val="en-US"/>
              </w:rPr>
            </w:r>
          </w:p>
        </w:tc>
      </w:tr>
      <w:tr>
        <w:tblPrEx/>
        <w:trPr>
          <w:jc w:val="center"/>
        </w:trPr>
        <w:tc>
          <w:tcPr>
            <w:shd w:val="clear" w:color="ffffff" w:fill="ffffff"/>
            <w:tcW w:w="5805" w:type="dxa"/>
            <w:textDirection w:val="lrTb"/>
            <w:noWrap w:val="false"/>
          </w:tcPr>
          <w:p>
            <w:pPr>
              <w:jc w:val="both"/>
              <w:spacing w:after="0"/>
              <w:rPr>
                <w:rFonts w:ascii="Times New Roman" w:hAnsi="Times New Roman"/>
                <w:sz w:val="28"/>
                <w:szCs w:val="28"/>
              </w:rPr>
            </w:pPr>
            <w:r>
              <w:rPr>
                <w:rFonts w:ascii="Times New Roman" w:hAnsi="Times New Roman"/>
                <w:sz w:val="28"/>
                <w:szCs w:val="28"/>
              </w:rPr>
              <w:t xml:space="preserve">Всего освидетельствовано</w:t>
            </w:r>
            <w:r>
              <w:rPr>
                <w:rFonts w:ascii="Times New Roman" w:hAnsi="Times New Roman"/>
                <w:sz w:val="28"/>
                <w:szCs w:val="28"/>
              </w:rPr>
            </w:r>
            <w:r>
              <w:rPr>
                <w:rFonts w:ascii="Times New Roman" w:hAnsi="Times New Roman"/>
                <w:sz w:val="28"/>
                <w:szCs w:val="28"/>
              </w:rPr>
            </w:r>
          </w:p>
        </w:tc>
        <w:tc>
          <w:tcPr>
            <w:shd w:val="clear" w:color="ffffff" w:fill="ffffff"/>
            <w:tcW w:w="1131" w:type="dxa"/>
            <w:vAlign w:val="bottom"/>
            <w:textDirection w:val="lrTb"/>
            <w:noWrap w:val="false"/>
          </w:tcPr>
          <w:p>
            <w:pPr>
              <w:jc w:val="center"/>
              <w:spacing w:after="0"/>
              <w:rPr>
                <w:rFonts w:ascii="Times New Roman" w:hAnsi="Times New Roman"/>
                <w:sz w:val="28"/>
                <w:szCs w:val="28"/>
              </w:rPr>
            </w:pPr>
            <w:r>
              <w:rPr>
                <w:rFonts w:ascii="Times New Roman" w:hAnsi="Times New Roman"/>
                <w:sz w:val="28"/>
                <w:szCs w:val="28"/>
              </w:rPr>
              <w:t xml:space="preserve">2023</w:t>
            </w:r>
            <w:r>
              <w:rPr>
                <w:rFonts w:ascii="Times New Roman" w:hAnsi="Times New Roman"/>
                <w:sz w:val="28"/>
                <w:szCs w:val="28"/>
              </w:rPr>
            </w:r>
            <w:r>
              <w:rPr>
                <w:rFonts w:ascii="Times New Roman" w:hAnsi="Times New Roman"/>
                <w:sz w:val="28"/>
                <w:szCs w:val="28"/>
              </w:rPr>
            </w:r>
          </w:p>
        </w:tc>
        <w:tc>
          <w:tcPr>
            <w:shd w:val="clear" w:color="ffffff" w:fill="ffffff"/>
            <w:tcW w:w="998" w:type="dxa"/>
            <w:vAlign w:val="bottom"/>
            <w:textDirection w:val="lrTb"/>
            <w:noWrap w:val="false"/>
          </w:tcPr>
          <w:p>
            <w:pPr>
              <w:jc w:val="center"/>
              <w:spacing w:after="0"/>
              <w:rPr>
                <w:rFonts w:ascii="Times New Roman" w:hAnsi="Times New Roman"/>
                <w:sz w:val="28"/>
                <w:szCs w:val="28"/>
              </w:rPr>
            </w:pPr>
            <w:r>
              <w:rPr>
                <w:rFonts w:ascii="Times New Roman" w:hAnsi="Times New Roman"/>
                <w:sz w:val="28"/>
                <w:szCs w:val="28"/>
              </w:rPr>
              <w:t xml:space="preserve">1581</w:t>
            </w:r>
            <w:r>
              <w:rPr>
                <w:rFonts w:ascii="Times New Roman" w:hAnsi="Times New Roman"/>
                <w:sz w:val="28"/>
                <w:szCs w:val="28"/>
              </w:rPr>
            </w:r>
            <w:r>
              <w:rPr>
                <w:rFonts w:ascii="Times New Roman" w:hAnsi="Times New Roman"/>
                <w:sz w:val="28"/>
                <w:szCs w:val="28"/>
              </w:rPr>
            </w:r>
          </w:p>
        </w:tc>
        <w:tc>
          <w:tcPr>
            <w:shd w:val="clear" w:color="ffffff" w:fill="ffffff"/>
            <w:tcW w:w="998" w:type="dxa"/>
            <w:vAlign w:val="bottom"/>
            <w:textDirection w:val="lrTb"/>
            <w:noWrap w:val="false"/>
          </w:tcPr>
          <w:p>
            <w:pPr>
              <w:jc w:val="center"/>
              <w:spacing w:after="0"/>
              <w:rPr>
                <w:rFonts w:ascii="Times New Roman" w:hAnsi="Times New Roman"/>
                <w:sz w:val="28"/>
                <w:szCs w:val="28"/>
              </w:rPr>
            </w:pPr>
            <w:r>
              <w:rPr>
                <w:rFonts w:ascii="Times New Roman" w:hAnsi="Times New Roman"/>
                <w:sz w:val="28"/>
                <w:szCs w:val="28"/>
              </w:rPr>
              <w:t xml:space="preserve">1292</w:t>
            </w:r>
            <w:r>
              <w:rPr>
                <w:rFonts w:ascii="Times New Roman" w:hAnsi="Times New Roman"/>
                <w:sz w:val="28"/>
                <w:szCs w:val="28"/>
              </w:rPr>
            </w:r>
            <w:r>
              <w:rPr>
                <w:rFonts w:ascii="Times New Roman" w:hAnsi="Times New Roman"/>
                <w:sz w:val="28"/>
                <w:szCs w:val="28"/>
              </w:rPr>
            </w:r>
          </w:p>
        </w:tc>
      </w:tr>
      <w:tr>
        <w:tblPrEx/>
        <w:trPr>
          <w:jc w:val="center"/>
        </w:trPr>
        <w:tc>
          <w:tcPr>
            <w:shd w:val="clear" w:color="ffffff" w:fill="ffffff"/>
            <w:tcW w:w="5805" w:type="dxa"/>
            <w:textDirection w:val="lrTb"/>
            <w:noWrap w:val="false"/>
          </w:tcPr>
          <w:p>
            <w:pPr>
              <w:jc w:val="both"/>
              <w:spacing w:after="0"/>
              <w:rPr>
                <w:rFonts w:ascii="Times New Roman" w:hAnsi="Times New Roman"/>
                <w:sz w:val="28"/>
                <w:szCs w:val="28"/>
              </w:rPr>
            </w:pPr>
            <w:r>
              <w:rPr>
                <w:rFonts w:ascii="Times New Roman" w:hAnsi="Times New Roman"/>
                <w:sz w:val="28"/>
                <w:szCs w:val="28"/>
              </w:rPr>
              <w:t xml:space="preserve">В т. ч.</w:t>
            </w:r>
            <w:r>
              <w:rPr>
                <w:rFonts w:ascii="Times New Roman" w:hAnsi="Times New Roman"/>
                <w:sz w:val="28"/>
                <w:szCs w:val="28"/>
              </w:rPr>
            </w:r>
            <w:r>
              <w:rPr>
                <w:rFonts w:ascii="Times New Roman" w:hAnsi="Times New Roman"/>
                <w:sz w:val="28"/>
                <w:szCs w:val="28"/>
              </w:rPr>
            </w:r>
          </w:p>
          <w:p>
            <w:pPr>
              <w:jc w:val="both"/>
              <w:spacing w:after="0"/>
              <w:rPr>
                <w:rFonts w:ascii="Times New Roman" w:hAnsi="Times New Roman"/>
                <w:sz w:val="28"/>
                <w:szCs w:val="28"/>
              </w:rPr>
            </w:pPr>
            <w:r>
              <w:rPr>
                <w:rFonts w:ascii="Times New Roman" w:hAnsi="Times New Roman"/>
                <w:sz w:val="28"/>
                <w:szCs w:val="28"/>
              </w:rPr>
              <w:t xml:space="preserve">- по обжалованию</w:t>
            </w:r>
            <w:r>
              <w:rPr>
                <w:rFonts w:ascii="Times New Roman" w:hAnsi="Times New Roman"/>
                <w:sz w:val="28"/>
                <w:szCs w:val="28"/>
              </w:rPr>
            </w:r>
            <w:r>
              <w:rPr>
                <w:rFonts w:ascii="Times New Roman" w:hAnsi="Times New Roman"/>
                <w:sz w:val="28"/>
                <w:szCs w:val="28"/>
              </w:rPr>
            </w:r>
          </w:p>
        </w:tc>
        <w:tc>
          <w:tcPr>
            <w:shd w:val="clear" w:color="ffffff" w:fill="ffffff"/>
            <w:tcW w:w="1131" w:type="dxa"/>
            <w:vAlign w:val="bottom"/>
            <w:textDirection w:val="lrTb"/>
            <w:noWrap w:val="false"/>
          </w:tcPr>
          <w:p>
            <w:pPr>
              <w:jc w:val="center"/>
              <w:spacing w:after="0"/>
              <w:rPr>
                <w:rFonts w:ascii="Times New Roman" w:hAnsi="Times New Roman"/>
                <w:sz w:val="28"/>
                <w:szCs w:val="28"/>
              </w:rPr>
            </w:pPr>
            <w:r>
              <w:rPr>
                <w:rFonts w:ascii="Times New Roman" w:hAnsi="Times New Roman"/>
                <w:sz w:val="28"/>
                <w:szCs w:val="28"/>
              </w:rPr>
              <w:t xml:space="preserve">326</w:t>
            </w:r>
            <w:r>
              <w:rPr>
                <w:rFonts w:ascii="Times New Roman" w:hAnsi="Times New Roman"/>
                <w:sz w:val="28"/>
                <w:szCs w:val="28"/>
              </w:rPr>
            </w:r>
            <w:r>
              <w:rPr>
                <w:rFonts w:ascii="Times New Roman" w:hAnsi="Times New Roman"/>
                <w:sz w:val="28"/>
                <w:szCs w:val="28"/>
              </w:rPr>
            </w:r>
          </w:p>
        </w:tc>
        <w:tc>
          <w:tcPr>
            <w:shd w:val="clear" w:color="ffffff" w:fill="ffffff"/>
            <w:tcW w:w="998" w:type="dxa"/>
            <w:vAlign w:val="bottom"/>
            <w:textDirection w:val="lrTb"/>
            <w:noWrap w:val="false"/>
          </w:tcPr>
          <w:p>
            <w:pPr>
              <w:jc w:val="center"/>
              <w:spacing w:after="0"/>
              <w:rPr>
                <w:rFonts w:ascii="Times New Roman" w:hAnsi="Times New Roman"/>
                <w:sz w:val="28"/>
                <w:szCs w:val="28"/>
              </w:rPr>
            </w:pPr>
            <w:r>
              <w:rPr>
                <w:rFonts w:ascii="Times New Roman" w:hAnsi="Times New Roman"/>
                <w:sz w:val="28"/>
                <w:szCs w:val="28"/>
              </w:rPr>
              <w:t xml:space="preserve">292</w:t>
            </w:r>
            <w:r>
              <w:rPr>
                <w:rFonts w:ascii="Times New Roman" w:hAnsi="Times New Roman"/>
                <w:sz w:val="28"/>
                <w:szCs w:val="28"/>
              </w:rPr>
            </w:r>
            <w:r>
              <w:rPr>
                <w:rFonts w:ascii="Times New Roman" w:hAnsi="Times New Roman"/>
                <w:sz w:val="28"/>
                <w:szCs w:val="28"/>
              </w:rPr>
            </w:r>
          </w:p>
        </w:tc>
        <w:tc>
          <w:tcPr>
            <w:shd w:val="clear" w:color="ffffff" w:fill="ffffff"/>
            <w:tcW w:w="998" w:type="dxa"/>
            <w:vAlign w:val="bottom"/>
            <w:textDirection w:val="lrTb"/>
            <w:noWrap w:val="false"/>
          </w:tcPr>
          <w:p>
            <w:pPr>
              <w:jc w:val="center"/>
              <w:spacing w:after="0"/>
              <w:rPr>
                <w:rFonts w:ascii="Times New Roman" w:hAnsi="Times New Roman"/>
                <w:sz w:val="28"/>
                <w:szCs w:val="28"/>
              </w:rPr>
            </w:pPr>
            <w:r>
              <w:rPr>
                <w:rFonts w:ascii="Times New Roman" w:hAnsi="Times New Roman"/>
                <w:sz w:val="28"/>
                <w:szCs w:val="28"/>
              </w:rPr>
              <w:t xml:space="preserve">343</w:t>
            </w:r>
            <w:r>
              <w:rPr>
                <w:rFonts w:ascii="Times New Roman" w:hAnsi="Times New Roman"/>
                <w:sz w:val="28"/>
                <w:szCs w:val="28"/>
              </w:rPr>
            </w:r>
            <w:r>
              <w:rPr>
                <w:rFonts w:ascii="Times New Roman" w:hAnsi="Times New Roman"/>
                <w:sz w:val="28"/>
                <w:szCs w:val="28"/>
              </w:rPr>
            </w:r>
          </w:p>
        </w:tc>
      </w:tr>
      <w:tr>
        <w:tblPrEx/>
        <w:trPr>
          <w:jc w:val="center"/>
        </w:trPr>
        <w:tc>
          <w:tcPr>
            <w:shd w:val="clear" w:color="ffffff" w:fill="ffffff"/>
            <w:tcW w:w="5805" w:type="dxa"/>
            <w:textDirection w:val="lrTb"/>
            <w:noWrap w:val="false"/>
          </w:tcPr>
          <w:p>
            <w:pPr>
              <w:spacing w:after="0"/>
              <w:rPr>
                <w:rFonts w:ascii="Times New Roman" w:hAnsi="Times New Roman"/>
                <w:sz w:val="28"/>
                <w:szCs w:val="28"/>
              </w:rPr>
            </w:pPr>
            <w:r>
              <w:rPr>
                <w:rFonts w:ascii="Times New Roman" w:hAnsi="Times New Roman" w:eastAsia="Times New Roman"/>
                <w:sz w:val="28"/>
                <w:szCs w:val="28"/>
              </w:rPr>
              <w:t xml:space="preserve">из них изменено решений</w:t>
            </w:r>
            <w:r>
              <w:rPr>
                <w:rFonts w:ascii="Times New Roman" w:hAnsi="Times New Roman"/>
                <w:sz w:val="28"/>
                <w:szCs w:val="28"/>
              </w:rPr>
            </w:r>
            <w:r>
              <w:rPr>
                <w:rFonts w:ascii="Times New Roman" w:hAnsi="Times New Roman"/>
                <w:sz w:val="28"/>
                <w:szCs w:val="28"/>
              </w:rPr>
            </w:r>
          </w:p>
        </w:tc>
        <w:tc>
          <w:tcPr>
            <w:shd w:val="clear" w:color="ffffff" w:fill="ffffff"/>
            <w:tcW w:w="1131" w:type="dxa"/>
            <w:vAlign w:val="bottom"/>
            <w:textDirection w:val="lrTb"/>
            <w:noWrap w:val="false"/>
          </w:tcPr>
          <w:p>
            <w:pPr>
              <w:jc w:val="center"/>
              <w:spacing w:after="0"/>
              <w:rPr>
                <w:rFonts w:ascii="Times New Roman" w:hAnsi="Times New Roman"/>
                <w:sz w:val="28"/>
                <w:szCs w:val="28"/>
              </w:rPr>
            </w:pPr>
            <w:r>
              <w:rPr>
                <w:rFonts w:ascii="Times New Roman" w:hAnsi="Times New Roman" w:eastAsia="Times New Roman"/>
                <w:sz w:val="28"/>
                <w:szCs w:val="28"/>
                <w:lang w:val="en-US"/>
              </w:rPr>
              <w:t xml:space="preserve">20</w:t>
            </w:r>
            <w:r>
              <w:rPr>
                <w:rFonts w:ascii="Times New Roman" w:hAnsi="Times New Roman"/>
                <w:sz w:val="28"/>
                <w:szCs w:val="28"/>
              </w:rPr>
            </w:r>
            <w:r>
              <w:rPr>
                <w:rFonts w:ascii="Times New Roman" w:hAnsi="Times New Roman"/>
                <w:sz w:val="28"/>
                <w:szCs w:val="28"/>
              </w:rPr>
            </w:r>
          </w:p>
        </w:tc>
        <w:tc>
          <w:tcPr>
            <w:shd w:val="clear" w:color="ffffff" w:fill="ffffff"/>
            <w:tcW w:w="998" w:type="dxa"/>
            <w:vAlign w:val="bottom"/>
            <w:textDirection w:val="lrTb"/>
            <w:noWrap w:val="false"/>
          </w:tcPr>
          <w:p>
            <w:pPr>
              <w:jc w:val="center"/>
              <w:spacing w:after="0"/>
              <w:rPr>
                <w:rFonts w:ascii="Times New Roman" w:hAnsi="Times New Roman"/>
                <w:sz w:val="28"/>
                <w:szCs w:val="28"/>
              </w:rPr>
            </w:pPr>
            <w:r>
              <w:rPr>
                <w:rFonts w:ascii="Times New Roman" w:hAnsi="Times New Roman" w:eastAsia="Times New Roman"/>
                <w:sz w:val="28"/>
                <w:szCs w:val="28"/>
              </w:rPr>
              <w:t xml:space="preserve">22</w:t>
            </w:r>
            <w:r>
              <w:rPr>
                <w:rFonts w:ascii="Times New Roman" w:hAnsi="Times New Roman"/>
                <w:sz w:val="28"/>
                <w:szCs w:val="28"/>
              </w:rPr>
            </w:r>
            <w:r>
              <w:rPr>
                <w:rFonts w:ascii="Times New Roman" w:hAnsi="Times New Roman"/>
                <w:sz w:val="28"/>
                <w:szCs w:val="28"/>
              </w:rPr>
            </w:r>
          </w:p>
        </w:tc>
        <w:tc>
          <w:tcPr>
            <w:shd w:val="clear" w:color="ffffff" w:fill="ffffff"/>
            <w:tcW w:w="998" w:type="dxa"/>
            <w:vAlign w:val="bottom"/>
            <w:textDirection w:val="lrTb"/>
            <w:noWrap w:val="false"/>
          </w:tcPr>
          <w:p>
            <w:pPr>
              <w:jc w:val="center"/>
              <w:spacing w:after="0"/>
              <w:rPr>
                <w:rFonts w:ascii="Times New Roman" w:hAnsi="Times New Roman"/>
                <w:sz w:val="28"/>
                <w:szCs w:val="28"/>
              </w:rPr>
            </w:pPr>
            <w:r>
              <w:rPr>
                <w:rFonts w:ascii="Times New Roman" w:hAnsi="Times New Roman" w:eastAsia="Times New Roman"/>
                <w:sz w:val="28"/>
                <w:szCs w:val="28"/>
              </w:rPr>
              <w:t xml:space="preserve">37</w:t>
            </w:r>
            <w:r>
              <w:rPr>
                <w:rFonts w:ascii="Times New Roman" w:hAnsi="Times New Roman"/>
                <w:sz w:val="28"/>
                <w:szCs w:val="28"/>
              </w:rPr>
            </w:r>
            <w:r>
              <w:rPr>
                <w:rFonts w:ascii="Times New Roman" w:hAnsi="Times New Roman"/>
                <w:sz w:val="28"/>
                <w:szCs w:val="28"/>
              </w:rPr>
            </w:r>
          </w:p>
        </w:tc>
      </w:tr>
      <w:tr>
        <w:tblPrEx/>
        <w:trPr>
          <w:jc w:val="center"/>
        </w:trPr>
        <w:tc>
          <w:tcPr>
            <w:shd w:val="clear" w:color="ffffff" w:fill="ffffff"/>
            <w:tcW w:w="5805" w:type="dxa"/>
            <w:textDirection w:val="lrTb"/>
            <w:noWrap w:val="false"/>
          </w:tcPr>
          <w:p>
            <w:pPr>
              <w:spacing w:after="0"/>
              <w:rPr>
                <w:rFonts w:ascii="Times New Roman" w:hAnsi="Times New Roman"/>
                <w:sz w:val="28"/>
                <w:szCs w:val="28"/>
              </w:rPr>
            </w:pPr>
            <w:r>
              <w:rPr>
                <w:rFonts w:ascii="Times New Roman" w:hAnsi="Times New Roman" w:eastAsia="Times New Roman"/>
                <w:sz w:val="28"/>
                <w:szCs w:val="28"/>
              </w:rPr>
              <w:t xml:space="preserve">в %</w:t>
            </w:r>
            <w:r>
              <w:rPr>
                <w:rFonts w:ascii="Times New Roman" w:hAnsi="Times New Roman"/>
                <w:sz w:val="28"/>
                <w:szCs w:val="28"/>
              </w:rPr>
            </w:r>
            <w:r>
              <w:rPr>
                <w:rFonts w:ascii="Times New Roman" w:hAnsi="Times New Roman"/>
                <w:sz w:val="28"/>
                <w:szCs w:val="28"/>
              </w:rPr>
            </w:r>
          </w:p>
        </w:tc>
        <w:tc>
          <w:tcPr>
            <w:shd w:val="clear" w:color="ffffff" w:fill="ffffff"/>
            <w:tcW w:w="1131" w:type="dxa"/>
            <w:vAlign w:val="bottom"/>
            <w:textDirection w:val="lrTb"/>
            <w:noWrap w:val="false"/>
          </w:tcPr>
          <w:p>
            <w:pPr>
              <w:jc w:val="center"/>
              <w:spacing w:after="0"/>
              <w:rPr>
                <w:rFonts w:ascii="Times New Roman" w:hAnsi="Times New Roman"/>
                <w:sz w:val="28"/>
                <w:szCs w:val="28"/>
              </w:rPr>
            </w:pPr>
            <w:r>
              <w:rPr>
                <w:rFonts w:ascii="Times New Roman" w:hAnsi="Times New Roman" w:eastAsia="Times New Roman"/>
                <w:sz w:val="28"/>
                <w:szCs w:val="28"/>
                <w:lang w:val="en-US"/>
              </w:rPr>
              <w:t xml:space="preserve">6,1</w:t>
            </w:r>
            <w:r>
              <w:rPr>
                <w:rFonts w:ascii="Times New Roman" w:hAnsi="Times New Roman"/>
                <w:sz w:val="28"/>
                <w:szCs w:val="28"/>
              </w:rPr>
            </w:r>
            <w:r>
              <w:rPr>
                <w:rFonts w:ascii="Times New Roman" w:hAnsi="Times New Roman"/>
                <w:sz w:val="28"/>
                <w:szCs w:val="28"/>
              </w:rPr>
            </w:r>
          </w:p>
        </w:tc>
        <w:tc>
          <w:tcPr>
            <w:shd w:val="clear" w:color="ffffff" w:fill="ffffff"/>
            <w:tcW w:w="998" w:type="dxa"/>
            <w:vAlign w:val="bottom"/>
            <w:textDirection w:val="lrTb"/>
            <w:noWrap w:val="false"/>
          </w:tcPr>
          <w:p>
            <w:pPr>
              <w:jc w:val="center"/>
              <w:spacing w:after="0"/>
              <w:rPr>
                <w:rFonts w:ascii="Times New Roman" w:hAnsi="Times New Roman"/>
                <w:sz w:val="28"/>
                <w:szCs w:val="28"/>
              </w:rPr>
            </w:pPr>
            <w:r>
              <w:rPr>
                <w:rFonts w:ascii="Times New Roman" w:hAnsi="Times New Roman" w:eastAsia="Times New Roman"/>
                <w:sz w:val="28"/>
                <w:szCs w:val="28"/>
              </w:rPr>
              <w:t xml:space="preserve">7,5</w:t>
            </w:r>
            <w:r>
              <w:rPr>
                <w:rFonts w:ascii="Times New Roman" w:hAnsi="Times New Roman"/>
                <w:sz w:val="28"/>
                <w:szCs w:val="28"/>
              </w:rPr>
            </w:r>
            <w:r>
              <w:rPr>
                <w:rFonts w:ascii="Times New Roman" w:hAnsi="Times New Roman"/>
                <w:sz w:val="28"/>
                <w:szCs w:val="28"/>
              </w:rPr>
            </w:r>
          </w:p>
        </w:tc>
        <w:tc>
          <w:tcPr>
            <w:shd w:val="clear" w:color="ffffff" w:fill="ffffff"/>
            <w:tcW w:w="998" w:type="dxa"/>
            <w:vAlign w:val="bottom"/>
            <w:textDirection w:val="lrTb"/>
            <w:noWrap w:val="false"/>
          </w:tcPr>
          <w:p>
            <w:pPr>
              <w:jc w:val="center"/>
              <w:spacing w:after="0"/>
              <w:rPr>
                <w:rFonts w:ascii="Times New Roman" w:hAnsi="Times New Roman"/>
                <w:sz w:val="28"/>
                <w:szCs w:val="28"/>
              </w:rPr>
            </w:pPr>
            <w:r>
              <w:rPr>
                <w:rFonts w:ascii="Times New Roman" w:hAnsi="Times New Roman" w:eastAsia="Times New Roman"/>
                <w:sz w:val="28"/>
                <w:szCs w:val="28"/>
              </w:rPr>
              <w:t xml:space="preserve">10,8</w:t>
            </w:r>
            <w:r>
              <w:rPr>
                <w:rFonts w:ascii="Times New Roman" w:hAnsi="Times New Roman"/>
                <w:sz w:val="28"/>
                <w:szCs w:val="28"/>
              </w:rPr>
            </w:r>
            <w:r>
              <w:rPr>
                <w:rFonts w:ascii="Times New Roman" w:hAnsi="Times New Roman"/>
                <w:sz w:val="28"/>
                <w:szCs w:val="28"/>
              </w:rPr>
            </w:r>
          </w:p>
        </w:tc>
      </w:tr>
      <w:tr>
        <w:tblPrEx/>
        <w:trPr>
          <w:jc w:val="center"/>
        </w:trPr>
        <w:tc>
          <w:tcPr>
            <w:shd w:val="clear" w:color="ffffff" w:fill="ffffff"/>
            <w:tcW w:w="5805" w:type="dxa"/>
            <w:textDirection w:val="lrTb"/>
            <w:noWrap w:val="false"/>
          </w:tcPr>
          <w:p>
            <w:pPr>
              <w:spacing w:after="0"/>
              <w:rPr>
                <w:rFonts w:ascii="Times New Roman" w:hAnsi="Times New Roman"/>
                <w:sz w:val="28"/>
                <w:szCs w:val="28"/>
              </w:rPr>
            </w:pPr>
            <w:r>
              <w:rPr>
                <w:rFonts w:ascii="Times New Roman" w:hAnsi="Times New Roman" w:eastAsia="Times New Roman"/>
                <w:sz w:val="28"/>
                <w:szCs w:val="28"/>
              </w:rPr>
              <w:t xml:space="preserve">- по контролю</w:t>
            </w:r>
            <w:r>
              <w:rPr>
                <w:rFonts w:ascii="Times New Roman" w:hAnsi="Times New Roman"/>
                <w:sz w:val="28"/>
                <w:szCs w:val="28"/>
              </w:rPr>
            </w:r>
            <w:r>
              <w:rPr>
                <w:rFonts w:ascii="Times New Roman" w:hAnsi="Times New Roman"/>
                <w:sz w:val="28"/>
                <w:szCs w:val="28"/>
              </w:rPr>
            </w:r>
          </w:p>
        </w:tc>
        <w:tc>
          <w:tcPr>
            <w:shd w:val="clear" w:color="ffffff" w:fill="ffffff"/>
            <w:tcW w:w="1131" w:type="dxa"/>
            <w:vAlign w:val="bottom"/>
            <w:textDirection w:val="lrTb"/>
            <w:noWrap w:val="false"/>
          </w:tcPr>
          <w:p>
            <w:pPr>
              <w:jc w:val="center"/>
              <w:spacing w:after="0"/>
              <w:rPr>
                <w:rFonts w:ascii="Times New Roman" w:hAnsi="Times New Roman"/>
                <w:sz w:val="28"/>
                <w:szCs w:val="28"/>
              </w:rPr>
            </w:pPr>
            <w:r>
              <w:rPr>
                <w:rFonts w:ascii="Times New Roman" w:hAnsi="Times New Roman" w:eastAsia="Times New Roman"/>
                <w:sz w:val="28"/>
                <w:szCs w:val="28"/>
                <w:lang w:val="en-US"/>
              </w:rPr>
              <w:t xml:space="preserve">1609</w:t>
            </w:r>
            <w:r>
              <w:rPr>
                <w:rFonts w:ascii="Times New Roman" w:hAnsi="Times New Roman"/>
                <w:sz w:val="28"/>
                <w:szCs w:val="28"/>
              </w:rPr>
            </w:r>
            <w:r>
              <w:rPr>
                <w:rFonts w:ascii="Times New Roman" w:hAnsi="Times New Roman"/>
                <w:sz w:val="28"/>
                <w:szCs w:val="28"/>
              </w:rPr>
            </w:r>
          </w:p>
        </w:tc>
        <w:tc>
          <w:tcPr>
            <w:shd w:val="clear" w:color="ffffff" w:fill="ffffff"/>
            <w:tcW w:w="998" w:type="dxa"/>
            <w:vAlign w:val="bottom"/>
            <w:textDirection w:val="lrTb"/>
            <w:noWrap w:val="false"/>
          </w:tcPr>
          <w:p>
            <w:pPr>
              <w:jc w:val="center"/>
              <w:spacing w:after="0"/>
              <w:rPr>
                <w:rFonts w:ascii="Times New Roman" w:hAnsi="Times New Roman"/>
                <w:sz w:val="28"/>
                <w:szCs w:val="28"/>
              </w:rPr>
            </w:pPr>
            <w:r>
              <w:rPr>
                <w:rFonts w:ascii="Times New Roman" w:hAnsi="Times New Roman" w:eastAsia="Times New Roman"/>
                <w:sz w:val="28"/>
                <w:szCs w:val="28"/>
              </w:rPr>
              <w:t xml:space="preserve">1242</w:t>
            </w:r>
            <w:r>
              <w:rPr>
                <w:rFonts w:ascii="Times New Roman" w:hAnsi="Times New Roman"/>
                <w:sz w:val="28"/>
                <w:szCs w:val="28"/>
              </w:rPr>
            </w:r>
            <w:r>
              <w:rPr>
                <w:rFonts w:ascii="Times New Roman" w:hAnsi="Times New Roman"/>
                <w:sz w:val="28"/>
                <w:szCs w:val="28"/>
              </w:rPr>
            </w:r>
          </w:p>
        </w:tc>
        <w:tc>
          <w:tcPr>
            <w:shd w:val="clear" w:color="ffffff" w:fill="ffffff"/>
            <w:tcW w:w="998" w:type="dxa"/>
            <w:vAlign w:val="bottom"/>
            <w:textDirection w:val="lrTb"/>
            <w:noWrap w:val="false"/>
          </w:tcPr>
          <w:p>
            <w:pPr>
              <w:jc w:val="center"/>
              <w:spacing w:after="0"/>
              <w:rPr>
                <w:rFonts w:ascii="Times New Roman" w:hAnsi="Times New Roman"/>
                <w:sz w:val="28"/>
                <w:szCs w:val="28"/>
              </w:rPr>
            </w:pPr>
            <w:r>
              <w:rPr>
                <w:rFonts w:ascii="Times New Roman" w:hAnsi="Times New Roman" w:eastAsia="Times New Roman"/>
                <w:sz w:val="28"/>
                <w:szCs w:val="28"/>
              </w:rPr>
              <w:t xml:space="preserve">940</w:t>
            </w:r>
            <w:r>
              <w:rPr>
                <w:rFonts w:ascii="Times New Roman" w:hAnsi="Times New Roman"/>
                <w:sz w:val="28"/>
                <w:szCs w:val="28"/>
              </w:rPr>
            </w:r>
            <w:r>
              <w:rPr>
                <w:rFonts w:ascii="Times New Roman" w:hAnsi="Times New Roman"/>
                <w:sz w:val="28"/>
                <w:szCs w:val="28"/>
              </w:rPr>
            </w:r>
          </w:p>
        </w:tc>
      </w:tr>
      <w:tr>
        <w:tblPrEx/>
        <w:trPr>
          <w:jc w:val="center"/>
        </w:trPr>
        <w:tc>
          <w:tcPr>
            <w:shd w:val="clear" w:color="ffffff" w:fill="ffffff"/>
            <w:tcW w:w="5805" w:type="dxa"/>
            <w:textDirection w:val="lrTb"/>
            <w:noWrap w:val="false"/>
          </w:tcPr>
          <w:p>
            <w:pPr>
              <w:spacing w:after="0"/>
              <w:rPr>
                <w:rFonts w:ascii="Times New Roman" w:hAnsi="Times New Roman"/>
                <w:sz w:val="28"/>
                <w:szCs w:val="28"/>
              </w:rPr>
            </w:pPr>
            <w:r>
              <w:rPr>
                <w:rFonts w:ascii="Times New Roman" w:hAnsi="Times New Roman" w:eastAsia="Times New Roman"/>
                <w:sz w:val="28"/>
                <w:szCs w:val="28"/>
              </w:rPr>
              <w:t xml:space="preserve">из них изменено решений</w:t>
            </w:r>
            <w:r>
              <w:rPr>
                <w:rFonts w:ascii="Times New Roman" w:hAnsi="Times New Roman"/>
                <w:sz w:val="28"/>
                <w:szCs w:val="28"/>
              </w:rPr>
            </w:r>
            <w:r>
              <w:rPr>
                <w:rFonts w:ascii="Times New Roman" w:hAnsi="Times New Roman"/>
                <w:sz w:val="28"/>
                <w:szCs w:val="28"/>
              </w:rPr>
            </w:r>
          </w:p>
        </w:tc>
        <w:tc>
          <w:tcPr>
            <w:shd w:val="clear" w:color="ffffff" w:fill="ffffff"/>
            <w:tcW w:w="1131" w:type="dxa"/>
            <w:vAlign w:val="bottom"/>
            <w:textDirection w:val="lrTb"/>
            <w:noWrap w:val="false"/>
          </w:tcPr>
          <w:p>
            <w:pPr>
              <w:jc w:val="center"/>
              <w:spacing w:after="0"/>
              <w:rPr>
                <w:rFonts w:ascii="Times New Roman" w:hAnsi="Times New Roman"/>
                <w:sz w:val="28"/>
                <w:szCs w:val="28"/>
              </w:rPr>
            </w:pPr>
            <w:r>
              <w:rPr>
                <w:rFonts w:ascii="Times New Roman" w:hAnsi="Times New Roman" w:eastAsia="Times New Roman"/>
                <w:sz w:val="28"/>
                <w:szCs w:val="28"/>
                <w:lang w:val="en-US"/>
              </w:rPr>
              <w:t xml:space="preserve">258</w:t>
            </w:r>
            <w:r>
              <w:rPr>
                <w:rFonts w:ascii="Times New Roman" w:hAnsi="Times New Roman"/>
                <w:sz w:val="28"/>
                <w:szCs w:val="28"/>
              </w:rPr>
            </w:r>
            <w:r>
              <w:rPr>
                <w:rFonts w:ascii="Times New Roman" w:hAnsi="Times New Roman"/>
                <w:sz w:val="28"/>
                <w:szCs w:val="28"/>
              </w:rPr>
            </w:r>
          </w:p>
        </w:tc>
        <w:tc>
          <w:tcPr>
            <w:shd w:val="clear" w:color="ffffff" w:fill="ffffff"/>
            <w:tcW w:w="998" w:type="dxa"/>
            <w:vAlign w:val="bottom"/>
            <w:textDirection w:val="lrTb"/>
            <w:noWrap w:val="false"/>
          </w:tcPr>
          <w:p>
            <w:pPr>
              <w:jc w:val="center"/>
              <w:spacing w:after="0"/>
              <w:rPr>
                <w:rFonts w:ascii="Times New Roman" w:hAnsi="Times New Roman"/>
                <w:sz w:val="28"/>
                <w:szCs w:val="28"/>
              </w:rPr>
            </w:pPr>
            <w:r>
              <w:rPr>
                <w:rFonts w:ascii="Times New Roman" w:hAnsi="Times New Roman" w:eastAsia="Times New Roman"/>
                <w:sz w:val="28"/>
                <w:szCs w:val="28"/>
              </w:rPr>
              <w:t xml:space="preserve">208</w:t>
            </w:r>
            <w:r>
              <w:rPr>
                <w:rFonts w:ascii="Times New Roman" w:hAnsi="Times New Roman"/>
                <w:sz w:val="28"/>
                <w:szCs w:val="28"/>
              </w:rPr>
            </w:r>
            <w:r>
              <w:rPr>
                <w:rFonts w:ascii="Times New Roman" w:hAnsi="Times New Roman"/>
                <w:sz w:val="28"/>
                <w:szCs w:val="28"/>
              </w:rPr>
            </w:r>
          </w:p>
        </w:tc>
        <w:tc>
          <w:tcPr>
            <w:shd w:val="clear" w:color="ffffff" w:fill="ffffff"/>
            <w:tcW w:w="998" w:type="dxa"/>
            <w:vAlign w:val="bottom"/>
            <w:textDirection w:val="lrTb"/>
            <w:noWrap w:val="false"/>
          </w:tcPr>
          <w:p>
            <w:pPr>
              <w:jc w:val="center"/>
              <w:spacing w:after="0"/>
              <w:rPr>
                <w:rFonts w:ascii="Times New Roman" w:hAnsi="Times New Roman"/>
                <w:sz w:val="28"/>
                <w:szCs w:val="28"/>
              </w:rPr>
            </w:pPr>
            <w:r>
              <w:rPr>
                <w:rFonts w:ascii="Times New Roman" w:hAnsi="Times New Roman" w:eastAsia="Times New Roman"/>
                <w:sz w:val="28"/>
                <w:szCs w:val="28"/>
              </w:rPr>
              <w:t xml:space="preserve">350</w:t>
            </w:r>
            <w:r>
              <w:rPr>
                <w:rFonts w:ascii="Times New Roman" w:hAnsi="Times New Roman"/>
                <w:sz w:val="28"/>
                <w:szCs w:val="28"/>
              </w:rPr>
            </w:r>
            <w:r>
              <w:rPr>
                <w:rFonts w:ascii="Times New Roman" w:hAnsi="Times New Roman"/>
                <w:sz w:val="28"/>
                <w:szCs w:val="28"/>
              </w:rPr>
            </w:r>
          </w:p>
        </w:tc>
      </w:tr>
      <w:tr>
        <w:tblPrEx/>
        <w:trPr>
          <w:jc w:val="center"/>
        </w:trPr>
        <w:tc>
          <w:tcPr>
            <w:shd w:val="clear" w:color="ffffff" w:fill="ffffff"/>
            <w:tcW w:w="5805" w:type="dxa"/>
            <w:textDirection w:val="lrTb"/>
            <w:noWrap w:val="false"/>
          </w:tcPr>
          <w:p>
            <w:pPr>
              <w:spacing w:after="0"/>
              <w:rPr>
                <w:rFonts w:ascii="Times New Roman" w:hAnsi="Times New Roman"/>
                <w:sz w:val="28"/>
                <w:szCs w:val="28"/>
              </w:rPr>
            </w:pPr>
            <w:r>
              <w:rPr>
                <w:rFonts w:ascii="Times New Roman" w:hAnsi="Times New Roman" w:eastAsia="Times New Roman"/>
                <w:sz w:val="28"/>
                <w:szCs w:val="28"/>
              </w:rPr>
              <w:t xml:space="preserve">в %</w:t>
            </w:r>
            <w:r>
              <w:rPr>
                <w:rFonts w:ascii="Times New Roman" w:hAnsi="Times New Roman"/>
                <w:sz w:val="28"/>
                <w:szCs w:val="28"/>
              </w:rPr>
            </w:r>
            <w:r>
              <w:rPr>
                <w:rFonts w:ascii="Times New Roman" w:hAnsi="Times New Roman"/>
                <w:sz w:val="28"/>
                <w:szCs w:val="28"/>
              </w:rPr>
            </w:r>
          </w:p>
        </w:tc>
        <w:tc>
          <w:tcPr>
            <w:shd w:val="clear" w:color="ffffff" w:fill="ffffff"/>
            <w:tcW w:w="1131" w:type="dxa"/>
            <w:vAlign w:val="bottom"/>
            <w:textDirection w:val="lrTb"/>
            <w:noWrap w:val="false"/>
          </w:tcPr>
          <w:p>
            <w:pPr>
              <w:jc w:val="center"/>
              <w:spacing w:after="0"/>
              <w:rPr>
                <w:rFonts w:ascii="Times New Roman" w:hAnsi="Times New Roman"/>
                <w:sz w:val="28"/>
                <w:szCs w:val="28"/>
              </w:rPr>
            </w:pPr>
            <w:r>
              <w:rPr>
                <w:rFonts w:ascii="Times New Roman" w:hAnsi="Times New Roman" w:eastAsia="Times New Roman"/>
                <w:sz w:val="28"/>
                <w:szCs w:val="28"/>
                <w:lang w:val="en-US"/>
              </w:rPr>
              <w:t xml:space="preserve">16,0</w:t>
            </w:r>
            <w:r>
              <w:rPr>
                <w:rFonts w:ascii="Times New Roman" w:hAnsi="Times New Roman"/>
                <w:sz w:val="28"/>
                <w:szCs w:val="28"/>
              </w:rPr>
            </w:r>
            <w:r>
              <w:rPr>
                <w:rFonts w:ascii="Times New Roman" w:hAnsi="Times New Roman"/>
                <w:sz w:val="28"/>
                <w:szCs w:val="28"/>
              </w:rPr>
            </w:r>
          </w:p>
        </w:tc>
        <w:tc>
          <w:tcPr>
            <w:shd w:val="clear" w:color="ffffff" w:fill="ffffff"/>
            <w:tcW w:w="998" w:type="dxa"/>
            <w:vAlign w:val="bottom"/>
            <w:textDirection w:val="lrTb"/>
            <w:noWrap w:val="false"/>
          </w:tcPr>
          <w:p>
            <w:pPr>
              <w:jc w:val="center"/>
              <w:spacing w:after="0"/>
              <w:rPr>
                <w:rFonts w:ascii="Times New Roman" w:hAnsi="Times New Roman"/>
                <w:sz w:val="28"/>
                <w:szCs w:val="28"/>
              </w:rPr>
            </w:pPr>
            <w:r>
              <w:rPr>
                <w:rFonts w:ascii="Times New Roman" w:hAnsi="Times New Roman" w:eastAsia="Times New Roman"/>
                <w:sz w:val="28"/>
                <w:szCs w:val="28"/>
              </w:rPr>
              <w:t xml:space="preserve">16,7</w:t>
            </w:r>
            <w:r>
              <w:rPr>
                <w:rFonts w:ascii="Times New Roman" w:hAnsi="Times New Roman"/>
                <w:sz w:val="28"/>
                <w:szCs w:val="28"/>
              </w:rPr>
            </w:r>
            <w:r>
              <w:rPr>
                <w:rFonts w:ascii="Times New Roman" w:hAnsi="Times New Roman"/>
                <w:sz w:val="28"/>
                <w:szCs w:val="28"/>
              </w:rPr>
            </w:r>
          </w:p>
        </w:tc>
        <w:tc>
          <w:tcPr>
            <w:shd w:val="clear" w:color="ffffff" w:fill="ffffff"/>
            <w:tcW w:w="998" w:type="dxa"/>
            <w:vAlign w:val="bottom"/>
            <w:textDirection w:val="lrTb"/>
            <w:noWrap w:val="false"/>
          </w:tcPr>
          <w:p>
            <w:pPr>
              <w:jc w:val="center"/>
              <w:spacing w:after="0"/>
              <w:rPr>
                <w:rFonts w:ascii="Times New Roman" w:hAnsi="Times New Roman"/>
                <w:sz w:val="28"/>
                <w:szCs w:val="28"/>
              </w:rPr>
            </w:pPr>
            <w:r>
              <w:rPr>
                <w:rFonts w:ascii="Times New Roman" w:hAnsi="Times New Roman" w:eastAsia="Times New Roman"/>
                <w:sz w:val="28"/>
                <w:szCs w:val="28"/>
              </w:rPr>
              <w:t xml:space="preserve">37,2</w:t>
            </w:r>
            <w:r>
              <w:rPr>
                <w:rFonts w:ascii="Times New Roman" w:hAnsi="Times New Roman"/>
                <w:sz w:val="28"/>
                <w:szCs w:val="28"/>
              </w:rPr>
            </w:r>
            <w:r>
              <w:rPr>
                <w:rFonts w:ascii="Times New Roman" w:hAnsi="Times New Roman"/>
                <w:sz w:val="28"/>
                <w:szCs w:val="28"/>
              </w:rPr>
            </w:r>
          </w:p>
        </w:tc>
      </w:tr>
      <w:tr>
        <w:tblPrEx/>
        <w:trPr>
          <w:jc w:val="center"/>
        </w:trPr>
        <w:tc>
          <w:tcPr>
            <w:shd w:val="clear" w:color="ffffff" w:fill="ffffff"/>
            <w:tcW w:w="5805" w:type="dxa"/>
            <w:textDirection w:val="lrTb"/>
            <w:noWrap w:val="false"/>
          </w:tcPr>
          <w:p>
            <w:pPr>
              <w:spacing w:after="0"/>
              <w:rPr>
                <w:rFonts w:ascii="Times New Roman" w:hAnsi="Times New Roman"/>
                <w:sz w:val="28"/>
                <w:szCs w:val="28"/>
              </w:rPr>
            </w:pPr>
            <w:r>
              <w:rPr>
                <w:rFonts w:ascii="Times New Roman" w:hAnsi="Times New Roman" w:eastAsia="Times New Roman"/>
                <w:sz w:val="28"/>
                <w:szCs w:val="28"/>
              </w:rPr>
              <w:t xml:space="preserve">- по консультации</w:t>
            </w:r>
            <w:r>
              <w:rPr>
                <w:rFonts w:ascii="Times New Roman" w:hAnsi="Times New Roman"/>
                <w:sz w:val="28"/>
                <w:szCs w:val="28"/>
              </w:rPr>
            </w:r>
            <w:r>
              <w:rPr>
                <w:rFonts w:ascii="Times New Roman" w:hAnsi="Times New Roman"/>
                <w:sz w:val="28"/>
                <w:szCs w:val="28"/>
              </w:rPr>
            </w:r>
          </w:p>
        </w:tc>
        <w:tc>
          <w:tcPr>
            <w:shd w:val="clear" w:color="ffffff" w:fill="ffffff"/>
            <w:tcW w:w="1131" w:type="dxa"/>
            <w:vAlign w:val="bottom"/>
            <w:textDirection w:val="lrTb"/>
            <w:noWrap w:val="false"/>
          </w:tcPr>
          <w:p>
            <w:pPr>
              <w:jc w:val="center"/>
              <w:spacing w:after="0"/>
              <w:rPr>
                <w:rFonts w:ascii="Times New Roman" w:hAnsi="Times New Roman"/>
                <w:sz w:val="28"/>
                <w:szCs w:val="28"/>
              </w:rPr>
            </w:pPr>
            <w:r>
              <w:rPr>
                <w:rFonts w:ascii="Times New Roman" w:hAnsi="Times New Roman" w:eastAsia="Times New Roman"/>
                <w:sz w:val="28"/>
                <w:szCs w:val="28"/>
                <w:lang w:val="en-US"/>
              </w:rPr>
              <w:t xml:space="preserve">88</w:t>
            </w:r>
            <w:r>
              <w:rPr>
                <w:rFonts w:ascii="Times New Roman" w:hAnsi="Times New Roman"/>
                <w:sz w:val="28"/>
                <w:szCs w:val="28"/>
              </w:rPr>
            </w:r>
            <w:r>
              <w:rPr>
                <w:rFonts w:ascii="Times New Roman" w:hAnsi="Times New Roman"/>
                <w:sz w:val="28"/>
                <w:szCs w:val="28"/>
              </w:rPr>
            </w:r>
          </w:p>
        </w:tc>
        <w:tc>
          <w:tcPr>
            <w:shd w:val="clear" w:color="ffffff" w:fill="ffffff"/>
            <w:tcW w:w="998" w:type="dxa"/>
            <w:vAlign w:val="bottom"/>
            <w:textDirection w:val="lrTb"/>
            <w:noWrap w:val="false"/>
          </w:tcPr>
          <w:p>
            <w:pPr>
              <w:jc w:val="center"/>
              <w:spacing w:after="0"/>
              <w:rPr>
                <w:rFonts w:ascii="Times New Roman" w:hAnsi="Times New Roman"/>
                <w:sz w:val="28"/>
                <w:szCs w:val="28"/>
              </w:rPr>
            </w:pPr>
            <w:r>
              <w:rPr>
                <w:rFonts w:ascii="Times New Roman" w:hAnsi="Times New Roman" w:eastAsia="Times New Roman"/>
                <w:sz w:val="28"/>
                <w:szCs w:val="28"/>
              </w:rPr>
              <w:t xml:space="preserve">47</w:t>
            </w:r>
            <w:r>
              <w:rPr>
                <w:rFonts w:ascii="Times New Roman" w:hAnsi="Times New Roman"/>
                <w:sz w:val="28"/>
                <w:szCs w:val="28"/>
              </w:rPr>
            </w:r>
            <w:r>
              <w:rPr>
                <w:rFonts w:ascii="Times New Roman" w:hAnsi="Times New Roman"/>
                <w:sz w:val="28"/>
                <w:szCs w:val="28"/>
              </w:rPr>
            </w:r>
          </w:p>
        </w:tc>
        <w:tc>
          <w:tcPr>
            <w:shd w:val="clear" w:color="ffffff" w:fill="ffffff"/>
            <w:tcW w:w="998" w:type="dxa"/>
            <w:vAlign w:val="bottom"/>
            <w:textDirection w:val="lrTb"/>
            <w:noWrap w:val="false"/>
          </w:tcPr>
          <w:p>
            <w:pPr>
              <w:jc w:val="center"/>
              <w:spacing w:after="0"/>
              <w:rPr>
                <w:rFonts w:ascii="Times New Roman" w:hAnsi="Times New Roman"/>
                <w:sz w:val="28"/>
                <w:szCs w:val="28"/>
              </w:rPr>
            </w:pPr>
            <w:r>
              <w:rPr>
                <w:rFonts w:ascii="Times New Roman" w:hAnsi="Times New Roman" w:eastAsia="Times New Roman"/>
                <w:sz w:val="28"/>
                <w:szCs w:val="28"/>
              </w:rPr>
              <w:t xml:space="preserve">9</w:t>
            </w:r>
            <w:r>
              <w:rPr>
                <w:rFonts w:ascii="Times New Roman" w:hAnsi="Times New Roman"/>
                <w:sz w:val="28"/>
                <w:szCs w:val="28"/>
              </w:rPr>
            </w:r>
            <w:r>
              <w:rPr>
                <w:rFonts w:ascii="Times New Roman" w:hAnsi="Times New Roman"/>
                <w:sz w:val="28"/>
                <w:szCs w:val="28"/>
              </w:rPr>
            </w:r>
          </w:p>
        </w:tc>
      </w:tr>
      <w:tr>
        <w:tblPrEx/>
        <w:trPr>
          <w:jc w:val="center"/>
        </w:trPr>
        <w:tc>
          <w:tcPr>
            <w:shd w:val="clear" w:color="ffffff" w:fill="ffffff"/>
            <w:tcW w:w="5805" w:type="dxa"/>
            <w:textDirection w:val="lrTb"/>
            <w:noWrap w:val="false"/>
          </w:tcPr>
          <w:p>
            <w:pPr>
              <w:spacing w:after="0"/>
              <w:rPr>
                <w:rFonts w:ascii="Times New Roman" w:hAnsi="Times New Roman"/>
                <w:sz w:val="28"/>
                <w:szCs w:val="28"/>
              </w:rPr>
            </w:pPr>
            <w:r>
              <w:rPr>
                <w:rFonts w:ascii="Times New Roman" w:hAnsi="Times New Roman" w:eastAsia="Times New Roman"/>
                <w:sz w:val="28"/>
                <w:szCs w:val="28"/>
              </w:rPr>
              <w:t xml:space="preserve">Число проверенных актов</w:t>
            </w:r>
            <w:r>
              <w:rPr>
                <w:rFonts w:ascii="Times New Roman" w:hAnsi="Times New Roman"/>
                <w:sz w:val="28"/>
                <w:szCs w:val="28"/>
              </w:rPr>
            </w:r>
            <w:r>
              <w:rPr>
                <w:rFonts w:ascii="Times New Roman" w:hAnsi="Times New Roman"/>
                <w:sz w:val="28"/>
                <w:szCs w:val="28"/>
              </w:rPr>
            </w:r>
          </w:p>
        </w:tc>
        <w:tc>
          <w:tcPr>
            <w:shd w:val="clear" w:color="ffffff" w:fill="ffffff"/>
            <w:tcW w:w="1131" w:type="dxa"/>
            <w:vAlign w:val="bottom"/>
            <w:textDirection w:val="lrTb"/>
            <w:noWrap w:val="false"/>
          </w:tcPr>
          <w:p>
            <w:pPr>
              <w:jc w:val="center"/>
              <w:spacing w:after="0"/>
              <w:rPr>
                <w:rFonts w:ascii="Times New Roman" w:hAnsi="Times New Roman"/>
                <w:sz w:val="28"/>
                <w:szCs w:val="28"/>
              </w:rPr>
            </w:pPr>
            <w:r>
              <w:rPr>
                <w:rFonts w:ascii="Times New Roman" w:hAnsi="Times New Roman" w:eastAsia="Times New Roman"/>
                <w:sz w:val="28"/>
                <w:szCs w:val="28"/>
                <w:lang w:val="en-US"/>
              </w:rPr>
              <w:t xml:space="preserve">3424</w:t>
            </w:r>
            <w:r>
              <w:rPr>
                <w:rFonts w:ascii="Times New Roman" w:hAnsi="Times New Roman"/>
                <w:sz w:val="28"/>
                <w:szCs w:val="28"/>
              </w:rPr>
            </w:r>
            <w:r>
              <w:rPr>
                <w:rFonts w:ascii="Times New Roman" w:hAnsi="Times New Roman"/>
                <w:sz w:val="28"/>
                <w:szCs w:val="28"/>
              </w:rPr>
            </w:r>
          </w:p>
        </w:tc>
        <w:tc>
          <w:tcPr>
            <w:shd w:val="clear" w:color="ffffff" w:fill="ffffff"/>
            <w:tcW w:w="998" w:type="dxa"/>
            <w:vAlign w:val="bottom"/>
            <w:textDirection w:val="lrTb"/>
            <w:noWrap w:val="false"/>
          </w:tcPr>
          <w:p>
            <w:pPr>
              <w:jc w:val="center"/>
              <w:spacing w:after="0"/>
              <w:rPr>
                <w:rFonts w:ascii="Times New Roman" w:hAnsi="Times New Roman"/>
                <w:sz w:val="28"/>
                <w:szCs w:val="28"/>
              </w:rPr>
            </w:pPr>
            <w:r>
              <w:rPr>
                <w:rFonts w:ascii="Times New Roman" w:hAnsi="Times New Roman" w:eastAsia="Times New Roman"/>
                <w:sz w:val="28"/>
                <w:szCs w:val="28"/>
              </w:rPr>
              <w:t xml:space="preserve">3058</w:t>
            </w:r>
            <w:r>
              <w:rPr>
                <w:rFonts w:ascii="Times New Roman" w:hAnsi="Times New Roman"/>
                <w:sz w:val="28"/>
                <w:szCs w:val="28"/>
              </w:rPr>
            </w:r>
            <w:r>
              <w:rPr>
                <w:rFonts w:ascii="Times New Roman" w:hAnsi="Times New Roman"/>
                <w:sz w:val="28"/>
                <w:szCs w:val="28"/>
              </w:rPr>
            </w:r>
          </w:p>
        </w:tc>
        <w:tc>
          <w:tcPr>
            <w:shd w:val="clear" w:color="ffffff" w:fill="ffffff"/>
            <w:tcW w:w="998" w:type="dxa"/>
            <w:vAlign w:val="bottom"/>
            <w:textDirection w:val="lrTb"/>
            <w:noWrap w:val="false"/>
          </w:tcPr>
          <w:p>
            <w:pPr>
              <w:jc w:val="center"/>
              <w:spacing w:after="0"/>
              <w:rPr>
                <w:rFonts w:ascii="Times New Roman" w:hAnsi="Times New Roman"/>
                <w:sz w:val="28"/>
                <w:szCs w:val="28"/>
              </w:rPr>
            </w:pPr>
            <w:r>
              <w:rPr>
                <w:rFonts w:ascii="Times New Roman" w:hAnsi="Times New Roman" w:eastAsia="Times New Roman"/>
                <w:sz w:val="28"/>
                <w:szCs w:val="28"/>
              </w:rPr>
              <w:t xml:space="preserve">2875</w:t>
            </w:r>
            <w:r>
              <w:rPr>
                <w:rFonts w:ascii="Times New Roman" w:hAnsi="Times New Roman"/>
                <w:sz w:val="28"/>
                <w:szCs w:val="28"/>
              </w:rPr>
            </w:r>
            <w:r>
              <w:rPr>
                <w:rFonts w:ascii="Times New Roman" w:hAnsi="Times New Roman"/>
                <w:sz w:val="28"/>
                <w:szCs w:val="28"/>
              </w:rPr>
            </w:r>
          </w:p>
        </w:tc>
      </w:tr>
      <w:tr>
        <w:tblPrEx/>
        <w:trPr>
          <w:jc w:val="center"/>
        </w:trPr>
        <w:tc>
          <w:tcPr>
            <w:shd w:val="clear" w:color="ffffff" w:fill="ffffff"/>
            <w:tcW w:w="5805" w:type="dxa"/>
            <w:textDirection w:val="lrTb"/>
            <w:noWrap w:val="false"/>
          </w:tcPr>
          <w:p>
            <w:pPr>
              <w:spacing w:after="0"/>
              <w:rPr>
                <w:rFonts w:ascii="Times New Roman" w:hAnsi="Times New Roman"/>
                <w:sz w:val="28"/>
                <w:szCs w:val="28"/>
              </w:rPr>
            </w:pPr>
            <w:r>
              <w:rPr>
                <w:rFonts w:ascii="Times New Roman" w:hAnsi="Times New Roman" w:eastAsia="Times New Roman"/>
                <w:sz w:val="28"/>
                <w:szCs w:val="28"/>
              </w:rPr>
              <w:t xml:space="preserve">Уд</w:t>
            </w:r>
            <w:r>
              <w:rPr>
                <w:rFonts w:ascii="Times New Roman" w:hAnsi="Times New Roman" w:eastAsia="Times New Roman"/>
                <w:sz w:val="28"/>
                <w:szCs w:val="28"/>
              </w:rPr>
              <w:t xml:space="preserve">.</w:t>
            </w:r>
            <w:r>
              <w:rPr>
                <w:rFonts w:ascii="Times New Roman" w:hAnsi="Times New Roman" w:eastAsia="Times New Roman"/>
                <w:sz w:val="28"/>
                <w:szCs w:val="28"/>
              </w:rPr>
              <w:t xml:space="preserve"> </w:t>
            </w:r>
            <w:r>
              <w:rPr>
                <w:rFonts w:ascii="Times New Roman" w:hAnsi="Times New Roman" w:eastAsia="Times New Roman"/>
                <w:sz w:val="28"/>
                <w:szCs w:val="28"/>
              </w:rPr>
              <w:t xml:space="preserve">в</w:t>
            </w:r>
            <w:r>
              <w:rPr>
                <w:rFonts w:ascii="Times New Roman" w:hAnsi="Times New Roman" w:eastAsia="Times New Roman"/>
                <w:sz w:val="28"/>
                <w:szCs w:val="28"/>
              </w:rPr>
              <w:t xml:space="preserve">ес проверенных актов к числу </w:t>
            </w:r>
            <w:r>
              <w:rPr>
                <w:rFonts w:ascii="Times New Roman" w:hAnsi="Times New Roman" w:eastAsia="Times New Roman"/>
                <w:sz w:val="28"/>
                <w:szCs w:val="28"/>
              </w:rPr>
              <w:t xml:space="preserve">освид</w:t>
            </w:r>
            <w:r>
              <w:rPr>
                <w:rFonts w:ascii="Times New Roman" w:hAnsi="Times New Roman" w:eastAsia="Times New Roman"/>
                <w:sz w:val="28"/>
                <w:szCs w:val="28"/>
              </w:rPr>
              <w:t xml:space="preserve">.</w:t>
            </w:r>
            <w:r>
              <w:rPr>
                <w:rFonts w:ascii="Times New Roman" w:hAnsi="Times New Roman"/>
                <w:sz w:val="28"/>
                <w:szCs w:val="28"/>
              </w:rPr>
            </w:r>
            <w:r>
              <w:rPr>
                <w:rFonts w:ascii="Times New Roman" w:hAnsi="Times New Roman"/>
                <w:sz w:val="28"/>
                <w:szCs w:val="28"/>
              </w:rPr>
            </w:r>
          </w:p>
        </w:tc>
        <w:tc>
          <w:tcPr>
            <w:shd w:val="clear" w:color="ffffff" w:fill="ffffff"/>
            <w:tcW w:w="1131" w:type="dxa"/>
            <w:vAlign w:val="bottom"/>
            <w:textDirection w:val="lrTb"/>
            <w:noWrap w:val="false"/>
          </w:tcPr>
          <w:p>
            <w:pPr>
              <w:jc w:val="center"/>
              <w:spacing w:after="0"/>
              <w:rPr>
                <w:rFonts w:ascii="Times New Roman" w:hAnsi="Times New Roman"/>
                <w:sz w:val="28"/>
                <w:szCs w:val="28"/>
              </w:rPr>
            </w:pPr>
            <w:r>
              <w:rPr>
                <w:rFonts w:ascii="Times New Roman" w:hAnsi="Times New Roman" w:eastAsia="Times New Roman"/>
                <w:sz w:val="28"/>
                <w:szCs w:val="28"/>
                <w:lang w:val="en-US"/>
              </w:rPr>
              <w:t xml:space="preserve">16,9</w:t>
            </w:r>
            <w:r>
              <w:rPr>
                <w:rFonts w:ascii="Times New Roman" w:hAnsi="Times New Roman"/>
                <w:sz w:val="28"/>
                <w:szCs w:val="28"/>
              </w:rPr>
            </w:r>
            <w:r>
              <w:rPr>
                <w:rFonts w:ascii="Times New Roman" w:hAnsi="Times New Roman"/>
                <w:sz w:val="28"/>
                <w:szCs w:val="28"/>
              </w:rPr>
            </w:r>
          </w:p>
        </w:tc>
        <w:tc>
          <w:tcPr>
            <w:shd w:val="clear" w:color="ffffff" w:fill="ffffff"/>
            <w:tcW w:w="998" w:type="dxa"/>
            <w:vAlign w:val="bottom"/>
            <w:textDirection w:val="lrTb"/>
            <w:noWrap w:val="false"/>
          </w:tcPr>
          <w:p>
            <w:pPr>
              <w:jc w:val="center"/>
              <w:spacing w:after="0"/>
              <w:rPr>
                <w:rFonts w:ascii="Times New Roman" w:hAnsi="Times New Roman"/>
                <w:sz w:val="28"/>
                <w:szCs w:val="28"/>
              </w:rPr>
            </w:pPr>
            <w:r>
              <w:rPr>
                <w:rFonts w:ascii="Times New Roman" w:hAnsi="Times New Roman" w:eastAsia="Times New Roman"/>
                <w:sz w:val="28"/>
                <w:szCs w:val="28"/>
              </w:rPr>
              <w:t xml:space="preserve">16,9</w:t>
            </w:r>
            <w:r>
              <w:rPr>
                <w:rFonts w:ascii="Times New Roman" w:hAnsi="Times New Roman"/>
                <w:sz w:val="28"/>
                <w:szCs w:val="28"/>
              </w:rPr>
            </w:r>
            <w:r>
              <w:rPr>
                <w:rFonts w:ascii="Times New Roman" w:hAnsi="Times New Roman"/>
                <w:sz w:val="28"/>
                <w:szCs w:val="28"/>
              </w:rPr>
            </w:r>
          </w:p>
        </w:tc>
        <w:tc>
          <w:tcPr>
            <w:shd w:val="clear" w:color="ffffff" w:fill="ffffff"/>
            <w:tcW w:w="998" w:type="dxa"/>
            <w:vAlign w:val="bottom"/>
            <w:textDirection w:val="lrTb"/>
            <w:noWrap w:val="false"/>
          </w:tcPr>
          <w:p>
            <w:pPr>
              <w:jc w:val="center"/>
              <w:spacing w:after="0"/>
              <w:rPr>
                <w:rFonts w:ascii="Times New Roman" w:hAnsi="Times New Roman"/>
                <w:sz w:val="28"/>
                <w:szCs w:val="28"/>
              </w:rPr>
            </w:pPr>
            <w:r>
              <w:rPr>
                <w:rFonts w:ascii="Times New Roman" w:hAnsi="Times New Roman" w:eastAsia="Times New Roman"/>
                <w:sz w:val="28"/>
                <w:szCs w:val="28"/>
              </w:rPr>
              <w:t xml:space="preserve">12,3</w:t>
            </w:r>
            <w:r>
              <w:rPr>
                <w:rFonts w:ascii="Times New Roman" w:hAnsi="Times New Roman"/>
                <w:sz w:val="28"/>
                <w:szCs w:val="28"/>
              </w:rPr>
            </w:r>
            <w:r>
              <w:rPr>
                <w:rFonts w:ascii="Times New Roman" w:hAnsi="Times New Roman"/>
                <w:sz w:val="28"/>
                <w:szCs w:val="28"/>
              </w:rPr>
            </w:r>
          </w:p>
        </w:tc>
      </w:tr>
    </w:tbl>
    <w:p>
      <w:pPr>
        <w:ind w:firstLine="567"/>
        <w:jc w:val="both"/>
        <w:spacing w:after="0"/>
        <w:rPr>
          <w:rFonts w:ascii="Times New Roman" w:hAnsi="Times New Roman"/>
          <w:b/>
          <w:sz w:val="28"/>
          <w:szCs w:val="28"/>
        </w:rPr>
      </w:pPr>
      <w:r>
        <w:rPr>
          <w:rFonts w:ascii="Times New Roman" w:hAnsi="Times New Roman"/>
          <w:b/>
          <w:sz w:val="28"/>
          <w:szCs w:val="28"/>
        </w:rPr>
      </w:r>
      <w:r>
        <w:rPr>
          <w:rFonts w:ascii="Times New Roman" w:hAnsi="Times New Roman"/>
          <w:b/>
          <w:sz w:val="28"/>
          <w:szCs w:val="28"/>
        </w:rPr>
      </w:r>
      <w:r>
        <w:rPr>
          <w:rFonts w:ascii="Times New Roman" w:hAnsi="Times New Roman"/>
          <w:b/>
          <w:sz w:val="28"/>
          <w:szCs w:val="28"/>
        </w:rPr>
      </w:r>
    </w:p>
    <w:p>
      <w:pPr>
        <w:ind w:firstLine="709"/>
        <w:jc w:val="both"/>
        <w:spacing w:after="0"/>
      </w:pPr>
      <w:r>
        <w:rPr>
          <w:rFonts w:ascii="Times New Roman" w:hAnsi="Times New Roman"/>
          <w:sz w:val="28"/>
          <w:szCs w:val="28"/>
        </w:rPr>
        <w:t xml:space="preserve">Все случаи отмены решений первичных бюро медико-социальной экспертизы разбираются индивидуально с соответствующим бюро, а наиболее показательные ситуации детально разбираются на </w:t>
      </w:r>
      <w:r>
        <w:rPr>
          <w:rFonts w:ascii="Times New Roman" w:hAnsi="Times New Roman"/>
          <w:sz w:val="28"/>
          <w:szCs w:val="28"/>
        </w:rPr>
        <w:t xml:space="preserve">общеврачебных</w:t>
      </w:r>
      <w:r>
        <w:rPr>
          <w:rFonts w:ascii="Times New Roman" w:hAnsi="Times New Roman"/>
          <w:sz w:val="28"/>
          <w:szCs w:val="28"/>
        </w:rPr>
        <w:t xml:space="preserve"> </w:t>
      </w:r>
      <w:r>
        <w:rPr>
          <w:rFonts w:ascii="Times New Roman" w:hAnsi="Times New Roman"/>
          <w:sz w:val="28"/>
          <w:szCs w:val="28"/>
        </w:rPr>
        <w:t xml:space="preserve">конференциях для анализа ошибок и выработки единых подходов к экспертизе.</w:t>
      </w:r>
      <w:r/>
    </w:p>
    <w:p>
      <w:pPr>
        <w:ind w:firstLine="709"/>
        <w:jc w:val="both"/>
        <w:spacing w:after="0"/>
      </w:pPr>
      <w:r>
        <w:rPr>
          <w:rFonts w:ascii="Times New Roman" w:hAnsi="Times New Roman"/>
          <w:sz w:val="28"/>
          <w:szCs w:val="28"/>
        </w:rPr>
        <w:t xml:space="preserve">Статистика отмененных решений экспертных составов Главного бюро в</w:t>
      </w:r>
      <w:r>
        <w:rPr>
          <w:rFonts w:ascii="Times New Roman" w:hAnsi="Times New Roman"/>
          <w:sz w:val="28"/>
          <w:szCs w:val="28"/>
        </w:rPr>
        <w:t xml:space="preserve"> ФГБУ «Федеральное бюро медико-социальной экспертизы» за последние годы демонстрирует положительную динамику: в 2023 году было отменено 3 решения из 110 освидетельствованных (2,7 %), в 2024 году -1 решение из 70 освидетельствованных (1,4 %), а в 2025 году </w:t>
      </w:r>
      <w:r>
        <w:rPr>
          <w:rFonts w:ascii="Times New Roman" w:hAnsi="Times New Roman"/>
          <w:sz w:val="28"/>
          <w:szCs w:val="28"/>
        </w:rPr>
        <w:t xml:space="preserve">- 1 решение из 91 освидетельствованного случая (1,1 %). Таким образом, доля отмененных решений последовательно снижается, что может свидетельствовать о повышении качества работы экспертных составов и совершенствовании процедур медико-социальной экспертизы.</w:t>
      </w:r>
      <w:r/>
    </w:p>
    <w:p>
      <w:pPr>
        <w:ind w:firstLine="709"/>
        <w:jc w:val="both"/>
        <w:spacing w:after="0"/>
        <w:rPr>
          <w:rFonts w:ascii="Times New Roman" w:hAnsi="Times New Roman"/>
          <w:sz w:val="28"/>
          <w:szCs w:val="28"/>
        </w:rPr>
      </w:pPr>
      <w:r>
        <w:rPr>
          <w:rFonts w:ascii="Times New Roman" w:hAnsi="Times New Roman"/>
          <w:sz w:val="28"/>
          <w:szCs w:val="28"/>
        </w:rPr>
        <w:t xml:space="preserve">Количество письменных обращений граждан, поступивших в учреждение, в последние годы остается стабильно невысоким - не превышает 0,5 % от общего числа освидетельствованных. При этом прослеживается заметна</w:t>
      </w:r>
      <w:r>
        <w:rPr>
          <w:rFonts w:ascii="Times New Roman" w:hAnsi="Times New Roman"/>
          <w:sz w:val="28"/>
          <w:szCs w:val="28"/>
        </w:rPr>
        <w:t xml:space="preserve">я тенденция к росту доли обращений, поступающих через информационно-телекоммуникационную сеть Интернет, в том числе посредством официального сайта учреждения (www.37.gbmse.ru). Преобладающая тематика обращений связана с вопросами установления инвалидности.</w:t>
      </w:r>
      <w:r>
        <w:rPr>
          <w:rFonts w:ascii="Times New Roman" w:hAnsi="Times New Roman"/>
          <w:sz w:val="28"/>
          <w:szCs w:val="28"/>
        </w:rPr>
      </w:r>
      <w:r>
        <w:rPr>
          <w:rFonts w:ascii="Times New Roman" w:hAnsi="Times New Roman"/>
          <w:sz w:val="28"/>
          <w:szCs w:val="28"/>
        </w:rPr>
      </w:r>
    </w:p>
    <w:p>
      <w:pPr>
        <w:ind w:firstLine="709"/>
        <w:jc w:val="both"/>
        <w:spacing w:after="0"/>
        <w:rPr>
          <w:rFonts w:ascii="Times New Roman" w:hAnsi="Times New Roman"/>
          <w:bCs/>
          <w:sz w:val="28"/>
          <w:szCs w:val="28"/>
        </w:rPr>
      </w:pPr>
      <w:r>
        <w:rPr>
          <w:rFonts w:ascii="Times New Roman" w:hAnsi="Times New Roman" w:eastAsia="Times New Roman"/>
          <w:bCs/>
          <w:sz w:val="28"/>
          <w:szCs w:val="28"/>
        </w:rPr>
        <w:t xml:space="preserve">Основные изменения в работе медико-социаль</w:t>
      </w:r>
      <w:r>
        <w:rPr>
          <w:rFonts w:ascii="Times New Roman" w:hAnsi="Times New Roman"/>
          <w:bCs/>
          <w:sz w:val="28"/>
          <w:szCs w:val="28"/>
        </w:rPr>
        <w:t xml:space="preserve">ной экспертизы в 2025 году:</w:t>
      </w:r>
      <w:r>
        <w:rPr>
          <w:rFonts w:ascii="Times New Roman" w:hAnsi="Times New Roman"/>
          <w:bCs/>
          <w:sz w:val="28"/>
          <w:szCs w:val="28"/>
        </w:rPr>
      </w:r>
      <w:r>
        <w:rPr>
          <w:rFonts w:ascii="Times New Roman" w:hAnsi="Times New Roman"/>
          <w:bCs/>
          <w:sz w:val="28"/>
          <w:szCs w:val="28"/>
        </w:rPr>
      </w:r>
    </w:p>
    <w:p>
      <w:pPr>
        <w:pStyle w:val="1227"/>
        <w:numPr>
          <w:ilvl w:val="0"/>
          <w:numId w:val="137"/>
        </w:numPr>
        <w:ind w:left="0" w:firstLine="709"/>
        <w:jc w:val="both"/>
        <w:spacing w:line="276" w:lineRule="auto"/>
        <w:rPr>
          <w:lang w:val="ru-RU"/>
        </w:rPr>
      </w:pPr>
      <w:r>
        <w:rPr>
          <w:rFonts w:ascii="Times New Roman" w:hAnsi="Times New Roman"/>
          <w:bCs/>
          <w:sz w:val="28"/>
          <w:szCs w:val="28"/>
          <w:lang w:val="ru-RU"/>
        </w:rPr>
        <w:t xml:space="preserve">произведен полный переход федеральных учреждений медико-социальной экспертизы на работу в Единой централизованной цифровой платформе в социальной сфере (ЕЦП);</w:t>
      </w:r>
      <w:r>
        <w:rPr>
          <w:lang w:val="ru-RU"/>
        </w:rPr>
      </w:r>
      <w:r>
        <w:rPr>
          <w:lang w:val="ru-RU"/>
        </w:rPr>
      </w:r>
    </w:p>
    <w:p>
      <w:pPr>
        <w:pStyle w:val="1227"/>
        <w:numPr>
          <w:ilvl w:val="0"/>
          <w:numId w:val="137"/>
        </w:numPr>
        <w:ind w:left="0" w:firstLine="709"/>
        <w:jc w:val="both"/>
        <w:spacing w:line="276" w:lineRule="auto"/>
        <w:rPr>
          <w:lang w:val="ru-RU"/>
        </w:rPr>
      </w:pPr>
      <w:r>
        <w:rPr>
          <w:rFonts w:ascii="Times New Roman" w:hAnsi="Times New Roman"/>
          <w:bCs/>
          <w:sz w:val="28"/>
          <w:szCs w:val="28"/>
          <w:lang w:val="ru-RU"/>
        </w:rPr>
        <w:t xml:space="preserve">с 01.03.2025 года вступили в силу масштабные поправки в Феде</w:t>
      </w:r>
      <w:r>
        <w:rPr>
          <w:rFonts w:ascii="Times New Roman" w:hAnsi="Times New Roman"/>
          <w:bCs/>
          <w:sz w:val="28"/>
          <w:szCs w:val="28"/>
          <w:lang w:val="ru-RU"/>
        </w:rPr>
        <w:t xml:space="preserve">ральный закон «О социальной защите инвалидов в Российской Федерации» от 24.11.1995 № 181-ФЗ, а также ряд федеральных законов от декабря 2023 года, изменениями в законодательство были внесены новые понятия, в том числе такие как «комплексная реабилитация и </w:t>
      </w:r>
      <w:r>
        <w:rPr>
          <w:rFonts w:ascii="Times New Roman" w:hAnsi="Times New Roman"/>
          <w:bCs/>
          <w:sz w:val="28"/>
          <w:szCs w:val="28"/>
          <w:lang w:val="ru-RU"/>
        </w:rPr>
        <w:t xml:space="preserve">абилитация</w:t>
      </w:r>
      <w:r>
        <w:rPr>
          <w:rFonts w:ascii="Times New Roman" w:hAnsi="Times New Roman"/>
          <w:bCs/>
          <w:sz w:val="28"/>
          <w:szCs w:val="28"/>
          <w:lang w:val="ru-RU"/>
        </w:rPr>
        <w:t xml:space="preserve"> инвалида» и «целевая реабилитационная группа»;</w:t>
      </w:r>
      <w:r>
        <w:rPr>
          <w:lang w:val="ru-RU"/>
        </w:rPr>
      </w:r>
      <w:r>
        <w:rPr>
          <w:lang w:val="ru-RU"/>
        </w:rPr>
      </w:r>
    </w:p>
    <w:p>
      <w:pPr>
        <w:pStyle w:val="1227"/>
        <w:numPr>
          <w:ilvl w:val="0"/>
          <w:numId w:val="137"/>
        </w:numPr>
        <w:ind w:left="0" w:firstLine="709"/>
        <w:jc w:val="both"/>
        <w:spacing w:line="276" w:lineRule="auto"/>
        <w:rPr>
          <w:lang w:val="ru-RU"/>
        </w:rPr>
      </w:pPr>
      <w:r>
        <w:rPr>
          <w:rFonts w:ascii="Times New Roman" w:hAnsi="Times New Roman"/>
          <w:bCs/>
          <w:sz w:val="28"/>
          <w:szCs w:val="28"/>
          <w:lang w:val="ru-RU"/>
        </w:rPr>
        <w:t xml:space="preserve">вступили в силу новые </w:t>
      </w:r>
      <w:r>
        <w:rPr>
          <w:rFonts w:ascii="Times New Roman" w:hAnsi="Times New Roman"/>
          <w:bCs/>
          <w:sz w:val="28"/>
          <w:szCs w:val="28"/>
          <w:lang w:val="ru-RU"/>
        </w:rPr>
        <w:t xml:space="preserve">классификации и критерии, используемые при осуществлении медико-социальной экспертизы граждан федеральными государственными учреждениями медико-социальной экспертизы (приказ Министерства труда и социальной защиты Российской Федерации от 26.07.2024 № 374н);</w:t>
      </w:r>
      <w:r>
        <w:rPr>
          <w:lang w:val="ru-RU"/>
        </w:rPr>
      </w:r>
      <w:r>
        <w:rPr>
          <w:lang w:val="ru-RU"/>
        </w:rPr>
      </w:r>
    </w:p>
    <w:p>
      <w:pPr>
        <w:pStyle w:val="1227"/>
        <w:numPr>
          <w:ilvl w:val="0"/>
          <w:numId w:val="137"/>
        </w:numPr>
        <w:ind w:left="0" w:firstLine="709"/>
        <w:jc w:val="both"/>
        <w:spacing w:line="276" w:lineRule="auto"/>
        <w:rPr>
          <w:rFonts w:ascii="Times New Roman" w:hAnsi="Times New Roman"/>
          <w:bCs/>
          <w:sz w:val="28"/>
          <w:szCs w:val="28"/>
          <w:lang w:val="ru-RU"/>
        </w:rPr>
      </w:pPr>
      <w:r>
        <w:rPr>
          <w:rFonts w:ascii="Times New Roman" w:hAnsi="Times New Roman"/>
          <w:bCs/>
          <w:sz w:val="28"/>
          <w:szCs w:val="28"/>
          <w:lang w:val="ru-RU"/>
        </w:rPr>
        <w:t xml:space="preserve">приняты новые формы акта, протокола и ИПРА инвалида (ребенка-инвалида).</w:t>
      </w:r>
      <w:r>
        <w:rPr>
          <w:rFonts w:ascii="Times New Roman" w:hAnsi="Times New Roman"/>
          <w:bCs/>
          <w:sz w:val="28"/>
          <w:szCs w:val="28"/>
          <w:lang w:val="ru-RU"/>
        </w:rPr>
      </w:r>
      <w:r>
        <w:rPr>
          <w:rFonts w:ascii="Times New Roman" w:hAnsi="Times New Roman"/>
          <w:bCs/>
          <w:sz w:val="28"/>
          <w:szCs w:val="28"/>
          <w:lang w:val="ru-RU"/>
        </w:rPr>
      </w:r>
    </w:p>
    <w:p>
      <w:pPr>
        <w:jc w:val="both"/>
        <w:spacing w:line="276" w:lineRule="auto"/>
        <w:rPr>
          <w:rFonts w:ascii="Times New Roman" w:hAnsi="Times New Roman"/>
          <w:sz w:val="28"/>
          <w:szCs w:val="28"/>
          <w:lang w:val="ru-RU"/>
        </w:rPr>
      </w:pPr>
      <w:r>
        <w:rPr>
          <w:rFonts w:ascii="Times New Roman" w:hAnsi="Times New Roman"/>
          <w:bCs/>
          <w:sz w:val="28"/>
          <w:szCs w:val="28"/>
          <w:highlight w:val="none"/>
          <w:lang w:val="ru-RU"/>
        </w:rPr>
      </w:r>
      <w:r>
        <w:rPr>
          <w:rFonts w:ascii="Times New Roman" w:hAnsi="Times New Roman"/>
          <w:bCs/>
          <w:sz w:val="28"/>
          <w:szCs w:val="28"/>
          <w:highlight w:val="none"/>
          <w:lang w:val="ru-RU"/>
        </w:rPr>
      </w:r>
    </w:p>
    <w:p>
      <w:pPr>
        <w:ind w:firstLine="709"/>
        <w:jc w:val="both"/>
        <w:spacing w:after="0"/>
      </w:pPr>
      <w:r>
        <w:rPr>
          <w:rFonts w:ascii="Times New Roman" w:hAnsi="Times New Roman"/>
          <w:sz w:val="28"/>
          <w:szCs w:val="28"/>
        </w:rPr>
        <w:t xml:space="preserve">В 2026 году планируются следующие изменения:</w:t>
      </w:r>
      <w:r/>
    </w:p>
    <w:p>
      <w:pPr>
        <w:pStyle w:val="1227"/>
        <w:numPr>
          <w:ilvl w:val="0"/>
          <w:numId w:val="138"/>
        </w:numPr>
        <w:ind w:left="0" w:firstLine="709"/>
        <w:jc w:val="both"/>
        <w:spacing w:line="276" w:lineRule="auto"/>
        <w:rPr>
          <w:lang w:val="ru-RU"/>
        </w:rPr>
      </w:pPr>
      <w:r>
        <w:rPr>
          <w:rFonts w:ascii="Times New Roman" w:hAnsi="Times New Roman"/>
          <w:sz w:val="28"/>
          <w:szCs w:val="28"/>
          <w:lang w:val="ru-RU"/>
        </w:rPr>
        <w:t xml:space="preserve">с 01.03.2026 года прекращается выдача справок, подтверждающих факт установления инвалидности либо процентов стойкий утраты профессиональной трудоспособности в процентах на бланках строгой отчетности;</w:t>
      </w:r>
      <w:r>
        <w:rPr>
          <w:lang w:val="ru-RU"/>
        </w:rPr>
      </w:r>
      <w:r>
        <w:rPr>
          <w:lang w:val="ru-RU"/>
        </w:rPr>
      </w:r>
    </w:p>
    <w:p>
      <w:pPr>
        <w:pStyle w:val="1227"/>
        <w:numPr>
          <w:ilvl w:val="0"/>
          <w:numId w:val="138"/>
        </w:numPr>
        <w:ind w:left="0" w:firstLine="709"/>
        <w:jc w:val="both"/>
        <w:spacing w:line="276" w:lineRule="auto"/>
        <w:rPr>
          <w:rFonts w:ascii="Times New Roman" w:hAnsi="Times New Roman"/>
          <w:sz w:val="28"/>
          <w:szCs w:val="28"/>
          <w:lang w:val="ru-RU"/>
        </w:rPr>
      </w:pPr>
      <w:r>
        <w:rPr>
          <w:rFonts w:ascii="Times New Roman" w:hAnsi="Times New Roman"/>
          <w:sz w:val="28"/>
          <w:szCs w:val="28"/>
          <w:lang w:val="ru-RU"/>
        </w:rPr>
        <w:t xml:space="preserve">пр</w:t>
      </w:r>
      <w:r>
        <w:rPr>
          <w:rFonts w:ascii="Times New Roman" w:hAnsi="Times New Roman"/>
          <w:sz w:val="28"/>
          <w:szCs w:val="28"/>
          <w:lang w:val="ru-RU"/>
        </w:rPr>
        <w:t xml:space="preserve">одолжает развиваться система комплексной реабилитации: участие реабилитационных организаций при проведении освидетельствования (в комиссиях при проведении медико-социальной экспертизы смогут участвовать работники реабилитационных организаций, что позволит </w:t>
      </w:r>
      <w:r>
        <w:rPr>
          <w:rFonts w:ascii="Times New Roman" w:hAnsi="Times New Roman"/>
          <w:sz w:val="28"/>
          <w:szCs w:val="28"/>
          <w:lang w:val="ru-RU"/>
        </w:rPr>
        <w:t xml:space="preserve">более комплексно</w:t>
      </w:r>
      <w:r>
        <w:rPr>
          <w:rFonts w:ascii="Times New Roman" w:hAnsi="Times New Roman"/>
          <w:sz w:val="28"/>
          <w:szCs w:val="28"/>
          <w:lang w:val="ru-RU"/>
        </w:rPr>
        <w:t xml:space="preserve"> оценивать результаты реабилитации), оценка реализованных мероприятий (при проведении переосвидетельствования специалисты будут дополнительно изучать результаты ранее проведенных реабилитационных и </w:t>
      </w:r>
      <w:r>
        <w:rPr>
          <w:rFonts w:ascii="Times New Roman" w:hAnsi="Times New Roman"/>
          <w:sz w:val="28"/>
          <w:szCs w:val="28"/>
          <w:lang w:val="ru-RU"/>
        </w:rPr>
        <w:t xml:space="preserve">абилитационных</w:t>
      </w:r>
      <w:r>
        <w:rPr>
          <w:rFonts w:ascii="Times New Roman" w:hAnsi="Times New Roman"/>
          <w:sz w:val="28"/>
          <w:szCs w:val="28"/>
          <w:lang w:val="ru-RU"/>
        </w:rPr>
        <w:t xml:space="preserve"> мероприятий).</w:t>
      </w:r>
      <w:r>
        <w:rPr>
          <w:rFonts w:ascii="Times New Roman" w:hAnsi="Times New Roman"/>
          <w:sz w:val="28"/>
          <w:szCs w:val="28"/>
          <w:lang w:val="ru-RU"/>
        </w:rPr>
      </w:r>
      <w:r>
        <w:rPr>
          <w:rFonts w:ascii="Times New Roman" w:hAnsi="Times New Roman"/>
          <w:sz w:val="28"/>
          <w:szCs w:val="28"/>
          <w:lang w:val="ru-RU"/>
        </w:rPr>
      </w:r>
    </w:p>
    <w:p>
      <w:pPr>
        <w:ind w:firstLine="709"/>
        <w:jc w:val="both"/>
        <w:spacing w:after="0"/>
      </w:pPr>
      <w:r>
        <w:rPr>
          <w:rFonts w:ascii="Times New Roman" w:hAnsi="Times New Roman"/>
          <w:sz w:val="28"/>
          <w:szCs w:val="28"/>
        </w:rPr>
        <w:t xml:space="preserve">Важно подчеркнуть фундаментальную истину: от инвалидности не застрахован никто - она может коснуться каждого, вне зависимости от возраста, социального п</w:t>
      </w:r>
      <w:r>
        <w:rPr>
          <w:rFonts w:ascii="Times New Roman" w:hAnsi="Times New Roman"/>
          <w:sz w:val="28"/>
          <w:szCs w:val="28"/>
        </w:rPr>
        <w:t xml:space="preserve">оложения или материального достатка. Поэтому создание доступного, гуманного общества, где каждый человек имеет равные возможности для самореализации, — не просто обязанность государства, а общая задача всего социума. Граждане, нуждающиеся в особой защите и</w:t>
      </w:r>
      <w:r>
        <w:rPr>
          <w:rFonts w:ascii="Times New Roman" w:hAnsi="Times New Roman"/>
          <w:sz w:val="28"/>
          <w:szCs w:val="28"/>
        </w:rPr>
        <w:t xml:space="preserve"> поддержке, должны иметь реальные, а не декларируемые возможности жить полноценной жизнью: свободно передвигаться, получать образование, трудиться, участвовать в культурной и общественной жизни — и в полной мере реализовывать гарантированные законом права.</w:t>
      </w:r>
      <w:r/>
    </w:p>
    <w:p>
      <w:pPr>
        <w:ind w:firstLine="709"/>
        <w:jc w:val="both"/>
        <w:spacing w:after="0"/>
      </w:pPr>
      <w:r>
        <w:rPr>
          <w:rFonts w:ascii="Times New Roman" w:hAnsi="Times New Roman"/>
          <w:sz w:val="28"/>
          <w:szCs w:val="28"/>
        </w:rPr>
        <w:t xml:space="preserve">В регионе уже наметились позити</w:t>
      </w:r>
      <w:r>
        <w:rPr>
          <w:rFonts w:ascii="Times New Roman" w:hAnsi="Times New Roman"/>
          <w:sz w:val="28"/>
          <w:szCs w:val="28"/>
        </w:rPr>
        <w:t xml:space="preserve">вные тенденции: активно развиваются тематические площадки с участием людей с ограниченными возможностями здоровья, которые становятся пространством диалога, обмена опытом и поиска решений; формируется сильное сообщество родителей детей-инвалидов - его лиде</w:t>
      </w:r>
      <w:r>
        <w:rPr>
          <w:rFonts w:ascii="Times New Roman" w:hAnsi="Times New Roman"/>
          <w:sz w:val="28"/>
          <w:szCs w:val="28"/>
        </w:rPr>
        <w:t xml:space="preserve">ры не только отстаивают интересы семей, но и выступают инициаторами значимых социальных проектов; растет число квалифицированных специалистов в сфере права, способных оказывать грамотную правовую поддержку и содействовать защите прав людей с инвалидностью.</w:t>
      </w:r>
      <w:r/>
    </w:p>
    <w:p>
      <w:pPr>
        <w:ind w:firstLine="709"/>
        <w:jc w:val="both"/>
        <w:spacing w:after="0"/>
      </w:pPr>
      <w:r>
        <w:rPr>
          <w:rFonts w:ascii="Times New Roman" w:hAnsi="Times New Roman"/>
          <w:sz w:val="28"/>
          <w:szCs w:val="28"/>
        </w:rPr>
        <w:t xml:space="preserve">Однако для устойчивого прогресса необходимо усилить взаимодействие между обществом и властью. Представителям органов власти и профильных ведом</w:t>
      </w:r>
      <w:r>
        <w:rPr>
          <w:rFonts w:ascii="Times New Roman" w:hAnsi="Times New Roman"/>
          <w:sz w:val="28"/>
          <w:szCs w:val="28"/>
        </w:rPr>
        <w:t xml:space="preserve">ств сл</w:t>
      </w:r>
      <w:r>
        <w:rPr>
          <w:rFonts w:ascii="Times New Roman" w:hAnsi="Times New Roman"/>
          <w:sz w:val="28"/>
          <w:szCs w:val="28"/>
        </w:rPr>
        <w:t xml:space="preserve">едует не формально, а осознанно включаться в процесс: регулярно посещать тематические мероприятия, слушать сами</w:t>
      </w:r>
      <w:r>
        <w:rPr>
          <w:rFonts w:ascii="Times New Roman" w:hAnsi="Times New Roman"/>
          <w:sz w:val="28"/>
          <w:szCs w:val="28"/>
        </w:rPr>
        <w:t xml:space="preserve">х граждан и их семьи, вникать в реальные потребности и трудности. Компетентным службам, отвечающим за реализацию комплексных программ и социально значимых проектов, критически важно не ограничиваться отчетностью, а проявлять инициативу - изучать передовой </w:t>
      </w:r>
      <w:r>
        <w:rPr>
          <w:rFonts w:ascii="Times New Roman" w:hAnsi="Times New Roman"/>
          <w:sz w:val="28"/>
          <w:szCs w:val="28"/>
        </w:rPr>
        <w:t xml:space="preserve">опыт, адаптировать успешные практики и оперативно реагировать на запросы людей с инвалидностью.</w:t>
      </w:r>
      <w:r/>
    </w:p>
    <w:p>
      <w:pPr>
        <w:ind w:firstLine="709"/>
        <w:jc w:val="both"/>
        <w:spacing w:after="0"/>
        <w:rPr>
          <w:rFonts w:ascii="Times New Roman" w:hAnsi="Times New Roman"/>
          <w:sz w:val="28"/>
          <w:szCs w:val="28"/>
        </w:rPr>
      </w:pPr>
      <w:r>
        <w:rPr>
          <w:rFonts w:ascii="Times New Roman" w:hAnsi="Times New Roman"/>
          <w:sz w:val="28"/>
          <w:szCs w:val="28"/>
        </w:rPr>
        <w:t xml:space="preserve">Права чело</w:t>
      </w:r>
      <w:r>
        <w:rPr>
          <w:rFonts w:ascii="Times New Roman" w:hAnsi="Times New Roman"/>
          <w:sz w:val="28"/>
          <w:szCs w:val="28"/>
        </w:rPr>
        <w:t xml:space="preserve">века не должны оставаться абстрактным понятием или строчкой в должностных инструкциях. Их соблюдение и защита обязаны стать повседневной реальностью - через конкретные действия, продуманную политику и искреннюю готовность общества создавать условия, в кото</w:t>
      </w:r>
      <w:r>
        <w:rPr>
          <w:rFonts w:ascii="Times New Roman" w:hAnsi="Times New Roman"/>
          <w:sz w:val="28"/>
          <w:szCs w:val="28"/>
        </w:rPr>
        <w:t xml:space="preserve">рых каждый гражданин, независимо от состояния здоровья, сможет раскрыть свой потенциал и чувствовать себя полноправным членом социума. Только так мы построим по-настоящему доступную среду, где достоинство и возможности каждого будут по-настоящему защищены.</w:t>
      </w:r>
      <w:r>
        <w:rPr>
          <w:rFonts w:ascii="Times New Roman" w:hAnsi="Times New Roman"/>
          <w:sz w:val="28"/>
          <w:szCs w:val="28"/>
        </w:rPr>
      </w:r>
      <w:r>
        <w:rPr>
          <w:rFonts w:ascii="Times New Roman" w:hAnsi="Times New Roman"/>
          <w:sz w:val="28"/>
          <w:szCs w:val="28"/>
        </w:rPr>
      </w:r>
    </w:p>
    <w:p>
      <w:pPr>
        <w:ind w:firstLine="709"/>
        <w:jc w:val="both"/>
        <w:spacing w:after="0"/>
        <w:tabs>
          <w:tab w:val="left" w:pos="3165" w:leader="none"/>
        </w:tabs>
        <w:rPr>
          <w:rFonts w:ascii="Times New Roman" w:hAnsi="Times New Roman"/>
          <w:sz w:val="28"/>
          <w:szCs w:val="28"/>
        </w:rPr>
      </w:pPr>
      <w:r>
        <w:rPr>
          <w:rFonts w:ascii="Times New Roman" w:hAnsi="Times New Roman"/>
          <w:sz w:val="28"/>
          <w:szCs w:val="28"/>
        </w:rPr>
      </w:r>
      <w:r>
        <w:rPr>
          <w:rFonts w:ascii="Times New Roman" w:hAnsi="Times New Roman"/>
          <w:sz w:val="28"/>
          <w:szCs w:val="28"/>
        </w:rPr>
      </w:r>
      <w:r>
        <w:rPr>
          <w:rFonts w:ascii="Times New Roman" w:hAnsi="Times New Roman"/>
          <w:sz w:val="28"/>
          <w:szCs w:val="28"/>
        </w:rPr>
      </w:r>
    </w:p>
    <w:p>
      <w:pPr>
        <w:pStyle w:val="1226"/>
        <w:jc w:val="center"/>
        <w:rPr>
          <w:rFonts w:ascii="Times New Roman" w:hAnsi="Times New Roman" w:cs="Times New Roman"/>
          <w:color w:val="auto"/>
          <w:sz w:val="28"/>
          <w:szCs w:val="28"/>
        </w:rPr>
      </w:pPr>
      <w:r/>
      <w:bookmarkStart w:id="42" w:name="_Toc20"/>
      <w:r>
        <w:rPr>
          <w:rFonts w:ascii="Times New Roman" w:hAnsi="Times New Roman" w:cs="Times New Roman"/>
          <w:b/>
          <w:bCs/>
          <w:color w:val="auto"/>
          <w:sz w:val="28"/>
          <w:szCs w:val="28"/>
        </w:rPr>
        <w:t xml:space="preserve">6.4. Проблема жизнеустройства лиц без определенного места жительства</w:t>
      </w:r>
      <w:r>
        <w:rPr>
          <w:rFonts w:ascii="Times New Roman" w:hAnsi="Times New Roman" w:cs="Times New Roman"/>
          <w:b/>
          <w:bCs/>
          <w:color w:val="auto"/>
          <w:sz w:val="28"/>
          <w:szCs w:val="28"/>
        </w:rPr>
      </w:r>
      <w:bookmarkEnd w:id="42"/>
      <w:r>
        <w:rPr>
          <w:rFonts w:ascii="Times New Roman" w:hAnsi="Times New Roman" w:cs="Times New Roman"/>
          <w:color w:val="auto"/>
          <w:sz w:val="28"/>
          <w:szCs w:val="28"/>
        </w:rPr>
      </w:r>
      <w:r>
        <w:rPr>
          <w:rFonts w:ascii="Times New Roman" w:hAnsi="Times New Roman" w:cs="Times New Roman"/>
          <w:color w:val="auto"/>
          <w:sz w:val="28"/>
          <w:szCs w:val="28"/>
        </w:rPr>
      </w:r>
    </w:p>
    <w:p>
      <w:pPr>
        <w:ind w:firstLine="567"/>
        <w:jc w:val="both"/>
        <w:spacing w:after="0"/>
        <w:rPr>
          <w:rFonts w:ascii="Times New Roman" w:hAnsi="Times New Roman"/>
          <w:b/>
          <w:sz w:val="28"/>
          <w:szCs w:val="28"/>
        </w:rPr>
      </w:pPr>
      <w:r>
        <w:rPr>
          <w:rFonts w:ascii="Times New Roman" w:hAnsi="Times New Roman"/>
          <w:b/>
          <w:sz w:val="28"/>
          <w:szCs w:val="28"/>
        </w:rPr>
      </w:r>
      <w:r>
        <w:rPr>
          <w:rFonts w:ascii="Times New Roman" w:hAnsi="Times New Roman"/>
          <w:b/>
          <w:sz w:val="28"/>
          <w:szCs w:val="28"/>
        </w:rPr>
      </w:r>
      <w:r>
        <w:rPr>
          <w:rFonts w:ascii="Times New Roman" w:hAnsi="Times New Roman"/>
          <w:b/>
          <w:sz w:val="28"/>
          <w:szCs w:val="28"/>
        </w:rPr>
      </w:r>
    </w:p>
    <w:p>
      <w:pPr>
        <w:ind w:firstLine="709"/>
        <w:jc w:val="both"/>
        <w:spacing w:after="0"/>
      </w:pPr>
      <w:r>
        <w:rPr>
          <w:rFonts w:ascii="Times New Roman" w:hAnsi="Times New Roman"/>
          <w:sz w:val="28"/>
          <w:szCs w:val="28"/>
        </w:rPr>
        <w:t xml:space="preserve">Проблема жизнеустройства лиц без определенного места жительства (БОМЖ) остается актуальной для Ивановской области. В адрес Омбудсмена регулярно поступают обращения от неравнодушных жителей региона: </w:t>
      </w:r>
      <w:r>
        <w:rPr>
          <w:rFonts w:ascii="Times New Roman" w:hAnsi="Times New Roman"/>
          <w:sz w:val="28"/>
          <w:szCs w:val="28"/>
        </w:rPr>
        <w:t xml:space="preserve">ивановцы</w:t>
      </w:r>
      <w:r>
        <w:rPr>
          <w:rFonts w:ascii="Times New Roman" w:hAnsi="Times New Roman"/>
          <w:sz w:val="28"/>
          <w:szCs w:val="28"/>
        </w:rPr>
        <w:t xml:space="preserve"> просят оказать содействие в устройстве бездомных граждан в специализированные учреждения. Каждое такое обращение тщательно рассматривается - Уполномоченный выражает и</w:t>
      </w:r>
      <w:r>
        <w:rPr>
          <w:rFonts w:ascii="Times New Roman" w:hAnsi="Times New Roman"/>
          <w:sz w:val="28"/>
          <w:szCs w:val="28"/>
        </w:rPr>
        <w:t xml:space="preserve">скреннюю признательность неравнодушным гражданам, которые не могут пройти мимо чужой беды, а также благодарит сотрудников Департамента социальной защиты населения и Департамента здравоохранения за профессионализм и оперативность в решении сложных вопросов.</w:t>
      </w:r>
      <w:r/>
    </w:p>
    <w:p>
      <w:pPr>
        <w:ind w:firstLine="709"/>
        <w:jc w:val="both"/>
        <w:spacing w:after="0"/>
      </w:pPr>
      <w:r>
        <w:rPr>
          <w:rFonts w:ascii="Times New Roman" w:hAnsi="Times New Roman"/>
          <w:sz w:val="28"/>
          <w:szCs w:val="28"/>
        </w:rPr>
        <w:t xml:space="preserve">Вместе с тем практика показывает, что не все случаи имеют благополучное завершение: некоторые бездомные граждане отказываются от предлагаемой помощи, а отдельные лица </w:t>
      </w:r>
      <w:r>
        <w:rPr>
          <w:rFonts w:ascii="Times New Roman" w:hAnsi="Times New Roman"/>
          <w:sz w:val="28"/>
          <w:szCs w:val="28"/>
        </w:rPr>
        <w:t xml:space="preserve">после оформления документов для направления в стационарную организацию социального обслуживания и прохождения лечения возвращаются к прежнему образу жизни на улице. Это подчеркивает многогранность проблемы и необходимость комплексного подхода к ее решению.</w:t>
      </w:r>
      <w:r/>
    </w:p>
    <w:p>
      <w:pPr>
        <w:ind w:firstLine="709"/>
        <w:jc w:val="both"/>
        <w:spacing w:after="0"/>
      </w:pPr>
      <w:r>
        <w:rPr>
          <w:rFonts w:ascii="Times New Roman" w:hAnsi="Times New Roman"/>
          <w:sz w:val="28"/>
          <w:szCs w:val="28"/>
        </w:rPr>
        <w:t xml:space="preserve">В Ивановской области действует специализированное учреждение для лиц БОМЖ - Отделения для лиц БОМЖ при ОБУСО «Ивановский комплексный центр социального обслуживания населения» (так называемый БОМЖ-центр), расположенный в </w:t>
      </w:r>
      <w:r>
        <w:rPr>
          <w:rFonts w:ascii="Times New Roman" w:hAnsi="Times New Roman"/>
          <w:sz w:val="28"/>
          <w:szCs w:val="28"/>
        </w:rPr>
        <w:t xml:space="preserve">г</w:t>
      </w:r>
      <w:r>
        <w:rPr>
          <w:rFonts w:ascii="Times New Roman" w:hAnsi="Times New Roman"/>
          <w:sz w:val="28"/>
          <w:szCs w:val="28"/>
        </w:rPr>
        <w:t xml:space="preserve">. Иваново по адресу: ул. Кузнецова,                  д. 130</w:t>
      </w:r>
      <w:r>
        <w:rPr>
          <w:rFonts w:ascii="Times New Roman" w:hAnsi="Times New Roman"/>
          <w:sz w:val="28"/>
          <w:szCs w:val="28"/>
        </w:rPr>
        <w:t xml:space="preserve">/9. Учреждение предоставляет разностороннюю поддержку и включает несколько профильных отделений. В отделении первичного приема и оказания срочной социальной помощи бездомным оказывают первую доврачебную помощь, проводят санитарную обработку и дезинфекцию, </w:t>
      </w:r>
      <w:r>
        <w:rPr>
          <w:rFonts w:ascii="Times New Roman" w:hAnsi="Times New Roman"/>
          <w:sz w:val="28"/>
          <w:szCs w:val="28"/>
        </w:rPr>
        <w:t xml:space="preserve">организуют обследование на туберкулез, ВИЧ-инфекцию и венерические заболевания для профилактики социально опасных болезней. Отделение ночного пребывания (</w:t>
      </w:r>
      <w:r>
        <w:rPr>
          <w:rFonts w:ascii="Times New Roman" w:hAnsi="Times New Roman"/>
          <w:sz w:val="28"/>
          <w:szCs w:val="28"/>
        </w:rPr>
        <w:t xml:space="preserve">полустационарное</w:t>
      </w:r>
      <w:r>
        <w:rPr>
          <w:rFonts w:ascii="Times New Roman" w:hAnsi="Times New Roman"/>
          <w:sz w:val="28"/>
          <w:szCs w:val="28"/>
        </w:rPr>
        <w:t xml:space="preserve"> социальное обслуживание) вмещает 40 человек, а в зимний период — до 70 человек; клиентам предоставляют койко-место с комплектом постельных принадлежностей. В отделении временного проживания (стационарное со</w:t>
      </w:r>
      <w:r>
        <w:rPr>
          <w:rFonts w:ascii="Times New Roman" w:hAnsi="Times New Roman"/>
          <w:sz w:val="28"/>
          <w:szCs w:val="28"/>
        </w:rPr>
        <w:t xml:space="preserve">циальное обслуживание) проживают 5 человек: им предоставляют койко-место с постельными принадлежностями, нательное белье и предметы личной гигиены, обеспечивают трехразовым горячим питанием, а комнаты для проживания оборудованы всем необходимым инвентарем.</w:t>
      </w:r>
      <w:r/>
    </w:p>
    <w:p>
      <w:pPr>
        <w:ind w:firstLine="709"/>
        <w:jc w:val="both"/>
        <w:spacing w:after="0"/>
      </w:pPr>
      <w:r>
        <w:rPr>
          <w:rFonts w:ascii="Times New Roman" w:hAnsi="Times New Roman"/>
          <w:sz w:val="28"/>
          <w:szCs w:val="28"/>
        </w:rPr>
        <w:t xml:space="preserve">Комплекс услуг, оказываемых в учреждении, охватывает широки</w:t>
      </w:r>
      <w:r>
        <w:rPr>
          <w:rFonts w:ascii="Times New Roman" w:hAnsi="Times New Roman"/>
          <w:sz w:val="28"/>
          <w:szCs w:val="28"/>
        </w:rPr>
        <w:t xml:space="preserve">й спектр потребностей: социально-бытовые, социально-трудовые, социально-психологические и социально-правовые услуги, а также содействие в бытовом устройстве. Лицам БОМЖ оформляют регистрацию по месту пребывания, помогают восстановить паспорта, получить мед</w:t>
      </w:r>
      <w:r>
        <w:rPr>
          <w:rFonts w:ascii="Times New Roman" w:hAnsi="Times New Roman"/>
          <w:sz w:val="28"/>
          <w:szCs w:val="28"/>
        </w:rPr>
        <w:t xml:space="preserve">ицинские полисы и пенсии, оказывают содействие в подготовке документов для направления в дома-интернаты, предоставляют продуктовые наборы и вещи, информируют о вакансиях и содействуют трудоустройству через службы занятости, в т. ч. с предоставлением жилья.</w:t>
      </w:r>
      <w:r/>
    </w:p>
    <w:p>
      <w:pPr>
        <w:ind w:firstLine="709"/>
        <w:jc w:val="both"/>
        <w:spacing w:after="0"/>
      </w:pPr>
      <w:r>
        <w:rPr>
          <w:rFonts w:ascii="Times New Roman" w:hAnsi="Times New Roman"/>
          <w:sz w:val="28"/>
          <w:szCs w:val="28"/>
        </w:rPr>
        <w:t xml:space="preserve">Статистика за 2025 год демонстрирует масштаб работы учреждения: всего поступило 1174 обращения от лиц БОМЖ, на персональном учете состоит 530 человек, оказано более 2 000 видов помощи и услу</w:t>
      </w:r>
      <w:r>
        <w:rPr>
          <w:rFonts w:ascii="Times New Roman" w:hAnsi="Times New Roman"/>
          <w:sz w:val="28"/>
          <w:szCs w:val="28"/>
        </w:rPr>
        <w:t xml:space="preserve">г. В частности, помощь вещами получили 113 человек, продуктовые наборы - 48 человек, содействие в проведении флюорографического обследования - 129 человек, помощь в оформлении документов - 24 человека, содействие в трудоустройстве - 543 человека, госпитали</w:t>
      </w:r>
      <w:r>
        <w:rPr>
          <w:rFonts w:ascii="Times New Roman" w:hAnsi="Times New Roman"/>
          <w:sz w:val="28"/>
          <w:szCs w:val="28"/>
        </w:rPr>
        <w:t xml:space="preserve">зация в учреждения здравоохранения была организована для 15 человек, регистрация по месту временного пребывания оформлена для 78 человек. При этом в отделение ночного пребывания поступило 1 012 обращений, а в отделение временного проживания - 66 обращений.</w:t>
      </w:r>
      <w:r/>
    </w:p>
    <w:p>
      <w:pPr>
        <w:ind w:firstLine="709"/>
        <w:jc w:val="both"/>
        <w:spacing w:after="0"/>
      </w:pPr>
      <w:r>
        <w:rPr>
          <w:rFonts w:ascii="Times New Roman" w:hAnsi="Times New Roman"/>
          <w:sz w:val="28"/>
          <w:szCs w:val="28"/>
        </w:rPr>
        <w:t xml:space="preserve">Особое внимание уделяется организации питания. Отдел по церковной благотворительности и социальному служению Иваново-В</w:t>
      </w:r>
      <w:r>
        <w:rPr>
          <w:rFonts w:ascii="Times New Roman" w:hAnsi="Times New Roman"/>
          <w:sz w:val="28"/>
          <w:szCs w:val="28"/>
        </w:rPr>
        <w:t xml:space="preserve">ознесенской епархии организует комплексные обеды с понедельника по пятницу (в выходные — по согласованию), а лица БОМЖ, проживающие в отделении временного проживания, обеспечиваются трехразовым питанием по государственному контракту с ИП Федосеевой Е. Ю. (</w:t>
      </w:r>
      <w:r>
        <w:rPr>
          <w:rFonts w:ascii="Times New Roman" w:hAnsi="Times New Roman"/>
          <w:sz w:val="28"/>
          <w:szCs w:val="28"/>
        </w:rPr>
        <w:t xml:space="preserve">аутсорсинг</w:t>
      </w:r>
      <w:r>
        <w:rPr>
          <w:rFonts w:ascii="Times New Roman" w:hAnsi="Times New Roman"/>
          <w:sz w:val="28"/>
          <w:szCs w:val="28"/>
        </w:rPr>
        <w:t xml:space="preserve">).</w:t>
      </w:r>
      <w:r/>
    </w:p>
    <w:p>
      <w:pPr>
        <w:ind w:firstLine="709"/>
        <w:jc w:val="both"/>
        <w:spacing w:after="0"/>
      </w:pPr>
      <w:r>
        <w:rPr>
          <w:rFonts w:ascii="Times New Roman" w:hAnsi="Times New Roman"/>
          <w:sz w:val="28"/>
          <w:szCs w:val="28"/>
        </w:rPr>
        <w:t xml:space="preserve">Успешная работа центра во многом обусловлена активным взаимодействием с широким кругом организаций: органами внутренних дел, федеральной миграционной службой, государственной службой занятости, </w:t>
      </w:r>
      <w:r>
        <w:rPr>
          <w:rFonts w:ascii="Times New Roman" w:hAnsi="Times New Roman"/>
          <w:sz w:val="28"/>
          <w:szCs w:val="28"/>
        </w:rPr>
        <w:t xml:space="preserve">федеральной служб</w:t>
      </w:r>
      <w:r>
        <w:rPr>
          <w:rFonts w:ascii="Times New Roman" w:hAnsi="Times New Roman"/>
          <w:sz w:val="28"/>
          <w:szCs w:val="28"/>
        </w:rPr>
        <w:t xml:space="preserve">ой исполнения наказаний, региональной регистрационной службой, медицинскими и общественными организациями, волонтерами, Русской Православной церковью и благотворителями. Такое сотрудничество позволяет своевременно и эффективно оказывать необходимую помощь </w:t>
      </w:r>
      <w:r>
        <w:rPr>
          <w:rFonts w:ascii="Times New Roman" w:hAnsi="Times New Roman"/>
          <w:sz w:val="28"/>
          <w:szCs w:val="28"/>
        </w:rPr>
        <w:t xml:space="preserve">нуждающимся</w:t>
      </w:r>
      <w:r>
        <w:rPr>
          <w:rFonts w:ascii="Times New Roman" w:hAnsi="Times New Roman"/>
          <w:sz w:val="28"/>
          <w:szCs w:val="28"/>
        </w:rPr>
        <w:t xml:space="preserve">.</w:t>
      </w:r>
      <w:r/>
    </w:p>
    <w:p>
      <w:pPr>
        <w:ind w:firstLine="709"/>
        <w:jc w:val="both"/>
        <w:spacing w:after="0"/>
      </w:pPr>
      <w:r>
        <w:rPr>
          <w:rFonts w:ascii="Times New Roman" w:hAnsi="Times New Roman"/>
          <w:sz w:val="28"/>
          <w:szCs w:val="28"/>
        </w:rPr>
        <w:t xml:space="preserve">Омбудсмен в тесном взаимодействии с органами социальной защиты продолжает оказывать содействие в размещении бездомных граждан в специализированном социальном учрежде</w:t>
      </w:r>
      <w:r>
        <w:rPr>
          <w:rFonts w:ascii="Times New Roman" w:hAnsi="Times New Roman"/>
          <w:sz w:val="28"/>
          <w:szCs w:val="28"/>
        </w:rPr>
        <w:t xml:space="preserve">нии. Важно осознавать, что бездомность и бродяжничество - давние социальные явления, которые не исчезают с течением времени: количество людей, оказавшихся без крыши над головой, меняется - в какие-то периоды их становится меньше, в другие - заметно больше.</w:t>
      </w:r>
      <w:r/>
    </w:p>
    <w:p>
      <w:pPr>
        <w:ind w:firstLine="709"/>
        <w:jc w:val="both"/>
        <w:spacing w:after="0"/>
      </w:pPr>
      <w:r>
        <w:rPr>
          <w:rFonts w:ascii="Times New Roman" w:hAnsi="Times New Roman"/>
          <w:sz w:val="28"/>
          <w:szCs w:val="28"/>
        </w:rPr>
        <w:t xml:space="preserve">К основным факторам, приводящим к утрате жилья, относятся: нехватка финансовых средств, деструктивный образ жизни, конфликты и кризисы в семье, психические расстройства, а также случаи обмана и махинаций с недвижимостью.</w:t>
      </w:r>
      <w:r/>
    </w:p>
    <w:p>
      <w:pPr>
        <w:ind w:firstLine="709"/>
        <w:jc w:val="both"/>
        <w:spacing w:after="0"/>
      </w:pPr>
      <w:r>
        <w:rPr>
          <w:rFonts w:ascii="Times New Roman" w:hAnsi="Times New Roman"/>
          <w:sz w:val="28"/>
          <w:szCs w:val="28"/>
        </w:rPr>
        <w:t xml:space="preserve">Широко распростран</w:t>
      </w:r>
      <w:r>
        <w:rPr>
          <w:rFonts w:ascii="Times New Roman" w:hAnsi="Times New Roman"/>
          <w:sz w:val="28"/>
          <w:szCs w:val="28"/>
        </w:rPr>
        <w:t xml:space="preserve">енное в обществе предубеждение рисует портрет бездомного как человека с низким уровнем образования и устойчивыми вредными привычками. Реальность же выглядит иначе: образовательный уровень среди лиц без определенного места жительства в среднем сопоставим с </w:t>
      </w:r>
      <w:r>
        <w:rPr>
          <w:rFonts w:ascii="Times New Roman" w:hAnsi="Times New Roman"/>
          <w:sz w:val="28"/>
          <w:szCs w:val="28"/>
        </w:rPr>
        <w:t xml:space="preserve">общестатистическим</w:t>
      </w:r>
      <w:r>
        <w:rPr>
          <w:rFonts w:ascii="Times New Roman" w:hAnsi="Times New Roman"/>
          <w:sz w:val="28"/>
          <w:szCs w:val="28"/>
        </w:rPr>
        <w:t xml:space="preserve"> - просто многие из них оказываются не в состоянии преодолеть серьезные жизненные испытания или адаптироваться к высоким темпам и требованиям современного мира.</w:t>
      </w:r>
      <w:r/>
    </w:p>
    <w:p>
      <w:pPr>
        <w:ind w:firstLine="709"/>
        <w:jc w:val="both"/>
        <w:spacing w:after="0"/>
        <w:rPr>
          <w:rFonts w:ascii="Times New Roman" w:hAnsi="Times New Roman"/>
          <w:sz w:val="28"/>
          <w:szCs w:val="28"/>
        </w:rPr>
      </w:pPr>
      <w:r>
        <w:rPr>
          <w:rFonts w:ascii="Times New Roman" w:hAnsi="Times New Roman"/>
          <w:sz w:val="28"/>
          <w:szCs w:val="28"/>
        </w:rPr>
        <w:t xml:space="preserve">Каждый человек, вне зависимости от его социал</w:t>
      </w:r>
      <w:r>
        <w:rPr>
          <w:rFonts w:ascii="Times New Roman" w:hAnsi="Times New Roman"/>
          <w:sz w:val="28"/>
          <w:szCs w:val="28"/>
        </w:rPr>
        <w:t xml:space="preserve">ьного положения и материального благосостояния, обладает неотъемлемыми правами, закрепленными законом. Задача государства и общества заключается не только в формальном провозглашении этих прав, но и в создании реальных условий для их осуществления - в том </w:t>
      </w:r>
      <w:r>
        <w:rPr>
          <w:rFonts w:ascii="Times New Roman" w:hAnsi="Times New Roman"/>
          <w:sz w:val="28"/>
          <w:szCs w:val="28"/>
        </w:rPr>
        <w:t xml:space="preserve">числе для тех, кто оказался в сложной жизненной ситуации и лишился крова. Поддержка и интеграция лиц без определенного места жительства в общественную жизнь должны стать неотъемлемой частью социальной политики, ориентированной на гуманизм и справедливость.</w:t>
      </w:r>
      <w:r>
        <w:rPr>
          <w:rFonts w:ascii="Times New Roman" w:hAnsi="Times New Roman"/>
          <w:sz w:val="28"/>
          <w:szCs w:val="28"/>
        </w:rPr>
      </w:r>
      <w:r>
        <w:rPr>
          <w:rFonts w:ascii="Times New Roman" w:hAnsi="Times New Roman"/>
          <w:sz w:val="28"/>
          <w:szCs w:val="28"/>
        </w:rPr>
      </w:r>
    </w:p>
    <w:p>
      <w:pPr>
        <w:ind w:firstLine="567"/>
        <w:jc w:val="both"/>
        <w:spacing w:after="0"/>
        <w:rPr>
          <w:rFonts w:ascii="Times New Roman" w:hAnsi="Times New Roman"/>
          <w:sz w:val="28"/>
          <w:szCs w:val="28"/>
        </w:rPr>
      </w:pPr>
      <w:r>
        <w:rPr>
          <w:rFonts w:ascii="Times New Roman" w:hAnsi="Times New Roman"/>
          <w:sz w:val="28"/>
          <w:szCs w:val="28"/>
        </w:rPr>
      </w:r>
      <w:r>
        <w:rPr>
          <w:rFonts w:ascii="Times New Roman" w:hAnsi="Times New Roman"/>
          <w:sz w:val="28"/>
          <w:szCs w:val="28"/>
        </w:rPr>
      </w:r>
      <w:r>
        <w:rPr>
          <w:rFonts w:ascii="Times New Roman" w:hAnsi="Times New Roman"/>
          <w:sz w:val="28"/>
          <w:szCs w:val="28"/>
        </w:rPr>
      </w:r>
    </w:p>
    <w:p>
      <w:pPr>
        <w:pStyle w:val="1226"/>
        <w:rPr>
          <w:b/>
          <w:bCs/>
          <w:sz w:val="28"/>
          <w:szCs w:val="28"/>
        </w:rPr>
      </w:pPr>
      <w:r>
        <w:rPr>
          <w:b/>
          <w:sz w:val="28"/>
          <w:szCs w:val="28"/>
          <w:highlight w:val="none"/>
        </w:rPr>
      </w:r>
      <w:r>
        <w:rPr>
          <w:b/>
          <w:sz w:val="28"/>
          <w:szCs w:val="28"/>
          <w:highlight w:val="none"/>
        </w:rPr>
      </w:r>
    </w:p>
    <w:p>
      <w:pPr>
        <w:pStyle w:val="1226"/>
        <w:rPr>
          <w:b/>
          <w:bCs/>
          <w:sz w:val="28"/>
          <w:szCs w:val="28"/>
          <w:highlight w:val="none"/>
        </w:rPr>
      </w:pPr>
      <w:r>
        <w:rPr>
          <w:b/>
          <w:sz w:val="28"/>
          <w:szCs w:val="28"/>
          <w:highlight w:val="none"/>
        </w:rPr>
      </w:r>
      <w:r>
        <w:rPr>
          <w:b/>
          <w:sz w:val="28"/>
          <w:szCs w:val="28"/>
          <w:highlight w:val="none"/>
        </w:rPr>
      </w:r>
    </w:p>
    <w:p>
      <w:pPr>
        <w:pStyle w:val="1226"/>
        <w:rPr>
          <w:b/>
          <w:bCs/>
          <w:sz w:val="28"/>
          <w:szCs w:val="28"/>
          <w:highlight w:val="none"/>
        </w:rPr>
      </w:pPr>
      <w:r>
        <w:rPr>
          <w:b/>
          <w:sz w:val="28"/>
          <w:szCs w:val="28"/>
          <w:highlight w:val="none"/>
        </w:rPr>
      </w:r>
      <w:r>
        <w:rPr>
          <w:b/>
          <w:sz w:val="28"/>
          <w:szCs w:val="28"/>
          <w:highlight w:val="none"/>
        </w:rPr>
      </w:r>
    </w:p>
    <w:p>
      <w:pPr>
        <w:pStyle w:val="1226"/>
        <w:rPr>
          <w:b/>
          <w:bCs/>
          <w:sz w:val="28"/>
          <w:szCs w:val="28"/>
          <w:highlight w:val="none"/>
        </w:rPr>
      </w:pPr>
      <w:r>
        <w:rPr>
          <w:b/>
          <w:sz w:val="28"/>
          <w:szCs w:val="28"/>
          <w:highlight w:val="none"/>
        </w:rPr>
      </w:r>
      <w:r>
        <w:rPr>
          <w:b/>
          <w:sz w:val="28"/>
          <w:szCs w:val="28"/>
          <w:highlight w:val="none"/>
        </w:rPr>
      </w:r>
    </w:p>
    <w:p>
      <w:pPr>
        <w:pStyle w:val="1226"/>
        <w:rPr>
          <w:b/>
          <w:bCs/>
          <w:sz w:val="28"/>
          <w:szCs w:val="28"/>
          <w:highlight w:val="none"/>
        </w:rPr>
      </w:pPr>
      <w:r>
        <w:rPr>
          <w:b/>
          <w:sz w:val="28"/>
          <w:szCs w:val="28"/>
          <w:highlight w:val="none"/>
        </w:rPr>
      </w:r>
      <w:r>
        <w:rPr>
          <w:b/>
          <w:sz w:val="28"/>
          <w:szCs w:val="28"/>
          <w:highlight w:val="none"/>
        </w:rPr>
      </w:r>
    </w:p>
    <w:p>
      <w:pPr>
        <w:pStyle w:val="1226"/>
        <w:rPr>
          <w:b/>
          <w:bCs/>
          <w:sz w:val="28"/>
          <w:szCs w:val="28"/>
          <w:highlight w:val="none"/>
        </w:rPr>
      </w:pPr>
      <w:r>
        <w:rPr>
          <w:b/>
          <w:sz w:val="28"/>
          <w:szCs w:val="28"/>
          <w:highlight w:val="none"/>
        </w:rPr>
      </w:r>
      <w:r>
        <w:rPr>
          <w:b/>
          <w:sz w:val="28"/>
          <w:szCs w:val="28"/>
          <w:highlight w:val="none"/>
        </w:rPr>
      </w:r>
    </w:p>
    <w:p>
      <w:pPr>
        <w:pStyle w:val="1226"/>
        <w:rPr>
          <w:b/>
          <w:bCs/>
          <w:sz w:val="28"/>
          <w:szCs w:val="28"/>
          <w:highlight w:val="none"/>
        </w:rPr>
      </w:pPr>
      <w:r/>
      <w:bookmarkStart w:id="43" w:name="_Toc21"/>
      <w:r>
        <w:rPr>
          <w:rStyle w:val="1252"/>
          <w:rFonts w:ascii="Times New Roman" w:hAnsi="Times New Roman" w:eastAsia="Times New Roman" w:cs="Times New Roman"/>
          <w:color w:val="000000" w:themeColor="text1"/>
          <w:sz w:val="28"/>
          <w:szCs w:val="28"/>
        </w:rPr>
        <w:t xml:space="preserve">Уполномоченный рекомендует</w:t>
      </w:r>
      <w:r>
        <w:rPr>
          <w:b/>
          <w:sz w:val="28"/>
          <w:szCs w:val="28"/>
        </w:rPr>
        <w:t xml:space="preserve">:</w:t>
      </w:r>
      <w:r>
        <w:rPr>
          <w:b/>
          <w:sz w:val="28"/>
          <w:szCs w:val="28"/>
        </w:rPr>
      </w:r>
      <w:bookmarkEnd w:id="43"/>
      <w:r>
        <w:rPr>
          <w:b/>
          <w:sz w:val="28"/>
          <w:szCs w:val="28"/>
        </w:rPr>
      </w:r>
      <w:r>
        <w:rPr>
          <w:b/>
          <w:bCs/>
          <w:sz w:val="28"/>
          <w:szCs w:val="28"/>
          <w:highlight w:val="none"/>
        </w:rPr>
      </w:r>
    </w:p>
    <w:p>
      <w:pPr>
        <w:pStyle w:val="1236"/>
        <w:jc w:val="both"/>
        <w:spacing w:before="0" w:beforeAutospacing="0" w:after="0" w:afterAutospacing="0" w:line="276" w:lineRule="auto"/>
        <w:shd w:val="clear" w:color="auto" w:fill="ffffff"/>
        <w:rPr>
          <w:b/>
          <w:i/>
          <w:sz w:val="28"/>
          <w:szCs w:val="28"/>
        </w:rPr>
      </w:pPr>
      <w:r>
        <w:rPr>
          <w:b/>
          <w:i/>
          <w:sz w:val="28"/>
          <w:szCs w:val="28"/>
        </w:rPr>
      </w:r>
      <w:r>
        <w:rPr>
          <w:b/>
          <w:i/>
          <w:sz w:val="28"/>
          <w:szCs w:val="28"/>
        </w:rPr>
      </w:r>
      <w:r>
        <w:rPr>
          <w:b/>
          <w:i/>
          <w:sz w:val="28"/>
          <w:szCs w:val="28"/>
        </w:rPr>
      </w:r>
    </w:p>
    <w:p>
      <w:pPr>
        <w:pStyle w:val="1236"/>
        <w:spacing w:before="0" w:beforeAutospacing="0" w:after="0" w:afterAutospacing="0" w:line="276" w:lineRule="auto"/>
        <w:shd w:val="clear" w:color="auto" w:fill="ffffff"/>
        <w:rPr>
          <w:b/>
          <w:bCs/>
          <w:i/>
          <w:color w:val="000000" w:themeColor="text1"/>
        </w:rPr>
      </w:pPr>
      <w:r>
        <w:rPr>
          <w:color w:val="000000" w:themeColor="text1"/>
          <w:sz w:val="28"/>
          <w:szCs w:val="28"/>
        </w:rPr>
        <w:tab/>
      </w:r>
      <w:r>
        <w:rPr>
          <w:b/>
          <w:bCs/>
          <w:i/>
          <w:color w:val="000000" w:themeColor="text1"/>
          <w:sz w:val="28"/>
          <w:szCs w:val="28"/>
        </w:rPr>
        <w:t xml:space="preserve">Правительству Ивановской области:</w:t>
      </w:r>
      <w:r>
        <w:rPr>
          <w:b/>
          <w:bCs/>
          <w:i/>
          <w:color w:val="000000" w:themeColor="text1"/>
        </w:rPr>
      </w:r>
      <w:r>
        <w:rPr>
          <w:b/>
          <w:bCs/>
          <w:i/>
          <w:color w:val="000000" w:themeColor="text1"/>
        </w:rPr>
      </w:r>
      <w:r>
        <w:rPr>
          <w:rFonts w:ascii="Times New Roman" w:hAnsi="Times New Roman"/>
          <w:sz w:val="28"/>
          <w:szCs w:val="28"/>
          <w:lang w:val="ru-RU"/>
        </w:rPr>
      </w:r>
      <w:r>
        <w:rPr>
          <w:rFonts w:ascii="Times New Roman" w:hAnsi="Times New Roman"/>
          <w:sz w:val="28"/>
          <w:szCs w:val="28"/>
          <w:lang w:val="ru-RU"/>
        </w:rPr>
      </w:r>
      <w:r>
        <w:rPr>
          <w:rFonts w:ascii="Times New Roman" w:hAnsi="Times New Roman"/>
          <w:sz w:val="28"/>
          <w:szCs w:val="28"/>
          <w:lang w:val="ru-RU"/>
        </w:rPr>
      </w:r>
      <w:r>
        <w:rPr>
          <w:b/>
          <w:bCs/>
          <w:i/>
          <w:color w:val="000000" w:themeColor="text1"/>
        </w:rPr>
      </w:r>
    </w:p>
    <w:p>
      <w:pPr>
        <w:pStyle w:val="1236"/>
        <w:numPr>
          <w:ilvl w:val="0"/>
          <w:numId w:val="139"/>
        </w:numPr>
        <w:ind w:left="0" w:firstLine="709"/>
        <w:jc w:val="both"/>
        <w:spacing w:before="0" w:beforeAutospacing="0" w:after="0" w:afterAutospacing="0" w:line="276" w:lineRule="auto"/>
        <w:shd w:val="clear" w:color="auto" w:fill="ffffff"/>
        <w:rPr>
          <w:color w:val="000000" w:themeColor="text1"/>
        </w:rPr>
      </w:pPr>
      <w:r>
        <w:rPr>
          <w:color w:val="000000" w:themeColor="text1"/>
          <w:sz w:val="28"/>
          <w:szCs w:val="28"/>
        </w:rPr>
        <w:t xml:space="preserve">предусмотреть заблаговременное обеспечение земельных участков, выделяемых многодетным семьям, необходимой инженерной и социальной инфраструктурой;</w:t>
      </w:r>
      <w:r>
        <w:rPr>
          <w:color w:val="000000" w:themeColor="text1"/>
        </w:rPr>
      </w:r>
      <w:r>
        <w:rPr>
          <w:color w:val="000000" w:themeColor="text1"/>
        </w:rPr>
      </w:r>
    </w:p>
    <w:p>
      <w:pPr>
        <w:pStyle w:val="1236"/>
        <w:numPr>
          <w:ilvl w:val="0"/>
          <w:numId w:val="139"/>
        </w:numPr>
        <w:ind w:left="0" w:firstLine="709"/>
        <w:jc w:val="both"/>
        <w:spacing w:before="0" w:beforeAutospacing="0" w:after="0" w:afterAutospacing="0" w:line="276" w:lineRule="auto"/>
        <w:shd w:val="clear" w:color="auto" w:fill="ffffff"/>
        <w:rPr>
          <w:color w:val="000000" w:themeColor="text1"/>
        </w:rPr>
      </w:pPr>
      <w:r>
        <w:rPr>
          <w:color w:val="000000" w:themeColor="text1"/>
          <w:sz w:val="28"/>
          <w:szCs w:val="28"/>
        </w:rPr>
        <w:t xml:space="preserve">рассмотреть возможность открытия дополнительных отделений социального обслуживания для лиц БОМЖ, предусмотрев соответствующее финансирование;</w:t>
      </w:r>
      <w:r>
        <w:rPr>
          <w:color w:val="000000" w:themeColor="text1"/>
        </w:rPr>
      </w:r>
      <w:r>
        <w:rPr>
          <w:color w:val="000000" w:themeColor="text1"/>
        </w:rPr>
      </w:r>
    </w:p>
    <w:p>
      <w:pPr>
        <w:pStyle w:val="1236"/>
        <w:numPr>
          <w:ilvl w:val="0"/>
          <w:numId w:val="139"/>
        </w:numPr>
        <w:ind w:left="0" w:firstLine="709"/>
        <w:jc w:val="both"/>
        <w:spacing w:before="0" w:beforeAutospacing="0" w:after="0" w:afterAutospacing="0" w:line="276" w:lineRule="auto"/>
        <w:shd w:val="clear" w:color="auto" w:fill="ffffff"/>
        <w:rPr>
          <w:color w:val="000000" w:themeColor="text1"/>
        </w:rPr>
      </w:pPr>
      <w:r>
        <w:rPr>
          <w:color w:val="000000" w:themeColor="text1"/>
          <w:sz w:val="28"/>
          <w:szCs w:val="28"/>
        </w:rPr>
        <w:t xml:space="preserve">расширить спектр предоставляемых услуг для лиц БОМЖ, включая психологическую и юридическую помощь, содействие в социальной адаптации;</w:t>
      </w:r>
      <w:r>
        <w:rPr>
          <w:color w:val="000000" w:themeColor="text1"/>
        </w:rPr>
      </w:r>
      <w:r>
        <w:rPr>
          <w:color w:val="000000" w:themeColor="text1"/>
        </w:rPr>
      </w:r>
    </w:p>
    <w:p>
      <w:pPr>
        <w:pStyle w:val="1236"/>
        <w:numPr>
          <w:ilvl w:val="0"/>
          <w:numId w:val="139"/>
        </w:numPr>
        <w:ind w:left="0" w:firstLine="709"/>
        <w:jc w:val="both"/>
        <w:spacing w:before="0" w:beforeAutospacing="0" w:after="0" w:afterAutospacing="0" w:line="276" w:lineRule="auto"/>
        <w:shd w:val="clear" w:color="auto" w:fill="ffffff"/>
        <w:rPr>
          <w:color w:val="ff0000" w:themeColor="text1"/>
        </w:rPr>
      </w:pPr>
      <w:r>
        <w:rPr>
          <w:color w:val="000000" w:themeColor="text1"/>
          <w:sz w:val="28"/>
          <w:szCs w:val="28"/>
        </w:rPr>
        <w:t xml:space="preserve">изучить полезный опыт субъектов ЦФО по вопросу жизнеустройства лиц БОМЖ и внедрить лучшие практики в Ивановской области</w:t>
      </w:r>
      <w:r>
        <w:rPr>
          <w:color w:val="000000" w:themeColor="text1"/>
          <w:sz w:val="28"/>
          <w:szCs w:val="28"/>
        </w:rPr>
        <w:t xml:space="preserve">.</w:t>
      </w:r>
      <w:r>
        <w:rPr>
          <w:color w:val="000000" w:themeColor="text1"/>
        </w:rPr>
        <w:t xml:space="preserve"> </w:t>
      </w:r>
      <w:r>
        <w:rPr>
          <w:color w:val="ff0000" w:themeColor="text1"/>
        </w:rPr>
      </w:r>
      <w:r>
        <w:rPr>
          <w:color w:val="ff0000" w:themeColor="text1"/>
        </w:rPr>
      </w:r>
    </w:p>
    <w:p>
      <w:pPr>
        <w:pStyle w:val="1236"/>
        <w:jc w:val="both"/>
        <w:spacing w:before="0" w:beforeAutospacing="0" w:after="0" w:afterAutospacing="0" w:line="276" w:lineRule="auto"/>
        <w:shd w:val="clear" w:color="auto" w:fill="ffffff"/>
        <w:rPr>
          <w:color w:val="ff0000"/>
        </w:rPr>
      </w:pPr>
      <w:r>
        <w:rPr>
          <w:color w:val="ff0000"/>
        </w:rPr>
      </w:r>
      <w:r>
        <w:rPr>
          <w:color w:val="ff0000"/>
        </w:rPr>
      </w:r>
      <w:r>
        <w:rPr>
          <w:color w:val="ff0000"/>
        </w:rPr>
      </w:r>
    </w:p>
    <w:p>
      <w:pPr>
        <w:pStyle w:val="1236"/>
        <w:ind w:firstLine="709"/>
        <w:jc w:val="both"/>
        <w:spacing w:before="0" w:beforeAutospacing="0" w:after="0" w:afterAutospacing="0" w:line="276" w:lineRule="auto"/>
        <w:shd w:val="clear" w:color="auto" w:fill="ffffff"/>
        <w:rPr>
          <w:b/>
          <w:bCs/>
          <w:i/>
          <w:color w:val="000000" w:themeColor="text1"/>
        </w:rPr>
      </w:pPr>
      <w:r>
        <w:rPr>
          <w:b/>
          <w:bCs/>
          <w:i/>
          <w:color w:val="000000" w:themeColor="text1"/>
          <w:sz w:val="28"/>
          <w:szCs w:val="28"/>
        </w:rPr>
        <w:t xml:space="preserve">Отделению Фонда пенсионного и социального страхования Российской Федерации по Ивановской области:</w:t>
      </w:r>
      <w:r>
        <w:rPr>
          <w:b/>
          <w:bCs/>
          <w:i/>
          <w:color w:val="000000" w:themeColor="text1"/>
        </w:rPr>
      </w:r>
      <w:r>
        <w:rPr>
          <w:b/>
          <w:bCs/>
          <w:i/>
          <w:color w:val="000000" w:themeColor="text1"/>
        </w:rPr>
      </w:r>
    </w:p>
    <w:p>
      <w:pPr>
        <w:pStyle w:val="1236"/>
        <w:numPr>
          <w:ilvl w:val="0"/>
          <w:numId w:val="140"/>
        </w:numPr>
        <w:ind w:left="0" w:firstLine="709"/>
        <w:jc w:val="both"/>
        <w:spacing w:before="0" w:beforeAutospacing="0" w:after="0" w:afterAutospacing="0" w:line="276" w:lineRule="auto"/>
        <w:shd w:val="clear" w:color="auto" w:fill="ffffff"/>
        <w:rPr>
          <w:color w:val="000000" w:themeColor="text1"/>
        </w:rPr>
      </w:pPr>
      <w:r>
        <w:rPr>
          <w:color w:val="000000" w:themeColor="text1"/>
          <w:sz w:val="28"/>
          <w:szCs w:val="28"/>
        </w:rPr>
        <w:t xml:space="preserve">оптимизировать сроки заключения государственных контрактов на обеспечение инвалидов ТСР;</w:t>
      </w:r>
      <w:r>
        <w:rPr>
          <w:color w:val="000000" w:themeColor="text1"/>
        </w:rPr>
      </w:r>
      <w:r>
        <w:rPr>
          <w:color w:val="000000" w:themeColor="text1"/>
        </w:rPr>
      </w:r>
    </w:p>
    <w:p>
      <w:pPr>
        <w:pStyle w:val="1236"/>
        <w:numPr>
          <w:ilvl w:val="0"/>
          <w:numId w:val="140"/>
        </w:numPr>
        <w:ind w:left="0" w:firstLine="709"/>
        <w:jc w:val="both"/>
        <w:spacing w:before="0" w:beforeAutospacing="0" w:after="0" w:afterAutospacing="0" w:line="276" w:lineRule="auto"/>
        <w:shd w:val="clear" w:color="auto" w:fill="ffffff"/>
        <w:rPr>
          <w:color w:val="000000" w:themeColor="text1"/>
        </w:rPr>
      </w:pPr>
      <w:r>
        <w:rPr>
          <w:color w:val="000000" w:themeColor="text1"/>
          <w:sz w:val="28"/>
          <w:szCs w:val="28"/>
        </w:rPr>
        <w:t xml:space="preserve">повысить информированность инвалидов о возможностях и механизмах получения ТСР;</w:t>
      </w:r>
      <w:r>
        <w:rPr>
          <w:color w:val="000000" w:themeColor="text1"/>
        </w:rPr>
      </w:r>
      <w:r>
        <w:rPr>
          <w:color w:val="000000" w:themeColor="text1"/>
        </w:rPr>
      </w:r>
    </w:p>
    <w:p>
      <w:pPr>
        <w:pStyle w:val="1236"/>
        <w:numPr>
          <w:ilvl w:val="0"/>
          <w:numId w:val="140"/>
        </w:numPr>
        <w:ind w:left="0" w:firstLine="709"/>
        <w:jc w:val="both"/>
        <w:spacing w:before="0" w:beforeAutospacing="0" w:after="0" w:afterAutospacing="0" w:line="276" w:lineRule="auto"/>
        <w:shd w:val="clear" w:color="auto" w:fill="ffffff"/>
        <w:rPr>
          <w:color w:val="000000" w:themeColor="text1"/>
        </w:rPr>
      </w:pPr>
      <w:r>
        <w:rPr>
          <w:color w:val="000000" w:themeColor="text1"/>
          <w:sz w:val="28"/>
          <w:szCs w:val="28"/>
        </w:rPr>
        <w:t xml:space="preserve">обеспечить своевременное информирование граждан о назначении пенсий, в т. ч. по инвалидности и в случае потери кормильца;</w:t>
      </w:r>
      <w:r>
        <w:rPr>
          <w:color w:val="000000" w:themeColor="text1"/>
        </w:rPr>
      </w:r>
      <w:r>
        <w:rPr>
          <w:color w:val="000000" w:themeColor="text1"/>
        </w:rPr>
      </w:r>
    </w:p>
    <w:p>
      <w:pPr>
        <w:pStyle w:val="1236"/>
        <w:numPr>
          <w:ilvl w:val="0"/>
          <w:numId w:val="140"/>
        </w:numPr>
        <w:ind w:left="0" w:firstLine="709"/>
        <w:jc w:val="both"/>
        <w:spacing w:before="0" w:beforeAutospacing="0" w:after="0" w:afterAutospacing="0" w:line="276" w:lineRule="auto"/>
        <w:shd w:val="clear" w:color="auto" w:fill="ffffff"/>
        <w:rPr>
          <w:color w:val="000000" w:themeColor="text1"/>
        </w:rPr>
      </w:pPr>
      <w:r>
        <w:rPr>
          <w:color w:val="000000" w:themeColor="text1"/>
          <w:sz w:val="28"/>
          <w:szCs w:val="28"/>
        </w:rPr>
        <w:t xml:space="preserve">совершенствовать формы взаимодействия с региональным институтом </w:t>
      </w:r>
      <w:r>
        <w:rPr>
          <w:color w:val="000000" w:themeColor="text1"/>
          <w:sz w:val="28"/>
          <w:szCs w:val="28"/>
        </w:rPr>
        <w:t xml:space="preserve">правозащиты</w:t>
      </w:r>
      <w:r>
        <w:rPr>
          <w:color w:val="000000" w:themeColor="text1"/>
          <w:sz w:val="28"/>
          <w:szCs w:val="28"/>
        </w:rPr>
        <w:t xml:space="preserve"> по повышению правовой культуры населения в сфере обеспечения ТСР;</w:t>
      </w:r>
      <w:r>
        <w:rPr>
          <w:color w:val="000000" w:themeColor="text1"/>
        </w:rPr>
      </w:r>
      <w:r>
        <w:rPr>
          <w:color w:val="000000" w:themeColor="text1"/>
        </w:rPr>
      </w:r>
    </w:p>
    <w:p>
      <w:pPr>
        <w:pStyle w:val="1236"/>
        <w:numPr>
          <w:ilvl w:val="0"/>
          <w:numId w:val="140"/>
        </w:numPr>
        <w:ind w:left="0" w:firstLine="709"/>
        <w:jc w:val="both"/>
        <w:spacing w:before="0" w:beforeAutospacing="0" w:after="0" w:afterAutospacing="0" w:line="276" w:lineRule="auto"/>
        <w:shd w:val="clear" w:color="auto" w:fill="ffffff"/>
        <w:rPr>
          <w:color w:val="000000" w:themeColor="text1"/>
        </w:rPr>
      </w:pPr>
      <w:r>
        <w:rPr>
          <w:color w:val="000000" w:themeColor="text1"/>
          <w:sz w:val="28"/>
          <w:szCs w:val="28"/>
        </w:rPr>
        <w:t xml:space="preserve">уделить особое внимание обеспечению ТСР участников специальной военной операции, предусмотрев персональное сопровождение каждого случая.</w:t>
      </w:r>
      <w:r>
        <w:rPr>
          <w:color w:val="000000" w:themeColor="text1"/>
        </w:rPr>
      </w:r>
      <w:r>
        <w:rPr>
          <w:color w:val="000000" w:themeColor="text1"/>
        </w:rPr>
      </w:r>
    </w:p>
    <w:p>
      <w:pPr>
        <w:pStyle w:val="1236"/>
        <w:jc w:val="both"/>
        <w:spacing w:before="0" w:beforeAutospacing="0" w:after="0" w:afterAutospacing="0" w:line="276" w:lineRule="auto"/>
        <w:shd w:val="clear" w:color="auto" w:fill="ffffff"/>
        <w:rPr>
          <w:color w:val="000000" w:themeColor="text1"/>
        </w:rPr>
      </w:pPr>
      <w:r>
        <w:rPr>
          <w:color w:val="000000" w:themeColor="text1"/>
        </w:rPr>
      </w:r>
      <w:r>
        <w:rPr>
          <w:color w:val="000000" w:themeColor="text1"/>
        </w:rPr>
      </w:r>
      <w:r>
        <w:rPr>
          <w:color w:val="000000" w:themeColor="text1"/>
        </w:rPr>
      </w:r>
    </w:p>
    <w:p>
      <w:pPr>
        <w:pStyle w:val="1236"/>
        <w:ind w:firstLine="709"/>
        <w:spacing w:before="0" w:beforeAutospacing="0" w:after="0" w:afterAutospacing="0" w:line="276" w:lineRule="auto"/>
        <w:shd w:val="clear" w:color="auto" w:fill="ffffff"/>
        <w:rPr>
          <w:b/>
          <w:bCs/>
          <w:i/>
          <w:color w:val="000000" w:themeColor="text1"/>
        </w:rPr>
      </w:pPr>
      <w:r>
        <w:rPr>
          <w:b/>
          <w:bCs/>
          <w:i/>
          <w:color w:val="000000" w:themeColor="text1"/>
          <w:sz w:val="28"/>
          <w:szCs w:val="28"/>
        </w:rPr>
        <w:t xml:space="preserve">Департаменту здравоохранения Ивановской области: </w:t>
      </w:r>
      <w:r>
        <w:rPr>
          <w:b/>
          <w:bCs/>
          <w:i/>
          <w:color w:val="000000" w:themeColor="text1"/>
        </w:rPr>
      </w:r>
      <w:r>
        <w:rPr>
          <w:b/>
          <w:bCs/>
          <w:i/>
          <w:color w:val="000000" w:themeColor="text1"/>
        </w:rPr>
      </w:r>
    </w:p>
    <w:p>
      <w:pPr>
        <w:pStyle w:val="1236"/>
        <w:numPr>
          <w:ilvl w:val="0"/>
          <w:numId w:val="141"/>
        </w:numPr>
        <w:ind w:left="0" w:firstLine="709"/>
        <w:jc w:val="both"/>
        <w:spacing w:before="0" w:beforeAutospacing="0" w:after="0" w:afterAutospacing="0" w:line="276" w:lineRule="auto"/>
        <w:shd w:val="clear" w:color="auto" w:fill="ffffff"/>
        <w:rPr>
          <w:color w:val="000000" w:themeColor="text1"/>
        </w:rPr>
      </w:pPr>
      <w:r>
        <w:rPr>
          <w:color w:val="000000" w:themeColor="text1"/>
          <w:sz w:val="28"/>
          <w:szCs w:val="28"/>
        </w:rPr>
        <w:t xml:space="preserve">усилить </w:t>
      </w:r>
      <w:r>
        <w:rPr>
          <w:color w:val="000000" w:themeColor="text1"/>
          <w:sz w:val="28"/>
          <w:szCs w:val="28"/>
        </w:rPr>
        <w:t xml:space="preserve">контроль за</w:t>
      </w:r>
      <w:r>
        <w:rPr>
          <w:color w:val="000000" w:themeColor="text1"/>
          <w:sz w:val="28"/>
          <w:szCs w:val="28"/>
        </w:rPr>
        <w:t xml:space="preserve"> соблюдением сроков оформления направлений на МСЭ и минимизацией технических сбоев при передаче документов в ФКУ «ГБ МСЭ по Ивановской области»;</w:t>
      </w:r>
      <w:r>
        <w:rPr>
          <w:color w:val="000000" w:themeColor="text1"/>
        </w:rPr>
      </w:r>
      <w:r>
        <w:rPr>
          <w:color w:val="000000" w:themeColor="text1"/>
        </w:rPr>
      </w:r>
    </w:p>
    <w:p>
      <w:pPr>
        <w:pStyle w:val="1236"/>
        <w:numPr>
          <w:ilvl w:val="0"/>
          <w:numId w:val="141"/>
        </w:numPr>
        <w:ind w:left="0" w:firstLine="709"/>
        <w:jc w:val="both"/>
        <w:spacing w:before="0" w:beforeAutospacing="0" w:after="0" w:afterAutospacing="0" w:line="276" w:lineRule="auto"/>
        <w:shd w:val="clear" w:color="auto" w:fill="ffffff"/>
        <w:rPr>
          <w:color w:val="000000" w:themeColor="text1"/>
        </w:rPr>
      </w:pPr>
      <w:r>
        <w:rPr>
          <w:color w:val="000000" w:themeColor="text1"/>
          <w:sz w:val="28"/>
          <w:szCs w:val="28"/>
        </w:rPr>
        <w:t xml:space="preserve">организовать обучение персонала медицинских организаций по вопросам формирования пакета документов для направления граждан на МСЭ.</w:t>
      </w:r>
      <w:r>
        <w:rPr>
          <w:color w:val="000000" w:themeColor="text1"/>
        </w:rPr>
      </w:r>
      <w:r>
        <w:rPr>
          <w:color w:val="000000" w:themeColor="text1"/>
        </w:rPr>
      </w:r>
    </w:p>
    <w:p>
      <w:pPr>
        <w:pStyle w:val="1236"/>
        <w:jc w:val="both"/>
        <w:spacing w:before="0" w:beforeAutospacing="0" w:after="0" w:afterAutospacing="0" w:line="276" w:lineRule="auto"/>
        <w:shd w:val="clear" w:color="auto" w:fill="ffffff"/>
        <w:rPr>
          <w:color w:val="000000" w:themeColor="text1"/>
        </w:rPr>
      </w:pPr>
      <w:r>
        <w:rPr>
          <w:color w:val="000000" w:themeColor="text1"/>
        </w:rPr>
      </w:r>
      <w:r>
        <w:rPr>
          <w:color w:val="000000" w:themeColor="text1"/>
        </w:rPr>
      </w:r>
      <w:r>
        <w:rPr>
          <w:color w:val="000000" w:themeColor="text1"/>
        </w:rPr>
      </w:r>
    </w:p>
    <w:p>
      <w:pPr>
        <w:pStyle w:val="1236"/>
        <w:ind w:firstLine="709"/>
        <w:spacing w:before="0" w:beforeAutospacing="0" w:after="0" w:afterAutospacing="0" w:line="276" w:lineRule="auto"/>
        <w:shd w:val="clear" w:color="auto" w:fill="ffffff"/>
        <w:rPr>
          <w:i/>
          <w:color w:val="000000" w:themeColor="text1"/>
        </w:rPr>
      </w:pPr>
      <w:r>
        <w:rPr>
          <w:b/>
          <w:bCs/>
          <w:i/>
          <w:color w:val="000000" w:themeColor="text1"/>
          <w:sz w:val="28"/>
          <w:szCs w:val="28"/>
        </w:rPr>
        <w:t xml:space="preserve">Органам местного самоуправления: </w:t>
      </w:r>
      <w:r>
        <w:rPr>
          <w:i/>
          <w:color w:val="000000" w:themeColor="text1"/>
        </w:rPr>
      </w:r>
      <w:r>
        <w:rPr>
          <w:i/>
          <w:color w:val="000000" w:themeColor="text1"/>
        </w:rPr>
      </w:r>
    </w:p>
    <w:p>
      <w:pPr>
        <w:pStyle w:val="1236"/>
        <w:numPr>
          <w:ilvl w:val="0"/>
          <w:numId w:val="143"/>
        </w:numPr>
        <w:ind w:left="0" w:firstLine="709"/>
        <w:jc w:val="both"/>
        <w:spacing w:before="0" w:beforeAutospacing="0" w:after="0" w:afterAutospacing="0" w:line="276" w:lineRule="auto"/>
        <w:shd w:val="clear" w:color="auto" w:fill="ffffff"/>
        <w:rPr>
          <w:color w:val="000000" w:themeColor="text1"/>
        </w:rPr>
      </w:pPr>
      <w:r>
        <w:rPr>
          <w:color w:val="000000" w:themeColor="text1"/>
          <w:sz w:val="28"/>
          <w:szCs w:val="28"/>
        </w:rPr>
        <w:t xml:space="preserve">активизировать работу по созданию доступной среды для инвалидов на подведомственных территориях, включая обустройство пандусов, тактильной разметки, парковочных мест;</w:t>
      </w:r>
      <w:r>
        <w:rPr>
          <w:color w:val="000000" w:themeColor="text1"/>
        </w:rPr>
      </w:r>
      <w:r>
        <w:rPr>
          <w:color w:val="000000" w:themeColor="text1"/>
        </w:rPr>
      </w:r>
    </w:p>
    <w:p>
      <w:pPr>
        <w:pStyle w:val="1236"/>
        <w:numPr>
          <w:ilvl w:val="0"/>
          <w:numId w:val="143"/>
        </w:numPr>
        <w:ind w:left="0" w:firstLine="709"/>
        <w:jc w:val="both"/>
        <w:spacing w:before="0" w:beforeAutospacing="0" w:after="0" w:afterAutospacing="0" w:line="276" w:lineRule="auto"/>
        <w:shd w:val="clear" w:color="auto" w:fill="ffffff"/>
        <w:rPr>
          <w:color w:val="000000" w:themeColor="text1"/>
        </w:rPr>
      </w:pPr>
      <w:r>
        <w:rPr>
          <w:color w:val="000000" w:themeColor="text1"/>
          <w:sz w:val="28"/>
          <w:szCs w:val="28"/>
        </w:rPr>
        <w:t xml:space="preserve">содействовать развитию волонтерских и благотворительных инициатив, направленных на поддержку лиц БОМЖ, многодетных семей и инвалидов.</w:t>
      </w:r>
      <w:r>
        <w:rPr>
          <w:color w:val="000000" w:themeColor="text1"/>
        </w:rPr>
      </w:r>
      <w:r>
        <w:rPr>
          <w:color w:val="000000" w:themeColor="text1"/>
        </w:rPr>
      </w:r>
    </w:p>
    <w:p>
      <w:pPr>
        <w:pStyle w:val="1060"/>
        <w:jc w:val="center"/>
        <w:rPr>
          <w:rFonts w:ascii="Times New Roman" w:hAnsi="Times New Roman" w:cs="Times New Roman"/>
          <w:color w:val="auto"/>
          <w:sz w:val="28"/>
          <w:szCs w:val="28"/>
        </w:rPr>
      </w:pPr>
      <w:r/>
      <w:bookmarkStart w:id="44" w:name="_Toc22"/>
      <w:r>
        <w:rPr>
          <w:rFonts w:ascii="Times New Roman" w:hAnsi="Times New Roman" w:cs="Times New Roman"/>
          <w:color w:val="auto"/>
          <w:sz w:val="28"/>
          <w:szCs w:val="28"/>
        </w:rPr>
        <w:t xml:space="preserve">РАЗДЕЛ 7. ЗАЩИТА СЕМЬИ, МАТЕРИНСТВА И ДЕТСТВА</w:t>
      </w:r>
      <w:r>
        <w:rPr>
          <w:rFonts w:ascii="Times New Roman" w:hAnsi="Times New Roman" w:cs="Times New Roman"/>
          <w:color w:val="auto"/>
          <w:sz w:val="28"/>
          <w:szCs w:val="28"/>
        </w:rPr>
      </w:r>
      <w:bookmarkEnd w:id="44"/>
      <w:r>
        <w:rPr>
          <w:rFonts w:ascii="Times New Roman" w:hAnsi="Times New Roman" w:cs="Times New Roman"/>
          <w:color w:val="auto"/>
          <w:sz w:val="28"/>
          <w:szCs w:val="28"/>
        </w:rPr>
      </w:r>
      <w:r>
        <w:rPr>
          <w:rFonts w:ascii="Times New Roman" w:hAnsi="Times New Roman" w:cs="Times New Roman"/>
          <w:color w:val="auto"/>
          <w:sz w:val="28"/>
          <w:szCs w:val="28"/>
        </w:rPr>
      </w:r>
    </w:p>
    <w:p>
      <w:pPr>
        <w:ind w:firstLine="567"/>
        <w:jc w:val="both"/>
        <w:spacing w:after="0"/>
        <w:tabs>
          <w:tab w:val="left" w:pos="5670" w:leader="none"/>
        </w:tabs>
        <w:rPr>
          <w:rFonts w:ascii="Times New Roman" w:hAnsi="Times New Roman"/>
          <w:sz w:val="28"/>
          <w:szCs w:val="28"/>
        </w:rPr>
      </w:pPr>
      <w:r>
        <w:rPr>
          <w:rFonts w:ascii="Times New Roman" w:hAnsi="Times New Roman"/>
          <w:sz w:val="28"/>
          <w:szCs w:val="28"/>
        </w:rPr>
      </w:r>
      <w:r>
        <w:rPr>
          <w:rFonts w:ascii="Times New Roman" w:hAnsi="Times New Roman"/>
          <w:sz w:val="28"/>
          <w:szCs w:val="28"/>
        </w:rPr>
      </w:r>
      <w:r>
        <w:rPr>
          <w:rFonts w:ascii="Times New Roman" w:hAnsi="Times New Roman"/>
          <w:sz w:val="28"/>
          <w:szCs w:val="28"/>
        </w:rPr>
      </w:r>
    </w:p>
    <w:p>
      <w:pPr>
        <w:pStyle w:val="1236"/>
        <w:ind w:firstLine="709"/>
        <w:jc w:val="both"/>
        <w:spacing w:before="0" w:beforeAutospacing="0" w:after="0" w:afterAutospacing="0" w:line="276" w:lineRule="auto"/>
        <w:shd w:val="clear" w:color="auto" w:fill="ffffff"/>
        <w:rPr>
          <w:color w:val="000000"/>
          <w:sz w:val="28"/>
          <w:szCs w:val="28"/>
          <w:shd w:val="clear" w:color="auto" w:fill="ffffff"/>
        </w:rPr>
      </w:pPr>
      <w:r>
        <w:rPr>
          <w:color w:val="0e0e0f"/>
          <w:sz w:val="28"/>
          <w:szCs w:val="28"/>
        </w:rPr>
        <w:t xml:space="preserve">Одним из направлений социальной политики является приоритетная задача защиты семьи, материнства и детства (ст. 38 Конституции Российской Федерации).</w:t>
      </w:r>
      <w:r>
        <w:rPr>
          <w:color w:val="000000"/>
          <w:sz w:val="28"/>
          <w:szCs w:val="28"/>
          <w:shd w:val="clear" w:color="auto" w:fill="ffffff"/>
        </w:rPr>
        <w:t xml:space="preserve"> </w:t>
      </w:r>
      <w:r>
        <w:rPr>
          <w:sz w:val="28"/>
          <w:szCs w:val="28"/>
        </w:rPr>
        <w:t xml:space="preserve">Семейное право – это </w:t>
      </w:r>
      <w:r>
        <w:rPr>
          <w:sz w:val="28"/>
          <w:szCs w:val="28"/>
        </w:rPr>
        <w:t xml:space="preserve">отрасль права, которая регулирует отношения между членами семьи, а также семейные отношения, то есть личные и связанные с ними имущественные отношения, возникающие между гражданами во время брака, родства, усыновления, принятия детей в семью на воспитание.</w:t>
      </w:r>
      <w:r>
        <w:rPr>
          <w:color w:val="70859f"/>
        </w:rPr>
        <w:t xml:space="preserve"> </w:t>
      </w:r>
      <w:r>
        <w:rPr>
          <w:color w:val="000000"/>
          <w:sz w:val="28"/>
          <w:szCs w:val="28"/>
          <w:shd w:val="clear" w:color="auto" w:fill="ffffff"/>
        </w:rPr>
      </w:r>
      <w:r>
        <w:rPr>
          <w:color w:val="000000"/>
          <w:sz w:val="28"/>
          <w:szCs w:val="28"/>
          <w:shd w:val="clear" w:color="auto" w:fill="ffffff"/>
        </w:rPr>
      </w:r>
    </w:p>
    <w:p>
      <w:pPr>
        <w:ind w:firstLine="709"/>
        <w:jc w:val="both"/>
        <w:spacing w:after="0"/>
        <w:tabs>
          <w:tab w:val="left" w:pos="709" w:leader="none"/>
        </w:tabs>
        <w:rPr>
          <w:rFonts w:ascii="Times New Roman" w:hAnsi="Times New Roman"/>
          <w:sz w:val="28"/>
          <w:szCs w:val="28"/>
        </w:rPr>
      </w:pPr>
      <w:r>
        <w:rPr>
          <w:rFonts w:ascii="Times New Roman" w:hAnsi="Times New Roman"/>
          <w:sz w:val="28"/>
          <w:szCs w:val="28"/>
        </w:rPr>
        <w:t xml:space="preserve">Отношения в семье между её членами (семейные отношения) относятся к числу таких, где существенно ограничивается применение норм права. </w:t>
      </w:r>
      <w:r>
        <w:rPr>
          <w:rFonts w:ascii="Times New Roman" w:hAnsi="Times New Roman"/>
          <w:sz w:val="28"/>
          <w:szCs w:val="28"/>
        </w:rPr>
      </w:r>
      <w:r>
        <w:rPr>
          <w:rFonts w:ascii="Times New Roman" w:hAnsi="Times New Roman"/>
          <w:sz w:val="28"/>
          <w:szCs w:val="28"/>
        </w:rPr>
        <w:t xml:space="preserve"> В основном они носят </w:t>
      </w:r>
      <w:r>
        <w:rPr>
          <w:rFonts w:ascii="Times New Roman" w:hAnsi="Times New Roman"/>
          <w:sz w:val="28"/>
          <w:szCs w:val="28"/>
        </w:rPr>
        <w:t xml:space="preserve">личнодоверительный</w:t>
      </w:r>
      <w:r>
        <w:rPr>
          <w:rFonts w:ascii="Times New Roman" w:hAnsi="Times New Roman"/>
          <w:sz w:val="28"/>
          <w:szCs w:val="28"/>
        </w:rPr>
        <w:t xml:space="preserve"> характер и опираются главным образом не на закон, а на н</w:t>
      </w:r>
      <w:r>
        <w:rPr>
          <w:rFonts w:ascii="Times New Roman" w:hAnsi="Times New Roman"/>
          <w:sz w:val="28"/>
          <w:szCs w:val="28"/>
        </w:rPr>
        <w:t xml:space="preserve">равственные требования. </w:t>
      </w:r>
      <w:r>
        <w:rPr>
          <w:rFonts w:ascii="Times New Roman" w:hAnsi="Times New Roman"/>
          <w:sz w:val="28"/>
          <w:szCs w:val="28"/>
        </w:rPr>
      </w:r>
    </w:p>
    <w:p>
      <w:pPr>
        <w:ind w:firstLine="709"/>
        <w:jc w:val="both"/>
        <w:spacing w:after="0"/>
        <w:tabs>
          <w:tab w:val="left" w:pos="709" w:leader="none"/>
        </w:tabs>
        <w:rPr>
          <w:rFonts w:ascii="Times New Roman" w:hAnsi="Times New Roman"/>
          <w:sz w:val="28"/>
          <w:szCs w:val="28"/>
        </w:rPr>
      </w:pPr>
      <w:r>
        <w:rPr>
          <w:rFonts w:ascii="Times New Roman" w:hAnsi="Times New Roman"/>
          <w:sz w:val="28"/>
          <w:szCs w:val="28"/>
        </w:rPr>
        <w:t xml:space="preserve">Государство по возможности не вмешивается в личные отношения граждан, ограничиваясь установлением лишь таких обязательных норм, которые необходимы для укрепления семьи, для осуществления и защиты прав и законных интересов ее членов.</w:t>
      </w:r>
      <w:r>
        <w:rPr>
          <w:rFonts w:ascii="Times New Roman" w:hAnsi="Times New Roman"/>
          <w:sz w:val="28"/>
          <w:szCs w:val="28"/>
        </w:rPr>
      </w:r>
      <w:r/>
    </w:p>
    <w:p>
      <w:pPr>
        <w:pStyle w:val="1236"/>
        <w:ind w:firstLine="709"/>
        <w:jc w:val="both"/>
        <w:spacing w:before="0" w:beforeAutospacing="0" w:after="0" w:afterAutospacing="0" w:line="276" w:lineRule="auto"/>
        <w:shd w:val="clear" w:color="auto" w:fill="ffffff"/>
        <w:rPr>
          <w:sz w:val="28"/>
          <w:szCs w:val="28"/>
        </w:rPr>
      </w:pPr>
      <w:r>
        <w:rPr>
          <w:color w:val="000000"/>
          <w:sz w:val="28"/>
          <w:szCs w:val="28"/>
          <w:shd w:val="clear" w:color="auto" w:fill="ffffff"/>
        </w:rPr>
        <w:t xml:space="preserve">Так, по инициативе Президента России Владимира Путина 2024 год был объявлен в России Годом семьи </w:t>
      </w:r>
      <w:r>
        <w:rPr>
          <w:sz w:val="28"/>
          <w:szCs w:val="28"/>
          <w:shd w:val="clear" w:color="auto" w:fill="ffffff"/>
        </w:rPr>
        <w:t xml:space="preserve">в целях сохранения и защиты традиционных семейных ценностей. Кроме того, Год семьи был призван популяризовать меры государства по защите этого института. </w:t>
      </w:r>
      <w:r>
        <w:rPr>
          <w:sz w:val="28"/>
          <w:szCs w:val="28"/>
          <w:shd w:val="clear" w:color="auto" w:fill="ffffff"/>
        </w:rPr>
        <w:t xml:space="preserve">Е</w:t>
      </w:r>
      <w:r>
        <w:rPr>
          <w:sz w:val="28"/>
          <w:szCs w:val="28"/>
        </w:rPr>
        <w:t xml:space="preserve">жегодно в адрес Уполномоченного поступают обращения по данной тематике (2025 год – 11 (АППГ - 5) письменных жалоб и 78 устных сигналов (АППГ -61), каждое из таких обращений – это отдельная жизненная история. </w:t>
      </w:r>
      <w:r>
        <w:rPr>
          <w:sz w:val="28"/>
          <w:szCs w:val="28"/>
        </w:rPr>
      </w:r>
      <w:r>
        <w:rPr>
          <w:sz w:val="28"/>
          <w:szCs w:val="28"/>
        </w:rPr>
      </w:r>
    </w:p>
    <w:p>
      <w:pPr>
        <w:ind w:firstLine="709"/>
        <w:jc w:val="both"/>
        <w:spacing w:after="0"/>
        <w:rPr>
          <w:rFonts w:ascii="Times New Roman" w:hAnsi="Times New Roman"/>
          <w:sz w:val="28"/>
          <w:szCs w:val="28"/>
        </w:rPr>
      </w:pPr>
      <w:r>
        <w:rPr>
          <w:rFonts w:ascii="Times New Roman" w:hAnsi="Times New Roman"/>
          <w:sz w:val="28"/>
          <w:szCs w:val="28"/>
        </w:rPr>
        <w:t xml:space="preserve">Сегодня поддержка семей в России осуществляется в самых разных форматах. Условно их можно разделить на несколько направлений:</w:t>
      </w:r>
      <w:r>
        <w:rPr>
          <w:rFonts w:ascii="Times New Roman" w:hAnsi="Times New Roman"/>
          <w:sz w:val="28"/>
          <w:szCs w:val="28"/>
        </w:rPr>
      </w:r>
      <w:r>
        <w:rPr>
          <w:rFonts w:ascii="Times New Roman" w:hAnsi="Times New Roman"/>
          <w:sz w:val="28"/>
          <w:szCs w:val="28"/>
        </w:rPr>
      </w:r>
    </w:p>
    <w:p>
      <w:pPr>
        <w:pStyle w:val="1227"/>
        <w:numPr>
          <w:ilvl w:val="0"/>
          <w:numId w:val="144"/>
        </w:numPr>
        <w:ind w:left="0" w:firstLine="709"/>
        <w:jc w:val="both"/>
        <w:spacing w:line="276" w:lineRule="auto"/>
        <w:rPr>
          <w:rFonts w:ascii="Times New Roman" w:hAnsi="Times New Roman"/>
          <w:sz w:val="28"/>
          <w:szCs w:val="28"/>
          <w:lang w:val="ru-RU"/>
        </w:rPr>
      </w:pPr>
      <w:r>
        <w:rPr>
          <w:rFonts w:ascii="Times New Roman" w:hAnsi="Times New Roman"/>
          <w:sz w:val="28"/>
          <w:szCs w:val="28"/>
          <w:lang w:val="ru-RU"/>
        </w:rPr>
        <w:t xml:space="preserve">выплаты, пособия и компенсации;</w:t>
      </w:r>
      <w:r>
        <w:rPr>
          <w:rFonts w:ascii="Times New Roman" w:hAnsi="Times New Roman"/>
          <w:sz w:val="28"/>
          <w:szCs w:val="28"/>
          <w:lang w:val="ru-RU"/>
        </w:rPr>
      </w:r>
      <w:r>
        <w:rPr>
          <w:rFonts w:ascii="Times New Roman" w:hAnsi="Times New Roman"/>
          <w:sz w:val="28"/>
          <w:szCs w:val="28"/>
          <w:lang w:val="ru-RU"/>
        </w:rPr>
      </w:r>
    </w:p>
    <w:p>
      <w:pPr>
        <w:pStyle w:val="1227"/>
        <w:numPr>
          <w:ilvl w:val="0"/>
          <w:numId w:val="144"/>
        </w:numPr>
        <w:ind w:left="0" w:firstLine="709"/>
        <w:jc w:val="both"/>
        <w:spacing w:line="276" w:lineRule="auto"/>
        <w:rPr>
          <w:rFonts w:ascii="Times New Roman" w:hAnsi="Times New Roman"/>
          <w:sz w:val="28"/>
          <w:szCs w:val="28"/>
          <w:lang w:val="ru-RU"/>
        </w:rPr>
      </w:pPr>
      <w:r>
        <w:rPr>
          <w:rFonts w:ascii="Times New Roman" w:hAnsi="Times New Roman"/>
          <w:sz w:val="28"/>
          <w:szCs w:val="28"/>
          <w:lang w:val="ru-RU"/>
        </w:rPr>
        <w:t xml:space="preserve">программы улучшения жилищных условий (льготные ипотеки и жилищные выплаты);</w:t>
      </w:r>
      <w:r>
        <w:rPr>
          <w:rFonts w:ascii="Times New Roman" w:hAnsi="Times New Roman"/>
          <w:sz w:val="28"/>
          <w:szCs w:val="28"/>
          <w:lang w:val="ru-RU"/>
        </w:rPr>
      </w:r>
      <w:r>
        <w:rPr>
          <w:rFonts w:ascii="Times New Roman" w:hAnsi="Times New Roman"/>
          <w:sz w:val="28"/>
          <w:szCs w:val="28"/>
          <w:lang w:val="ru-RU"/>
        </w:rPr>
      </w:r>
    </w:p>
    <w:p>
      <w:pPr>
        <w:pStyle w:val="1227"/>
        <w:numPr>
          <w:ilvl w:val="0"/>
          <w:numId w:val="144"/>
        </w:numPr>
        <w:ind w:left="0" w:firstLine="709"/>
        <w:jc w:val="both"/>
        <w:spacing w:line="276" w:lineRule="auto"/>
        <w:rPr>
          <w:rFonts w:ascii="Times New Roman" w:hAnsi="Times New Roman"/>
          <w:sz w:val="28"/>
          <w:szCs w:val="28"/>
          <w:lang w:val="ru-RU"/>
        </w:rPr>
      </w:pPr>
      <w:r>
        <w:rPr>
          <w:rFonts w:ascii="Times New Roman" w:hAnsi="Times New Roman"/>
          <w:sz w:val="28"/>
          <w:szCs w:val="28"/>
          <w:lang w:val="ru-RU"/>
        </w:rPr>
        <w:t xml:space="preserve">иные формы социальной поддержки.</w:t>
      </w:r>
      <w:r>
        <w:rPr>
          <w:rFonts w:ascii="Times New Roman" w:hAnsi="Times New Roman"/>
          <w:sz w:val="28"/>
          <w:szCs w:val="28"/>
          <w:lang w:val="ru-RU"/>
        </w:rPr>
      </w:r>
      <w:r>
        <w:rPr>
          <w:rFonts w:ascii="Times New Roman" w:hAnsi="Times New Roman"/>
          <w:sz w:val="28"/>
          <w:szCs w:val="28"/>
          <w:lang w:val="ru-RU"/>
        </w:rPr>
      </w:r>
    </w:p>
    <w:p>
      <w:pPr>
        <w:ind w:firstLine="709"/>
        <w:jc w:val="both"/>
        <w:spacing w:after="0"/>
        <w:tabs>
          <w:tab w:val="left" w:pos="709" w:leader="none"/>
        </w:tabs>
      </w:pPr>
      <w:r>
        <w:rPr>
          <w:rFonts w:ascii="Times New Roman" w:hAnsi="Times New Roman"/>
          <w:color w:val="000000"/>
          <w:sz w:val="28"/>
          <w:szCs w:val="28"/>
        </w:rPr>
        <w:t xml:space="preserve">Основной существенной мерой</w:t>
      </w:r>
      <w:r>
        <w:rPr>
          <w:rFonts w:ascii="Times New Roman" w:hAnsi="Times New Roman"/>
          <w:color w:val="000000"/>
          <w:sz w:val="28"/>
          <w:szCs w:val="28"/>
        </w:rPr>
        <w:t xml:space="preserve"> поддержки семей с детьми со стороны государства уже который год подряд остается материнский (семейный) капитал — ключевая государственная программа, действующая с 2007 года и доказавшая свою эффективность в укреплении семейных ценностей и улучшении демогр</w:t>
      </w:r>
      <w:r>
        <w:rPr>
          <w:rFonts w:ascii="Times New Roman" w:hAnsi="Times New Roman"/>
          <w:color w:val="000000"/>
          <w:sz w:val="28"/>
          <w:szCs w:val="28"/>
        </w:rPr>
        <w:t xml:space="preserve">афической ситуации. Значимым шагом в развитии программы стал 2020 год, когда право на получение сертификата распространили на семьи при рождении первого ребенка — это существенно расширило охват поддержки и помогло многим молодым семьям на начальном этапе </w:t>
      </w:r>
      <w:r>
        <w:rPr>
          <w:rFonts w:ascii="Times New Roman" w:hAnsi="Times New Roman"/>
          <w:color w:val="000000"/>
          <w:sz w:val="28"/>
          <w:szCs w:val="28"/>
        </w:rPr>
        <w:t xml:space="preserve">родительства</w:t>
      </w:r>
      <w:r>
        <w:rPr>
          <w:rFonts w:ascii="Times New Roman" w:hAnsi="Times New Roman"/>
          <w:color w:val="000000"/>
          <w:sz w:val="28"/>
          <w:szCs w:val="28"/>
        </w:rPr>
        <w:t xml:space="preserve">. В 2025 году </w:t>
      </w:r>
      <w:r>
        <w:rPr>
          <w:rFonts w:ascii="Times New Roman" w:hAnsi="Times New Roman"/>
          <w:color w:val="000000"/>
          <w:sz w:val="28"/>
          <w:szCs w:val="28"/>
        </w:rPr>
        <w:t xml:space="preserve">востребованность</w:t>
      </w:r>
      <w:r>
        <w:rPr>
          <w:rFonts w:ascii="Times New Roman" w:hAnsi="Times New Roman"/>
          <w:color w:val="000000"/>
          <w:sz w:val="28"/>
          <w:szCs w:val="28"/>
        </w:rPr>
        <w:t xml:space="preserve"> меры остается высокой: только Отделение СФР по Ивановской области выдало более 2 тысяч сертификатов на материнский капитал при рождении первенца, что подтверждает ее актуальность и значимость для семей региона.</w:t>
      </w:r>
      <w:r/>
    </w:p>
    <w:p>
      <w:pPr>
        <w:ind w:firstLine="709"/>
        <w:jc w:val="both"/>
        <w:spacing w:after="0"/>
        <w:tabs>
          <w:tab w:val="left" w:pos="709" w:leader="none"/>
        </w:tabs>
      </w:pPr>
      <w:r>
        <w:rPr>
          <w:rFonts w:ascii="Times New Roman" w:hAnsi="Times New Roman"/>
          <w:color w:val="000000"/>
          <w:sz w:val="28"/>
          <w:szCs w:val="28"/>
        </w:rPr>
        <w:t xml:space="preserve">Благодаря активной </w:t>
      </w:r>
      <w:r>
        <w:rPr>
          <w:rFonts w:ascii="Times New Roman" w:hAnsi="Times New Roman"/>
          <w:color w:val="000000"/>
          <w:sz w:val="28"/>
          <w:szCs w:val="28"/>
        </w:rPr>
        <w:t xml:space="preserve">цифровизации</w:t>
      </w:r>
      <w:r>
        <w:rPr>
          <w:rFonts w:ascii="Times New Roman" w:hAnsi="Times New Roman"/>
          <w:color w:val="000000"/>
          <w:sz w:val="28"/>
          <w:szCs w:val="28"/>
        </w:rPr>
        <w:t xml:space="preserve"> государственных услуг процесс оформления сертификата стал максимально простым и удобным: электронный документ автоматически поступает в личный кабинет матери на портале </w:t>
      </w:r>
      <w:r>
        <w:rPr>
          <w:rFonts w:ascii="Times New Roman" w:hAnsi="Times New Roman"/>
          <w:color w:val="000000"/>
          <w:sz w:val="28"/>
          <w:szCs w:val="28"/>
        </w:rPr>
        <w:t xml:space="preserve">Госуслуг</w:t>
      </w:r>
      <w:r>
        <w:rPr>
          <w:rFonts w:ascii="Times New Roman" w:hAnsi="Times New Roman"/>
          <w:color w:val="000000"/>
          <w:sz w:val="28"/>
          <w:szCs w:val="28"/>
        </w:rPr>
        <w:t xml:space="preserve"> сразу после регистрации рождения ребенка в </w:t>
      </w:r>
      <w:r>
        <w:rPr>
          <w:rFonts w:ascii="Times New Roman" w:hAnsi="Times New Roman"/>
          <w:color w:val="000000"/>
          <w:sz w:val="28"/>
          <w:szCs w:val="28"/>
        </w:rPr>
        <w:t xml:space="preserve">ЗАГСе</w:t>
      </w:r>
      <w:r>
        <w:rPr>
          <w:rFonts w:ascii="Times New Roman" w:hAnsi="Times New Roman"/>
          <w:color w:val="000000"/>
          <w:sz w:val="28"/>
          <w:szCs w:val="28"/>
        </w:rPr>
        <w:t xml:space="preserve">. Родителям не нужно подавать отдельное заявление или посещать какие-либо учреждения — сведения передаются из ЕГР ЗАГС в информационную систему СФР в автоматическом режиме, что экономит время и исключает бюрократические сложности.</w:t>
      </w:r>
      <w:r/>
    </w:p>
    <w:p>
      <w:pPr>
        <w:ind w:firstLine="709"/>
        <w:jc w:val="both"/>
        <w:spacing w:after="0"/>
        <w:tabs>
          <w:tab w:val="left" w:pos="709" w:leader="none"/>
        </w:tabs>
      </w:pPr>
      <w:r>
        <w:rPr>
          <w:rFonts w:ascii="Times New Roman" w:hAnsi="Times New Roman"/>
          <w:color w:val="000000"/>
          <w:sz w:val="28"/>
          <w:szCs w:val="28"/>
        </w:rPr>
        <w:t xml:space="preserve">Размер материнского капитала ежегодно индексируется с учетом инфляции, сохраняя его реаль</w:t>
      </w:r>
      <w:r>
        <w:rPr>
          <w:rFonts w:ascii="Times New Roman" w:hAnsi="Times New Roman"/>
          <w:color w:val="000000"/>
          <w:sz w:val="28"/>
          <w:szCs w:val="28"/>
        </w:rPr>
        <w:t xml:space="preserve">ную покупательную способность. В 2025 году установлены следующие суммы: на первого ребенка — 690266 руб., а при рождении второго ребенка семья получает дополнительную выплату в размере 221895 руб. к уже имеющемуся капиталу. Таким образом, суммарный размер </w:t>
      </w:r>
      <w:r>
        <w:rPr>
          <w:rFonts w:ascii="Times New Roman" w:hAnsi="Times New Roman"/>
          <w:color w:val="000000"/>
          <w:sz w:val="28"/>
          <w:szCs w:val="28"/>
        </w:rPr>
        <w:t xml:space="preserve">маткапитала</w:t>
      </w:r>
      <w:r>
        <w:rPr>
          <w:rFonts w:ascii="Times New Roman" w:hAnsi="Times New Roman"/>
          <w:color w:val="000000"/>
          <w:sz w:val="28"/>
          <w:szCs w:val="28"/>
        </w:rPr>
        <w:t xml:space="preserve"> при рождении двух </w:t>
      </w:r>
      <w:r>
        <w:rPr>
          <w:rFonts w:ascii="Times New Roman" w:hAnsi="Times New Roman"/>
          <w:color w:val="000000"/>
          <w:sz w:val="28"/>
          <w:szCs w:val="28"/>
        </w:rPr>
        <w:t xml:space="preserve">детей в 2025 году может достигать 912161 руб., что дает семьям дополнительные возможности для решения важных жизненных задач. При этом материнский капитал не облагается налогом на доходы физических лиц, что увеличивает реальную выгоду от его использования.</w:t>
      </w:r>
      <w:r/>
    </w:p>
    <w:p>
      <w:pPr>
        <w:ind w:firstLine="709"/>
        <w:jc w:val="both"/>
        <w:spacing w:after="0"/>
        <w:tabs>
          <w:tab w:val="left" w:pos="709" w:leader="none"/>
        </w:tabs>
      </w:pPr>
      <w:r>
        <w:rPr>
          <w:rFonts w:ascii="Times New Roman" w:hAnsi="Times New Roman"/>
          <w:color w:val="000000"/>
          <w:sz w:val="28"/>
          <w:szCs w:val="28"/>
        </w:rPr>
        <w:t xml:space="preserve">Средства </w:t>
      </w:r>
      <w:r>
        <w:rPr>
          <w:rFonts w:ascii="Times New Roman" w:hAnsi="Times New Roman"/>
          <w:color w:val="000000"/>
          <w:sz w:val="28"/>
          <w:szCs w:val="28"/>
        </w:rPr>
        <w:t xml:space="preserve">маткапитала</w:t>
      </w:r>
      <w:r>
        <w:rPr>
          <w:rFonts w:ascii="Times New Roman" w:hAnsi="Times New Roman"/>
          <w:color w:val="000000"/>
          <w:sz w:val="28"/>
          <w:szCs w:val="28"/>
        </w:rPr>
        <w:t xml:space="preserve"> можно направить на четко регламентированные цели, обеспечивающие долгосрочное благополучие семьи и детей. </w:t>
      </w:r>
      <w:r>
        <w:rPr>
          <w:rFonts w:ascii="Times New Roman" w:hAnsi="Times New Roman"/>
          <w:color w:val="000000"/>
          <w:sz w:val="28"/>
          <w:szCs w:val="28"/>
        </w:rPr>
        <w:t xml:space="preserve">К допустимым направлениям относятся: улучшение жилищных условий (покупка жилья, строительство или реконструкция дома, погашение ипотечного кредита,</w:t>
      </w:r>
      <w:r>
        <w:rPr>
          <w:rFonts w:ascii="Times New Roman" w:hAnsi="Times New Roman"/>
          <w:color w:val="000000"/>
          <w:sz w:val="28"/>
          <w:szCs w:val="28"/>
        </w:rPr>
        <w:t xml:space="preserve"> включая первоначальный взнос), оплата образования детей (в детских садах, школах, вузах и на дополнительных курсах), получение ежемесячных выплат на ребенка до 3 лет для семей с невысокими доходами (если среднедушевой доход не превышает двух региональных </w:t>
      </w:r>
      <w:r>
        <w:rPr>
          <w:rFonts w:ascii="Times New Roman" w:hAnsi="Times New Roman"/>
          <w:color w:val="000000"/>
          <w:sz w:val="28"/>
          <w:szCs w:val="28"/>
        </w:rPr>
        <w:t xml:space="preserve">прожиточных минимумов), формирование накопительной пенсии мамы, оплата присмотра и</w:t>
      </w:r>
      <w:r>
        <w:rPr>
          <w:rFonts w:ascii="Times New Roman" w:hAnsi="Times New Roman"/>
          <w:color w:val="000000"/>
          <w:sz w:val="28"/>
          <w:szCs w:val="28"/>
        </w:rPr>
        <w:t xml:space="preserve"> ухода за ребенком в дошкольных организациях, а также приобретение товаров и услуг для социальной адаптации и интеграции в общество детей с инвалидностью согласно индивидуальной программе реабилитации.</w:t>
      </w:r>
      <w:r/>
    </w:p>
    <w:p>
      <w:pPr>
        <w:ind w:firstLine="709"/>
        <w:jc w:val="both"/>
        <w:spacing w:after="0"/>
        <w:tabs>
          <w:tab w:val="left" w:pos="709" w:leader="none"/>
        </w:tabs>
      </w:pPr>
      <w:r>
        <w:rPr>
          <w:rFonts w:ascii="Times New Roman" w:hAnsi="Times New Roman"/>
          <w:color w:val="000000"/>
          <w:sz w:val="28"/>
          <w:szCs w:val="28"/>
        </w:rPr>
        <w:t xml:space="preserve">По общему правилу воспользоваться средствами </w:t>
      </w:r>
      <w:r>
        <w:rPr>
          <w:rFonts w:ascii="Times New Roman" w:hAnsi="Times New Roman"/>
          <w:color w:val="000000"/>
          <w:sz w:val="28"/>
          <w:szCs w:val="28"/>
        </w:rPr>
        <w:t xml:space="preserve">маткапитала</w:t>
      </w:r>
      <w:r>
        <w:rPr>
          <w:rFonts w:ascii="Times New Roman" w:hAnsi="Times New Roman"/>
          <w:color w:val="000000"/>
          <w:sz w:val="28"/>
          <w:szCs w:val="28"/>
        </w:rPr>
        <w:t xml:space="preserve"> можно через три года после рождения ребенка, однако законодательство предусматривает ряд исключений, позволяющих использовать средства сразу после получения сертификата. К таким случаям относятся: оформление ежемесячных выплат на ребенка </w:t>
      </w:r>
      <w:r>
        <w:rPr>
          <w:rFonts w:ascii="Times New Roman" w:hAnsi="Times New Roman"/>
          <w:color w:val="000000"/>
          <w:sz w:val="28"/>
          <w:szCs w:val="28"/>
        </w:rPr>
        <w:t xml:space="preserve">до 3 лет, погашение или внесение первоначального взноса по жилищному кредиту (ипотеке), оплата услуг дошкольных образовательных организаций и приобретение товаров и услуг для социальной адаптации детей с инвалидностью. Кроме того, если после использования </w:t>
      </w:r>
      <w:r>
        <w:rPr>
          <w:rFonts w:ascii="Times New Roman" w:hAnsi="Times New Roman"/>
          <w:color w:val="000000"/>
          <w:sz w:val="28"/>
          <w:szCs w:val="28"/>
        </w:rPr>
        <w:t xml:space="preserve">маткапитала</w:t>
      </w:r>
      <w:r>
        <w:rPr>
          <w:rFonts w:ascii="Times New Roman" w:hAnsi="Times New Roman"/>
          <w:color w:val="000000"/>
          <w:sz w:val="28"/>
          <w:szCs w:val="28"/>
        </w:rPr>
        <w:t xml:space="preserve"> остается остаток не более 10000 руб., его можно получить единовременно в виде денежной выплаты. При этом средства допускается распределять одновременно по нескольким направлениям, что позволяет семьям гибко адаптировать их под текущие потребности.</w:t>
      </w:r>
      <w:r/>
    </w:p>
    <w:p>
      <w:pPr>
        <w:ind w:firstLine="709"/>
        <w:jc w:val="both"/>
        <w:spacing w:after="0"/>
        <w:tabs>
          <w:tab w:val="left" w:pos="709" w:leader="none"/>
        </w:tabs>
        <w:rPr>
          <w:rFonts w:ascii="Times New Roman" w:hAnsi="Times New Roman" w:eastAsia="Microsoft YaHei"/>
          <w:color w:val="000000"/>
          <w:sz w:val="28"/>
          <w:szCs w:val="28"/>
        </w:rPr>
      </w:pPr>
      <w:r>
        <w:rPr>
          <w:rFonts w:ascii="Times New Roman" w:hAnsi="Times New Roman"/>
          <w:color w:val="000000"/>
          <w:sz w:val="28"/>
          <w:szCs w:val="28"/>
        </w:rPr>
        <w:t xml:space="preserve">Таким образом, материнский (семейный) капитал представляет собой мощный и гибкий инструмент государственной поддержки, сочетающий простоту оформления, ежегодную индексацию, широкий спектр направлений использования и возможность </w:t>
      </w:r>
      <w:r>
        <w:rPr>
          <w:rFonts w:ascii="Times New Roman" w:hAnsi="Times New Roman"/>
          <w:color w:val="000000"/>
          <w:sz w:val="28"/>
          <w:szCs w:val="28"/>
        </w:rPr>
        <w:t xml:space="preserve">оперативного доступа к средствам в наиболее важных случаях. Программа не только помогает семьям решать насущные проблемы, но и способствует укреплению института семьи, улучшению качества жизни и созданию благоприятных условий для воспитания детей в России.</w:t>
      </w:r>
      <w:r>
        <w:rPr>
          <w:rFonts w:ascii="Times New Roman" w:hAnsi="Times New Roman" w:eastAsia="Microsoft YaHei"/>
          <w:color w:val="000000"/>
          <w:sz w:val="28"/>
          <w:szCs w:val="28"/>
        </w:rPr>
      </w:r>
      <w:r>
        <w:rPr>
          <w:rFonts w:ascii="Times New Roman" w:hAnsi="Times New Roman" w:eastAsia="Microsoft YaHei"/>
          <w:color w:val="000000"/>
          <w:sz w:val="28"/>
          <w:szCs w:val="28"/>
        </w:rPr>
      </w:r>
    </w:p>
    <w:p>
      <w:pPr>
        <w:ind w:firstLine="709"/>
        <w:jc w:val="both"/>
        <w:spacing w:after="0"/>
      </w:pPr>
      <w:r>
        <w:rPr>
          <w:rFonts w:ascii="Times New Roman" w:hAnsi="Times New Roman"/>
          <w:color w:val="000000"/>
          <w:sz w:val="28"/>
          <w:szCs w:val="28"/>
        </w:rPr>
        <w:t xml:space="preserve">В 2025 году в Ивановской области продолжилась активная поддержка семей с детьми через систему государственных выплат, ключевым элементом которой стало единое</w:t>
      </w:r>
      <w:r>
        <w:rPr>
          <w:rFonts w:ascii="Times New Roman" w:hAnsi="Times New Roman"/>
          <w:color w:val="000000"/>
          <w:sz w:val="28"/>
          <w:szCs w:val="28"/>
        </w:rPr>
        <w:t xml:space="preserve"> пособие на детей — комплексная мера, призванная обеспечить финансовую стабильность семей с учетом их реальных потребностей. Для определения права на получение пособия проводится комплексная оценка нуждаемости семьи, включающая анализ доходов и имущества. </w:t>
      </w:r>
      <w:r>
        <w:rPr>
          <w:rFonts w:ascii="Times New Roman" w:hAnsi="Times New Roman"/>
          <w:color w:val="000000"/>
          <w:sz w:val="28"/>
          <w:szCs w:val="28"/>
        </w:rPr>
        <w:t xml:space="preserve">Так, ежемесячный доход на одного человека в семье не должен превышать региональный прожиточный минимум на душу населения — в Ивановско</w:t>
      </w:r>
      <w:r>
        <w:rPr>
          <w:rFonts w:ascii="Times New Roman" w:hAnsi="Times New Roman"/>
          <w:color w:val="000000"/>
          <w:sz w:val="28"/>
          <w:szCs w:val="28"/>
        </w:rPr>
        <w:t xml:space="preserve">й области это 16 669 руб., а с 2025 года введено правило 4 МРОТ: доход от трудовой деятельности каждого трудоспособного члена семьи за расчетный период должен составлять не менее 4 минимальных размеров оплаты труда, то есть не менее 89 760 руб. за 12 месяцев</w:t>
      </w:r>
      <w:r>
        <w:rPr>
          <w:rFonts w:ascii="Times New Roman" w:hAnsi="Times New Roman"/>
          <w:color w:val="000000"/>
          <w:sz w:val="28"/>
          <w:szCs w:val="28"/>
        </w:rPr>
        <w:t xml:space="preserve">. Исключение составляют случаи, когда отсутствие дохода обусловлено уважительными </w:t>
      </w:r>
      <w:r>
        <w:rPr>
          <w:rFonts w:ascii="Times New Roman" w:hAnsi="Times New Roman"/>
          <w:color w:val="000000"/>
          <w:sz w:val="28"/>
          <w:szCs w:val="28"/>
        </w:rPr>
        <w:t xml:space="preserve">причинами — например, уходом за ребенком до 3 лет, беременностью, длительной болезнью или обучением.</w:t>
      </w:r>
      <w:r/>
    </w:p>
    <w:p>
      <w:pPr>
        <w:ind w:firstLine="709"/>
        <w:jc w:val="both"/>
        <w:spacing w:after="0"/>
      </w:pPr>
      <w:r>
        <w:rPr>
          <w:rFonts w:ascii="Times New Roman" w:hAnsi="Times New Roman"/>
          <w:color w:val="000000"/>
          <w:sz w:val="28"/>
          <w:szCs w:val="28"/>
        </w:rPr>
        <w:t xml:space="preserve">Размер единого пособия напрямую зависит от уровня доходов семьи и может составлять 50 % от регионального прожиточного минимума на ребенка (8084,50 руб.), 75 % (12126,75 руб.) или 100 % (16169 ру</w:t>
      </w:r>
      <w:r>
        <w:rPr>
          <w:rFonts w:ascii="Times New Roman" w:hAnsi="Times New Roman"/>
          <w:color w:val="000000"/>
          <w:sz w:val="28"/>
          <w:szCs w:val="28"/>
        </w:rPr>
        <w:t xml:space="preserve">б. — именно столько составляет прожиточный минимум на ребенка в Ивановской области в 2025 году). Подать заявление на получение выплаты может один из родителей, усыновитель или опекун — для этого доступны несколько удобных способов оформления: через портал </w:t>
      </w:r>
      <w:r>
        <w:rPr>
          <w:rFonts w:ascii="Times New Roman" w:hAnsi="Times New Roman"/>
          <w:color w:val="000000"/>
          <w:sz w:val="28"/>
          <w:szCs w:val="28"/>
        </w:rPr>
        <w:t xml:space="preserve">Госуслуг</w:t>
      </w:r>
      <w:r>
        <w:rPr>
          <w:rFonts w:ascii="Times New Roman" w:hAnsi="Times New Roman"/>
          <w:color w:val="000000"/>
          <w:sz w:val="28"/>
          <w:szCs w:val="28"/>
        </w:rPr>
        <w:t xml:space="preserve"> (наиболее быстрый и простой вариант), в любом отделении МФЦ либо в клиентской службе Отделения СФР по месту жительства.</w:t>
      </w:r>
      <w:r/>
    </w:p>
    <w:p>
      <w:pPr>
        <w:ind w:firstLine="709"/>
        <w:jc w:val="both"/>
        <w:spacing w:after="0"/>
      </w:pPr>
      <w:r>
        <w:rPr>
          <w:rFonts w:ascii="Times New Roman" w:hAnsi="Times New Roman"/>
          <w:color w:val="000000"/>
          <w:sz w:val="28"/>
          <w:szCs w:val="28"/>
        </w:rPr>
        <w:t xml:space="preserve">Важной особенностью программы является то, что семьям с несколькими детьми пособие выплачивается на каждого ребенка в возрасте д</w:t>
      </w:r>
      <w:r>
        <w:rPr>
          <w:rFonts w:ascii="Times New Roman" w:hAnsi="Times New Roman"/>
          <w:color w:val="000000"/>
          <w:sz w:val="28"/>
          <w:szCs w:val="28"/>
        </w:rPr>
        <w:t xml:space="preserve">о 17 лет, что позволяет оказывать системную поддержку многодетным семьям и учитывать потребности всех несовершеннолетних членов семьи. Особого внимания заслуживает механизм автоматического назначения выплат: если семья уже получает единое пособие на других</w:t>
      </w:r>
      <w:r>
        <w:rPr>
          <w:rFonts w:ascii="Times New Roman" w:hAnsi="Times New Roman"/>
          <w:color w:val="000000"/>
          <w:sz w:val="28"/>
          <w:szCs w:val="28"/>
        </w:rPr>
        <w:t xml:space="preserve"> детей, то при рождении нового ребенка специалисты ивановского Отделения СФР назначают выплату автоматически, без необходимости подачи отдельного заявления, — это существенно упрощает процедуру для родителей и гарантирует своевременность получения средств.</w:t>
      </w:r>
      <w:r/>
    </w:p>
    <w:p>
      <w:pPr>
        <w:ind w:firstLine="709"/>
        <w:jc w:val="both"/>
        <w:spacing w:after="0"/>
        <w:rPr>
          <w:rFonts w:ascii="Times New Roman" w:hAnsi="Times New Roman"/>
          <w:color w:val="000000"/>
          <w:sz w:val="28"/>
          <w:szCs w:val="28"/>
        </w:rPr>
      </w:pPr>
      <w:r>
        <w:rPr>
          <w:rFonts w:ascii="Times New Roman" w:hAnsi="Times New Roman"/>
          <w:color w:val="000000"/>
          <w:sz w:val="28"/>
          <w:szCs w:val="28"/>
        </w:rPr>
        <w:t xml:space="preserve">Пособие назначается на один год, после чего его необходимо продлить путем подачи нового заявления; чтобы</w:t>
      </w:r>
      <w:r>
        <w:rPr>
          <w:rFonts w:ascii="Times New Roman" w:hAnsi="Times New Roman"/>
          <w:color w:val="000000"/>
          <w:sz w:val="28"/>
          <w:szCs w:val="28"/>
        </w:rPr>
        <w:t xml:space="preserve"> избежать перерыва в выплатах, рекомендуется подавать заявление в последний месяц текущего периода получения пособия — такой подход обеспечивает непрерывность финансовой поддержки и позволяет семьям планировать бюджет с учетом гарантированных поступлений. </w:t>
      </w:r>
      <w:r>
        <w:rPr>
          <w:rFonts w:ascii="Times New Roman" w:hAnsi="Times New Roman"/>
          <w:color w:val="000000"/>
          <w:sz w:val="28"/>
          <w:szCs w:val="28"/>
        </w:rPr>
      </w:r>
      <w:r>
        <w:rPr>
          <w:rFonts w:ascii="Times New Roman" w:hAnsi="Times New Roman"/>
          <w:color w:val="000000"/>
          <w:sz w:val="28"/>
          <w:szCs w:val="28"/>
        </w:rPr>
      </w:r>
    </w:p>
    <w:p>
      <w:pPr>
        <w:ind w:firstLine="709"/>
        <w:jc w:val="both"/>
        <w:spacing w:after="0"/>
      </w:pPr>
      <w:r>
        <w:rPr>
          <w:rFonts w:ascii="Times New Roman" w:hAnsi="Times New Roman"/>
          <w:color w:val="000000"/>
          <w:sz w:val="28"/>
          <w:szCs w:val="28"/>
        </w:rPr>
        <w:t xml:space="preserve">Вместе с тем в адрес Уполномоченного поступали обращения граждан по вопросу законности отказов в назначении ежемесячног</w:t>
      </w:r>
      <w:r>
        <w:rPr>
          <w:rFonts w:ascii="Times New Roman" w:hAnsi="Times New Roman"/>
          <w:color w:val="000000"/>
          <w:sz w:val="28"/>
          <w:szCs w:val="28"/>
        </w:rPr>
        <w:t xml:space="preserve">о пособия в связи с рождением и воспитанием ребенка. Заявители указывали, что столкнулись с трудностями при получении этой меры социальной поддержки, предусмотренной постановлением Правительства Российской Федерации от 16 декабря 2022 года № 2330, которое </w:t>
      </w:r>
      <w:r>
        <w:rPr>
          <w:rFonts w:ascii="Times New Roman" w:hAnsi="Times New Roman"/>
          <w:color w:val="000000"/>
          <w:sz w:val="28"/>
          <w:szCs w:val="28"/>
        </w:rPr>
        <w:t xml:space="preserve">устанавливает четкие условия</w:t>
      </w:r>
      <w:r>
        <w:rPr>
          <w:rFonts w:ascii="Times New Roman" w:hAnsi="Times New Roman"/>
          <w:color w:val="000000"/>
          <w:sz w:val="28"/>
          <w:szCs w:val="28"/>
        </w:rPr>
        <w:t xml:space="preserve">, порядок назначения и выплаты пособия. </w:t>
      </w:r>
      <w:r>
        <w:rPr>
          <w:rFonts w:ascii="Times New Roman" w:hAnsi="Times New Roman"/>
          <w:color w:val="000000"/>
          <w:sz w:val="28"/>
          <w:szCs w:val="28"/>
        </w:rPr>
        <w:t xml:space="preserve">Как правило, основания для отказа были связаны с различными обстоятельствами: превышением среднедушево</w:t>
      </w:r>
      <w:r>
        <w:rPr>
          <w:rFonts w:ascii="Times New Roman" w:hAnsi="Times New Roman"/>
          <w:color w:val="000000"/>
          <w:sz w:val="28"/>
          <w:szCs w:val="28"/>
        </w:rPr>
        <w:t xml:space="preserve">го дохода семьи над региональным прожиточным минимумом, предоставлением неполных или недостоверных сведений в заявлении, непредставлением необходимых документов в установленные сроки, наличием уже одобренного пособия на того же ребенка у другого законного </w:t>
      </w:r>
      <w:r>
        <w:rPr>
          <w:rFonts w:ascii="Times New Roman" w:hAnsi="Times New Roman"/>
          <w:color w:val="000000"/>
          <w:sz w:val="28"/>
          <w:szCs w:val="28"/>
        </w:rPr>
        <w:t xml:space="preserve">представителя, выявлением у семьи имущества сверх утвержденного перечня либо отсутствием официального дохода у трудоспособных членов семьи без уважительных</w:t>
      </w:r>
      <w:r>
        <w:rPr>
          <w:rFonts w:ascii="Times New Roman" w:hAnsi="Times New Roman"/>
          <w:color w:val="000000"/>
          <w:sz w:val="28"/>
          <w:szCs w:val="28"/>
        </w:rPr>
        <w:t xml:space="preserve"> причин (например, без учета ситуаций ухода за ребенком до 3 лет, беременности, длительной болезни, обучения и т. д.).</w:t>
      </w:r>
      <w:r/>
    </w:p>
    <w:p>
      <w:pPr>
        <w:ind w:firstLine="709"/>
        <w:jc w:val="both"/>
        <w:spacing w:after="0"/>
        <w:rPr>
          <w:rFonts w:ascii="Times New Roman" w:hAnsi="Times New Roman"/>
          <w:color w:val="000000"/>
          <w:sz w:val="28"/>
          <w:szCs w:val="28"/>
        </w:rPr>
      </w:pPr>
      <w:r>
        <w:rPr>
          <w:rFonts w:ascii="Times New Roman" w:hAnsi="Times New Roman"/>
          <w:color w:val="000000"/>
          <w:sz w:val="28"/>
          <w:szCs w:val="28"/>
        </w:rPr>
        <w:t xml:space="preserve">В каждом случае Уполномоченный инициировал тщательную проверку: направлял официальные запросы в ОСФР по Иван</w:t>
      </w:r>
      <w:r>
        <w:rPr>
          <w:rFonts w:ascii="Times New Roman" w:hAnsi="Times New Roman"/>
          <w:color w:val="000000"/>
          <w:sz w:val="28"/>
          <w:szCs w:val="28"/>
        </w:rPr>
        <w:t xml:space="preserve">овской области, запрашивал дополнительные сведения в государственных информационных системах (в т. ч. в ГИС ЕЦЦПСС), изучал представленные заявителями документы и анализировал соответствие принятых решений действующему законодательству. По результатам расс</w:t>
      </w:r>
      <w:r>
        <w:rPr>
          <w:rFonts w:ascii="Times New Roman" w:hAnsi="Times New Roman"/>
          <w:color w:val="000000"/>
          <w:sz w:val="28"/>
          <w:szCs w:val="28"/>
        </w:rPr>
        <w:t xml:space="preserve">мотрения ряда обращений выяснилось, что в отдельных случаях отказы были вынесены с нарушениями — например, из-за некорректного расчета доходов, неполного учета уважительных причин отсутствия заработка или ошибок при проверке имущественного положения семьи.</w:t>
      </w:r>
      <w:r>
        <w:rPr>
          <w:rFonts w:ascii="Times New Roman" w:hAnsi="Times New Roman"/>
          <w:color w:val="000000"/>
          <w:sz w:val="28"/>
          <w:szCs w:val="28"/>
        </w:rPr>
      </w:r>
      <w:r>
        <w:rPr>
          <w:rFonts w:ascii="Times New Roman" w:hAnsi="Times New Roman"/>
          <w:color w:val="000000"/>
          <w:sz w:val="28"/>
          <w:szCs w:val="28"/>
        </w:rPr>
      </w:r>
    </w:p>
    <w:p>
      <w:pPr>
        <w:ind w:firstLine="709"/>
        <w:jc w:val="both"/>
        <w:spacing w:after="0"/>
        <w:rPr>
          <w:rFonts w:ascii="Times New Roman" w:hAnsi="Times New Roman"/>
          <w:color w:val="000000"/>
          <w:sz w:val="28"/>
          <w:szCs w:val="28"/>
        </w:rPr>
      </w:pPr>
      <w:r>
        <w:rPr>
          <w:rFonts w:ascii="Times New Roman" w:hAnsi="Times New Roman"/>
          <w:i/>
          <w:iCs/>
          <w:color w:val="000000"/>
          <w:sz w:val="28"/>
          <w:szCs w:val="28"/>
        </w:rPr>
        <w:t xml:space="preserve">В адрес Уполномоченного поступило обращение гражданки К. по вопросу законности решения ОСФР </w:t>
      </w:r>
      <w:r>
        <w:rPr>
          <w:rFonts w:ascii="Times New Roman" w:hAnsi="Times New Roman"/>
          <w:i/>
          <w:iCs/>
          <w:color w:val="000000"/>
          <w:sz w:val="28"/>
          <w:szCs w:val="28"/>
        </w:rPr>
        <w:t xml:space="preserve">по Ивановской области об отказе в назначении ежемесячного пособия в связи с рождением</w:t>
      </w:r>
      <w:r>
        <w:rPr>
          <w:rFonts w:ascii="Times New Roman" w:hAnsi="Times New Roman"/>
          <w:i/>
          <w:iCs/>
          <w:color w:val="000000"/>
          <w:sz w:val="28"/>
          <w:szCs w:val="28"/>
        </w:rPr>
        <w:t xml:space="preserve"> и воспитанием ребенка. Право на эту меру социальной поддержки регулируется постановлением Правительства Российской Федерации от 16 декабря 2002 года № 2330, которое </w:t>
      </w:r>
      <w:r>
        <w:rPr>
          <w:rFonts w:ascii="Times New Roman" w:hAnsi="Times New Roman"/>
          <w:i/>
          <w:iCs/>
          <w:color w:val="000000"/>
          <w:sz w:val="28"/>
          <w:szCs w:val="28"/>
        </w:rPr>
        <w:t xml:space="preserve">устанавливает условия</w:t>
      </w:r>
      <w:r>
        <w:rPr>
          <w:rFonts w:ascii="Times New Roman" w:hAnsi="Times New Roman"/>
          <w:i/>
          <w:iCs/>
          <w:color w:val="000000"/>
          <w:sz w:val="28"/>
          <w:szCs w:val="28"/>
        </w:rPr>
        <w:t xml:space="preserve">, порядок назначения и выплаты</w:t>
      </w:r>
      <w:r>
        <w:rPr>
          <w:rFonts w:ascii="Times New Roman" w:hAnsi="Times New Roman"/>
          <w:i/>
          <w:iCs/>
          <w:color w:val="000000"/>
          <w:sz w:val="28"/>
          <w:szCs w:val="28"/>
        </w:rPr>
        <w:t xml:space="preserve"> пособия. Согласно данным нормам, претендовать на получение выплаты могут граждане РФ, постоянно проживающие на территории страны, при условии соблюдения иных установленных требований — в т. ч. своевременной подачи полного комплекта необходимых документов.</w:t>
      </w:r>
      <w:r>
        <w:rPr>
          <w:rFonts w:ascii="Times New Roman" w:hAnsi="Times New Roman"/>
          <w:color w:val="000000"/>
          <w:sz w:val="28"/>
          <w:szCs w:val="28"/>
        </w:rPr>
      </w:r>
      <w:r>
        <w:rPr>
          <w:rFonts w:ascii="Times New Roman" w:hAnsi="Times New Roman"/>
          <w:color w:val="000000"/>
          <w:sz w:val="28"/>
          <w:szCs w:val="28"/>
        </w:rPr>
      </w:r>
    </w:p>
    <w:p>
      <w:pPr>
        <w:ind w:firstLine="709"/>
        <w:jc w:val="both"/>
        <w:spacing w:after="0"/>
        <w:rPr>
          <w:rFonts w:ascii="Times New Roman" w:hAnsi="Times New Roman"/>
          <w:bCs/>
          <w:i/>
          <w:color w:val="000000"/>
          <w:sz w:val="28"/>
          <w:szCs w:val="28"/>
        </w:rPr>
      </w:pPr>
      <w:r>
        <w:rPr>
          <w:rFonts w:ascii="Times New Roman" w:hAnsi="Times New Roman"/>
          <w:i/>
          <w:iCs/>
          <w:color w:val="000000"/>
          <w:sz w:val="28"/>
          <w:szCs w:val="28"/>
        </w:rPr>
        <w:t xml:space="preserve">Для объективного анализа ситуации и выяснения причин отказа Уполномоченный направил официальный запрос в ОСФР по Ивановской области. По итогам рассмотрения запроса и с учетом сведений из ГИС ЕЦЦПСС (в т. ч. данных о п</w:t>
      </w:r>
      <w:r>
        <w:rPr>
          <w:rFonts w:ascii="Times New Roman" w:hAnsi="Times New Roman"/>
          <w:i/>
          <w:iCs/>
          <w:color w:val="000000"/>
          <w:sz w:val="28"/>
          <w:szCs w:val="28"/>
        </w:rPr>
        <w:t xml:space="preserve">остановке К. на учет в медицинской организации) решение об отказе было пересмотрено. В результате заявительнице назначили ежемесячное пособие как беременной женщине, восстановив тем самым ее законные права на получение государственной социальной поддержки.</w:t>
      </w:r>
      <w:r>
        <w:rPr>
          <w:rFonts w:ascii="Times New Roman" w:hAnsi="Times New Roman"/>
          <w:bCs/>
          <w:i/>
          <w:color w:val="000000"/>
          <w:sz w:val="28"/>
          <w:szCs w:val="28"/>
        </w:rPr>
      </w:r>
      <w:r>
        <w:rPr>
          <w:rFonts w:ascii="Times New Roman" w:hAnsi="Times New Roman"/>
          <w:bCs/>
          <w:i/>
          <w:color w:val="000000"/>
          <w:sz w:val="28"/>
          <w:szCs w:val="28"/>
        </w:rPr>
      </w:r>
    </w:p>
    <w:p>
      <w:pPr>
        <w:ind w:firstLine="709"/>
        <w:jc w:val="both"/>
        <w:spacing w:after="0"/>
        <w:rPr>
          <w:rFonts w:ascii="Times New Roman" w:hAnsi="Times New Roman"/>
          <w:sz w:val="28"/>
          <w:szCs w:val="28"/>
          <w:highlight w:val="none"/>
        </w:rPr>
      </w:pPr>
      <w:r>
        <w:rPr>
          <w:rFonts w:ascii="Times New Roman" w:hAnsi="Times New Roman"/>
          <w:color w:val="000000"/>
          <w:sz w:val="28"/>
          <w:szCs w:val="28"/>
        </w:rPr>
        <w:t xml:space="preserve"> </w:t>
      </w:r>
      <w:r>
        <w:rPr>
          <w:rFonts w:ascii="Times New Roman" w:hAnsi="Times New Roman"/>
          <w:sz w:val="28"/>
          <w:szCs w:val="28"/>
        </w:rPr>
        <w:t xml:space="preserve">Уже более 20 лет в Ивановской области важную роль в защите материнства и детства играет общественная организация «Общественный комитет защиты детства, семьи и нравственности «Колыбель». С ней сотрудн</w:t>
      </w:r>
      <w:r>
        <w:rPr>
          <w:rFonts w:ascii="Times New Roman" w:hAnsi="Times New Roman"/>
          <w:sz w:val="28"/>
          <w:szCs w:val="28"/>
        </w:rPr>
        <w:t xml:space="preserve">ичают органы власти, региональный омбудсмен: заключенное соглашение позволяет эффективнее помогать тем, кто оказался в сложной ситуации. С 2002 года «Колыбель» поддерживает беременных женщин, молодых мам и многодетные семьи в Иваново и области — оказывает </w:t>
      </w:r>
      <w:r>
        <w:rPr>
          <w:rFonts w:ascii="Times New Roman" w:hAnsi="Times New Roman"/>
          <w:sz w:val="28"/>
          <w:szCs w:val="28"/>
        </w:rPr>
        <w:t xml:space="preserve">психологическую, юридическую и материальную помощь. Особая гордость организации — собственный приют, который стал первым в стране негосударственным убежищем для беременных и матерей с младенцами, попавших в беду.</w:t>
      </w:r>
      <w:r>
        <w:rPr>
          <w:rFonts w:ascii="Times New Roman" w:hAnsi="Times New Roman"/>
          <w:sz w:val="28"/>
          <w:szCs w:val="28"/>
          <w:highlight w:val="none"/>
        </w:rPr>
      </w:r>
      <w:r>
        <w:rPr>
          <w:rFonts w:ascii="Times New Roman" w:hAnsi="Times New Roman"/>
          <w:sz w:val="28"/>
          <w:szCs w:val="28"/>
          <w:highlight w:val="none"/>
        </w:rPr>
      </w:r>
    </w:p>
    <w:p>
      <w:pPr>
        <w:ind w:firstLine="709"/>
        <w:jc w:val="both"/>
        <w:spacing w:after="0"/>
        <w:rPr>
          <w:rFonts w:ascii="Times New Roman" w:hAnsi="Times New Roman"/>
          <w:color w:val="000000"/>
          <w:sz w:val="28"/>
          <w:szCs w:val="28"/>
        </w:rPr>
      </w:pPr>
      <w:r>
        <w:rPr>
          <w:rFonts w:ascii="Times New Roman" w:hAnsi="Times New Roman"/>
          <w:color w:val="000000"/>
          <w:sz w:val="28"/>
          <w:szCs w:val="28"/>
        </w:rPr>
      </w:r>
      <w:r>
        <w:rPr>
          <w:rFonts w:ascii="Times New Roman" w:hAnsi="Times New Roman"/>
          <w:color w:val="000000"/>
          <w:sz w:val="28"/>
          <w:szCs w:val="28"/>
        </w:rPr>
      </w:r>
      <w:r>
        <w:rPr>
          <w:rFonts w:ascii="Times New Roman" w:hAnsi="Times New Roman"/>
          <w:color w:val="000000"/>
          <w:sz w:val="28"/>
          <w:szCs w:val="28"/>
        </w:rPr>
      </w:r>
    </w:p>
    <w:p>
      <w:pPr>
        <w:pStyle w:val="1226"/>
        <w:jc w:val="center"/>
        <w:rPr>
          <w:rFonts w:ascii="Times New Roman" w:hAnsi="Times New Roman"/>
          <w:color w:val="000000"/>
          <w:sz w:val="28"/>
          <w:szCs w:val="28"/>
        </w:rPr>
      </w:pPr>
      <w:r/>
      <w:bookmarkStart w:id="45" w:name="_Toc23"/>
      <w:r>
        <w:rPr>
          <w:rFonts w:ascii="Times New Roman" w:hAnsi="Times New Roman"/>
          <w:b/>
          <w:bCs/>
          <w:color w:val="auto"/>
          <w:sz w:val="28"/>
          <w:szCs w:val="28"/>
          <w:highlight w:val="none"/>
        </w:rPr>
        <w:t xml:space="preserve">7.1. Домашнее насилие как нарушение прав человека</w:t>
      </w:r>
      <w:r>
        <w:rPr>
          <w:rFonts w:ascii="Times New Roman" w:hAnsi="Times New Roman"/>
          <w:b/>
          <w:bCs/>
          <w:color w:val="000000"/>
          <w:sz w:val="28"/>
          <w:szCs w:val="28"/>
        </w:rPr>
      </w:r>
      <w:bookmarkEnd w:id="45"/>
      <w:r>
        <w:rPr>
          <w:rFonts w:ascii="Times New Roman" w:hAnsi="Times New Roman"/>
          <w:color w:val="000000"/>
          <w:sz w:val="28"/>
          <w:szCs w:val="28"/>
        </w:rPr>
      </w:r>
      <w:r>
        <w:rPr>
          <w:rFonts w:ascii="Times New Roman" w:hAnsi="Times New Roman"/>
          <w:color w:val="000000"/>
          <w:sz w:val="28"/>
          <w:szCs w:val="28"/>
        </w:rPr>
      </w:r>
    </w:p>
    <w:p>
      <w:pPr>
        <w:ind w:firstLine="709"/>
        <w:jc w:val="both"/>
        <w:spacing w:after="0"/>
        <w:tabs>
          <w:tab w:val="left" w:pos="709" w:leader="none"/>
        </w:tabs>
      </w:pPr>
      <w:r>
        <w:rPr>
          <w:rFonts w:ascii="Times New Roman" w:hAnsi="Times New Roman"/>
          <w:sz w:val="28"/>
          <w:szCs w:val="28"/>
        </w:rPr>
        <w:t xml:space="preserve">Тревожную картину рисуют обращения от женщин, столкнувшихся с домашним насилием. Чаще всего такие случаи приходятся на период развода или время после него, когда остаются нере</w:t>
      </w:r>
      <w:r>
        <w:rPr>
          <w:rFonts w:ascii="Times New Roman" w:hAnsi="Times New Roman"/>
          <w:sz w:val="28"/>
          <w:szCs w:val="28"/>
        </w:rPr>
        <w:t xml:space="preserve">шенными вопросы раздела имущества, определения места жительства детей и выплаты алиментов. Пострадавшие ищут помощи, чтобы защитить себя и своих детей: например, когда бывший или нынешний супруг применяет силу, угрожает или препятствует общению с ребенком.</w:t>
      </w:r>
      <w:r/>
    </w:p>
    <w:p>
      <w:pPr>
        <w:ind w:firstLine="709"/>
        <w:jc w:val="both"/>
        <w:spacing w:after="0"/>
        <w:tabs>
          <w:tab w:val="left" w:pos="709" w:leader="none"/>
        </w:tabs>
      </w:pPr>
      <w:r>
        <w:rPr>
          <w:rFonts w:ascii="Times New Roman" w:hAnsi="Times New Roman"/>
          <w:sz w:val="28"/>
          <w:szCs w:val="28"/>
        </w:rPr>
        <w:t xml:space="preserve">Решать подобные проблемы помогает слаженная</w:t>
      </w:r>
      <w:r>
        <w:rPr>
          <w:rFonts w:ascii="Times New Roman" w:hAnsi="Times New Roman"/>
          <w:sz w:val="28"/>
          <w:szCs w:val="28"/>
        </w:rPr>
        <w:t xml:space="preserve"> работа разных структур. Омбудсмен взаимодействует с адвокатским сообществом региона — юристы консультируют пострадавших и помогают разобраться в правовых вопросах. При рассмотрении обращений омбудсмен также привлекает правоохранительные органы и органы со</w:t>
      </w:r>
      <w:r>
        <w:rPr>
          <w:rFonts w:ascii="Times New Roman" w:hAnsi="Times New Roman"/>
          <w:sz w:val="28"/>
          <w:szCs w:val="28"/>
        </w:rPr>
        <w:t xml:space="preserve">цзащиты: полиция помогает обеспечить безопасность, а социальные службы — предоставить необходимую поддержку. Немалую роль играют и НКО: они сопровождают семьи в сложных ситуациях, оказывают гуманитарную помощь и подключаются к решению самых разных проблем.</w:t>
      </w:r>
      <w:r/>
    </w:p>
    <w:p>
      <w:pPr>
        <w:ind w:firstLine="709"/>
        <w:jc w:val="both"/>
        <w:spacing w:after="0"/>
        <w:tabs>
          <w:tab w:val="left" w:pos="709" w:leader="none"/>
        </w:tabs>
        <w:rPr>
          <w:rFonts w:ascii="Times New Roman" w:hAnsi="Times New Roman"/>
          <w:sz w:val="28"/>
          <w:szCs w:val="28"/>
        </w:rPr>
      </w:pPr>
      <w:r>
        <w:rPr>
          <w:rFonts w:ascii="Times New Roman" w:hAnsi="Times New Roman"/>
          <w:sz w:val="28"/>
          <w:szCs w:val="28"/>
        </w:rPr>
        <w:t xml:space="preserve">Сегодня особенно важно укреплять систему кризисных центров и поддерживать социально ориентированные НКО — именно они первыми приходят на помощь людям, столкнувшимся с насилием в сем</w:t>
      </w:r>
      <w:r>
        <w:rPr>
          <w:rFonts w:ascii="Times New Roman" w:hAnsi="Times New Roman"/>
          <w:sz w:val="28"/>
          <w:szCs w:val="28"/>
        </w:rPr>
        <w:t xml:space="preserve">ье. К сожалению, многие жертвы не знают, куда обратиться, когда ситуация становится критической. Поэтому так необходимо рассказывать о доступных ресурсах и механизмах защиты. Чем раньше пострадавший получит поддержку, тем проще будет выстроить диалог с гос</w:t>
      </w:r>
      <w:r>
        <w:rPr>
          <w:rFonts w:ascii="Times New Roman" w:hAnsi="Times New Roman"/>
          <w:sz w:val="28"/>
          <w:szCs w:val="28"/>
        </w:rPr>
        <w:t xml:space="preserve">органами и добиться реальной помощи. Если мирно разрешить конфликт не получается, крайне важно предложить действенные способы защиты — обеспечить безопасность человека, предоставить доступ к юридической и психологической помощи и помочь отстоять его права.</w:t>
      </w:r>
      <w:r>
        <w:rPr>
          <w:rFonts w:ascii="Times New Roman" w:hAnsi="Times New Roman"/>
          <w:sz w:val="28"/>
          <w:szCs w:val="28"/>
        </w:rPr>
      </w:r>
      <w:r>
        <w:rPr>
          <w:rFonts w:ascii="Times New Roman" w:hAnsi="Times New Roman"/>
          <w:sz w:val="28"/>
          <w:szCs w:val="28"/>
        </w:rPr>
      </w:r>
    </w:p>
    <w:p>
      <w:pPr>
        <w:ind w:firstLine="709"/>
        <w:jc w:val="both"/>
        <w:spacing w:after="0"/>
        <w:tabs>
          <w:tab w:val="left" w:pos="709" w:leader="none"/>
        </w:tabs>
      </w:pPr>
      <w:r>
        <w:rPr>
          <w:rFonts w:ascii="Times New Roman" w:hAnsi="Times New Roman"/>
          <w:sz w:val="28"/>
          <w:szCs w:val="28"/>
        </w:rPr>
        <w:t xml:space="preserve">26 ноября 2025 года состоялось заседание Экспертного совета </w:t>
      </w:r>
      <w:r>
        <w:rPr>
          <w:rFonts w:ascii="Times New Roman" w:hAnsi="Times New Roman"/>
          <w:sz w:val="28"/>
          <w:szCs w:val="28"/>
        </w:rPr>
        <w:t xml:space="preserve">при Уполномоченном по правам человека в Ивановской области для обсуждения актуальной правозащитной повестки по теме</w:t>
      </w:r>
      <w:r>
        <w:rPr>
          <w:rFonts w:ascii="Times New Roman" w:hAnsi="Times New Roman"/>
          <w:sz w:val="28"/>
          <w:szCs w:val="28"/>
        </w:rPr>
        <w:t xml:space="preserve"> «Домашнее насилие как нарушение прав человека».</w:t>
      </w:r>
      <w:r/>
    </w:p>
    <w:p>
      <w:pPr>
        <w:ind w:firstLine="709"/>
        <w:jc w:val="both"/>
        <w:spacing w:after="0"/>
        <w:tabs>
          <w:tab w:val="left" w:pos="709" w:leader="none"/>
        </w:tabs>
      </w:pPr>
      <w:r>
        <w:rPr>
          <w:rFonts w:ascii="Times New Roman" w:hAnsi="Times New Roman"/>
          <w:sz w:val="28"/>
          <w:szCs w:val="28"/>
        </w:rPr>
        <w:t xml:space="preserve">В заседании приняли участие представители органов власти, правоохранительных органов, юридического сообщества,  общественности, средств массовой информации.</w:t>
      </w:r>
      <w:r/>
    </w:p>
    <w:p>
      <w:pPr>
        <w:ind w:firstLine="709"/>
        <w:jc w:val="both"/>
        <w:spacing w:after="0"/>
        <w:tabs>
          <w:tab w:val="left" w:pos="709" w:leader="none"/>
        </w:tabs>
      </w:pPr>
      <w:r>
        <w:rPr>
          <w:rFonts w:ascii="Times New Roman" w:hAnsi="Times New Roman"/>
          <w:sz w:val="28"/>
          <w:szCs w:val="28"/>
        </w:rPr>
        <w:t xml:space="preserve">В ходе экспертного совета участники обсудили действующую на сегодняшний день нормативную правовую </w:t>
      </w:r>
      <w:r>
        <w:rPr>
          <w:rFonts w:ascii="Times New Roman" w:hAnsi="Times New Roman"/>
          <w:sz w:val="28"/>
          <w:szCs w:val="28"/>
        </w:rPr>
        <w:t xml:space="preserve">базу, касающуюся защиты жертв домашнего насилия и бытовой преступности. Отмечены ключевые моменты, требующие урегулирования на федеральном и региональном уровне. Социальные партнеры поделились полезными практиками в области правового просвещения населения.</w:t>
      </w:r>
      <w:r/>
    </w:p>
    <w:p>
      <w:pPr>
        <w:ind w:firstLine="709"/>
        <w:jc w:val="both"/>
        <w:spacing w:after="0"/>
        <w:tabs>
          <w:tab w:val="left" w:pos="709" w:leader="none"/>
        </w:tabs>
        <w:rPr>
          <w:rFonts w:ascii="Times New Roman" w:hAnsi="Times New Roman"/>
          <w:bCs/>
          <w:i/>
          <w:sz w:val="28"/>
          <w:szCs w:val="28"/>
        </w:rPr>
      </w:pPr>
      <w:r>
        <w:rPr>
          <w:rFonts w:ascii="Times New Roman" w:hAnsi="Times New Roman"/>
          <w:i/>
          <w:iCs/>
          <w:sz w:val="28"/>
          <w:szCs w:val="28"/>
        </w:rPr>
        <w:t xml:space="preserve">В выступлении региональный омбудсмен отмет</w:t>
      </w:r>
      <w:r>
        <w:rPr>
          <w:rFonts w:ascii="Times New Roman" w:hAnsi="Times New Roman"/>
          <w:i/>
          <w:iCs/>
          <w:sz w:val="28"/>
          <w:szCs w:val="28"/>
        </w:rPr>
        <w:t xml:space="preserve">ила, что семья находится под защитой государства. Принимаемые государственные меры поддержки семьи, материнства, отцовства и детства способствуют созданию благоприятных условий для развития семейной политики, сохранения традиционных нравственных ценностей.</w:t>
      </w:r>
      <w:r>
        <w:rPr>
          <w:rFonts w:ascii="Times New Roman" w:hAnsi="Times New Roman"/>
          <w:bCs/>
          <w:i/>
          <w:sz w:val="28"/>
          <w:szCs w:val="28"/>
        </w:rPr>
      </w:r>
      <w:r>
        <w:rPr>
          <w:rFonts w:ascii="Times New Roman" w:hAnsi="Times New Roman"/>
          <w:bCs/>
          <w:i/>
          <w:sz w:val="28"/>
          <w:szCs w:val="28"/>
        </w:rPr>
      </w:r>
    </w:p>
    <w:p>
      <w:pPr>
        <w:ind w:firstLine="709"/>
        <w:jc w:val="both"/>
        <w:spacing w:after="0"/>
        <w:tabs>
          <w:tab w:val="left" w:pos="709" w:leader="none"/>
        </w:tabs>
        <w:rPr>
          <w:bCs/>
          <w:i/>
        </w:rPr>
      </w:pPr>
      <w:r>
        <w:rPr>
          <w:rFonts w:ascii="Times New Roman" w:hAnsi="Times New Roman"/>
          <w:i/>
          <w:iCs/>
          <w:sz w:val="28"/>
          <w:szCs w:val="28"/>
        </w:rPr>
        <w:t xml:space="preserve">«Однако</w:t>
      </w:r>
      <w:r>
        <w:rPr>
          <w:rFonts w:ascii="Times New Roman" w:hAnsi="Times New Roman"/>
          <w:i/>
          <w:iCs/>
          <w:sz w:val="28"/>
          <w:szCs w:val="28"/>
        </w:rPr>
        <w:t xml:space="preserve">,</w:t>
      </w:r>
      <w:r>
        <w:rPr>
          <w:rFonts w:ascii="Times New Roman" w:hAnsi="Times New Roman"/>
          <w:i/>
          <w:iCs/>
          <w:sz w:val="28"/>
          <w:szCs w:val="28"/>
        </w:rPr>
        <w:t xml:space="preserve"> домашнее насилие остается проблемным вопросом. Это отмечено и докладчиками. </w:t>
      </w:r>
      <w:r>
        <w:rPr>
          <w:rFonts w:ascii="Times New Roman" w:hAnsi="Times New Roman"/>
          <w:i/>
          <w:iCs/>
          <w:sz w:val="28"/>
          <w:szCs w:val="28"/>
        </w:rPr>
        <w:t xml:space="preserve">Наша общая задача -  вместе работать над тем, чтобы защита попавших в сложную жизненную ситуацию стала реальностью для каждого.</w:t>
      </w:r>
      <w:r>
        <w:rPr>
          <w:rFonts w:ascii="Times New Roman" w:hAnsi="Times New Roman"/>
          <w:i/>
          <w:iCs/>
          <w:sz w:val="28"/>
          <w:szCs w:val="28"/>
        </w:rPr>
        <w:t xml:space="preserve"> Важно так выстроить межведомственное взаимодействие, чтобы жертвы семейного насилия чувствовали себя в безопасности и знали, куда обратиться за помощью и поддержкой», - подчеркнула Светлана Шмелева.</w:t>
      </w:r>
      <w:r>
        <w:rPr>
          <w:bCs/>
          <w:i/>
        </w:rPr>
      </w:r>
      <w:r>
        <w:rPr>
          <w:bCs/>
          <w:i/>
        </w:rPr>
      </w:r>
    </w:p>
    <w:p>
      <w:pPr>
        <w:ind w:firstLine="709"/>
        <w:jc w:val="both"/>
        <w:spacing w:after="0"/>
        <w:tabs>
          <w:tab w:val="left" w:pos="709" w:leader="none"/>
        </w:tabs>
        <w:rPr>
          <w:rFonts w:ascii="Times New Roman" w:hAnsi="Times New Roman"/>
          <w:sz w:val="28"/>
          <w:szCs w:val="28"/>
          <w:highlight w:val="none"/>
        </w:rPr>
      </w:pPr>
      <w:r>
        <w:rPr>
          <w:rFonts w:ascii="Times New Roman" w:hAnsi="Times New Roman"/>
          <w:sz w:val="28"/>
          <w:szCs w:val="28"/>
        </w:rPr>
        <w:t xml:space="preserve">По результатам заседания выработаны предложения, направленные на урегулирование проблемных вопросов, в том числе и законодательного уровня.</w:t>
      </w:r>
      <w:r>
        <w:rPr>
          <w:rFonts w:ascii="Times New Roman" w:hAnsi="Times New Roman"/>
          <w:sz w:val="28"/>
          <w:szCs w:val="28"/>
          <w:highlight w:val="none"/>
        </w:rPr>
      </w:r>
      <w:r>
        <w:rPr>
          <w:rFonts w:ascii="Times New Roman" w:hAnsi="Times New Roman"/>
          <w:sz w:val="28"/>
          <w:szCs w:val="28"/>
          <w:highlight w:val="none"/>
        </w:rPr>
      </w:r>
    </w:p>
    <w:p>
      <w:pPr>
        <w:ind w:firstLine="0"/>
        <w:jc w:val="both"/>
        <w:spacing w:after="0"/>
        <w:tabs>
          <w:tab w:val="left" w:pos="709" w:leader="none"/>
        </w:tabs>
        <w:rPr>
          <w:rFonts w:ascii="Times New Roman" w:hAnsi="Times New Roman"/>
          <w:sz w:val="28"/>
          <w:szCs w:val="28"/>
          <w:highlight w:val="none"/>
        </w:rPr>
      </w:pPr>
      <w:r>
        <w:rPr>
          <w:rFonts w:ascii="Times New Roman" w:hAnsi="Times New Roman"/>
          <w:sz w:val="28"/>
          <w:szCs w:val="28"/>
          <w:highlight w:val="none"/>
        </w:rPr>
      </w:r>
      <w:r>
        <w:rPr>
          <w:rFonts w:ascii="Times New Roman" w:hAnsi="Times New Roman"/>
          <w:sz w:val="28"/>
          <w:szCs w:val="28"/>
          <w:highlight w:val="none"/>
        </w:rPr>
      </w:r>
      <w:r>
        <w:rPr>
          <w:rFonts w:ascii="Times New Roman" w:hAnsi="Times New Roman"/>
          <w:sz w:val="28"/>
          <w:szCs w:val="28"/>
          <w:highlight w:val="none"/>
        </w:rPr>
      </w:r>
    </w:p>
    <w:p>
      <w:pPr>
        <w:pStyle w:val="1226"/>
        <w:rPr>
          <w:rFonts w:ascii="Times New Roman" w:hAnsi="Times New Roman"/>
          <w:sz w:val="28"/>
          <w:szCs w:val="28"/>
          <w:highlight w:val="none"/>
        </w:rPr>
      </w:pPr>
      <w:r/>
      <w:bookmarkStart w:id="46" w:name="_Toc24"/>
      <w:r>
        <w:rPr>
          <w:rStyle w:val="1252"/>
          <w:rFonts w:ascii="Times New Roman" w:hAnsi="Times New Roman"/>
          <w:color w:val="000000" w:themeColor="text1"/>
          <w:sz w:val="28"/>
          <w:szCs w:val="28"/>
        </w:rPr>
        <w:t xml:space="preserve">Уполномоченный рекомендует</w:t>
      </w:r>
      <w:r>
        <w:rPr>
          <w:rFonts w:ascii="Times New Roman" w:hAnsi="Times New Roman"/>
          <w:b/>
          <w:bCs/>
          <w:sz w:val="28"/>
          <w:szCs w:val="28"/>
          <w:highlight w:val="none"/>
        </w:rPr>
        <w:t xml:space="preserve">:</w:t>
      </w:r>
      <w:r>
        <w:rPr>
          <w:rFonts w:ascii="Times New Roman" w:hAnsi="Times New Roman"/>
          <w:sz w:val="28"/>
          <w:szCs w:val="28"/>
          <w:highlight w:val="none"/>
        </w:rPr>
      </w:r>
      <w:bookmarkEnd w:id="46"/>
      <w:r>
        <w:rPr>
          <w:rFonts w:ascii="Times New Roman" w:hAnsi="Times New Roman"/>
          <w:sz w:val="28"/>
          <w:szCs w:val="28"/>
          <w:highlight w:val="none"/>
        </w:rPr>
      </w:r>
      <w:r>
        <w:rPr>
          <w:rFonts w:ascii="Times New Roman" w:hAnsi="Times New Roman"/>
          <w:sz w:val="28"/>
          <w:szCs w:val="28"/>
          <w:highlight w:val="none"/>
        </w:rPr>
      </w:r>
    </w:p>
    <w:p>
      <w:pPr>
        <w:ind w:firstLine="709"/>
        <w:jc w:val="both"/>
        <w:spacing w:after="0"/>
        <w:tabs>
          <w:tab w:val="left" w:pos="709" w:leader="none"/>
        </w:tabs>
        <w:rPr>
          <w:rFonts w:ascii="Times New Roman" w:hAnsi="Times New Roman"/>
          <w:sz w:val="28"/>
          <w:szCs w:val="28"/>
          <w:highlight w:val="none"/>
        </w:rPr>
      </w:pPr>
      <w:r>
        <w:rPr>
          <w:rFonts w:ascii="Times New Roman" w:hAnsi="Times New Roman"/>
          <w:sz w:val="28"/>
          <w:szCs w:val="28"/>
          <w:highlight w:val="none"/>
        </w:rPr>
      </w:r>
      <w:r>
        <w:rPr>
          <w:rFonts w:ascii="Times New Roman" w:hAnsi="Times New Roman"/>
          <w:sz w:val="28"/>
          <w:szCs w:val="28"/>
          <w:highlight w:val="none"/>
        </w:rPr>
      </w:r>
      <w:r>
        <w:rPr>
          <w:rFonts w:ascii="Times New Roman" w:hAnsi="Times New Roman"/>
          <w:sz w:val="28"/>
          <w:szCs w:val="28"/>
          <w:highlight w:val="none"/>
        </w:rPr>
      </w:r>
    </w:p>
    <w:p>
      <w:pPr>
        <w:ind w:firstLine="708"/>
        <w:jc w:val="both"/>
        <w:spacing w:after="0"/>
        <w:rPr>
          <w:rFonts w:ascii="Times New Roman" w:hAnsi="Times New Roman"/>
          <w:b/>
          <w:bCs/>
          <w:color w:val="000000" w:themeColor="text1"/>
          <w:sz w:val="28"/>
          <w:szCs w:val="28"/>
        </w:rPr>
      </w:pPr>
      <w:r>
        <w:rPr>
          <w:rFonts w:ascii="Times New Roman" w:hAnsi="Times New Roman"/>
          <w:b/>
          <w:bCs/>
          <w:i/>
          <w:iCs/>
          <w:color w:val="000000" w:themeColor="text1"/>
          <w:sz w:val="28"/>
          <w:szCs w:val="28"/>
        </w:rPr>
        <w:t xml:space="preserve">Правительству Ивановской области:</w:t>
      </w:r>
      <w:r>
        <w:rPr>
          <w:rFonts w:ascii="Times New Roman" w:hAnsi="Times New Roman"/>
          <w:b/>
          <w:bCs/>
          <w:color w:val="000000" w:themeColor="text1"/>
          <w:sz w:val="28"/>
          <w:szCs w:val="28"/>
        </w:rPr>
      </w:r>
      <w:r>
        <w:rPr>
          <w:rFonts w:ascii="Times New Roman" w:hAnsi="Times New Roman"/>
          <w:b/>
          <w:bCs/>
          <w:color w:val="000000" w:themeColor="text1"/>
          <w:sz w:val="28"/>
          <w:szCs w:val="28"/>
        </w:rPr>
      </w:r>
    </w:p>
    <w:p>
      <w:pPr>
        <w:pStyle w:val="1227"/>
        <w:numPr>
          <w:ilvl w:val="0"/>
          <w:numId w:val="174"/>
        </w:numPr>
        <w:ind w:left="0" w:firstLine="709"/>
        <w:jc w:val="both"/>
        <w:spacing w:line="276" w:lineRule="auto"/>
        <w:rPr>
          <w:rFonts w:ascii="Times New Roman" w:hAnsi="Times New Roman"/>
          <w:color w:val="000000" w:themeColor="text1"/>
          <w:sz w:val="28"/>
          <w:szCs w:val="28"/>
          <w:lang w:val="ru-RU"/>
        </w:rPr>
      </w:pPr>
      <w:r>
        <w:rPr>
          <w:rFonts w:ascii="Times New Roman" w:hAnsi="Times New Roman"/>
          <w:color w:val="000000" w:themeColor="text1"/>
          <w:sz w:val="28"/>
          <w:szCs w:val="28"/>
          <w:lang w:val="ru-RU"/>
        </w:rPr>
        <w:t xml:space="preserve">систематизировать работу по организации «Горячей линии» по вопросам бытового насилия, оказанию адресной помощи, попавшим в беду;</w:t>
      </w:r>
      <w:r>
        <w:rPr>
          <w:rFonts w:ascii="Times New Roman" w:hAnsi="Times New Roman"/>
          <w:color w:val="000000" w:themeColor="text1"/>
          <w:sz w:val="28"/>
          <w:szCs w:val="28"/>
          <w:lang w:val="ru-RU"/>
        </w:rPr>
      </w:r>
      <w:r>
        <w:rPr>
          <w:rFonts w:ascii="Times New Roman" w:hAnsi="Times New Roman"/>
          <w:color w:val="000000" w:themeColor="text1"/>
          <w:sz w:val="28"/>
          <w:szCs w:val="28"/>
          <w:lang w:val="ru-RU"/>
        </w:rPr>
      </w:r>
    </w:p>
    <w:p>
      <w:pPr>
        <w:pStyle w:val="1227"/>
        <w:numPr>
          <w:ilvl w:val="0"/>
          <w:numId w:val="174"/>
        </w:numPr>
        <w:ind w:left="0" w:firstLine="709"/>
        <w:jc w:val="both"/>
        <w:spacing w:line="276" w:lineRule="auto"/>
        <w:rPr>
          <w:rFonts w:ascii="Times New Roman" w:hAnsi="Times New Roman"/>
          <w:color w:val="000000" w:themeColor="text1"/>
          <w:sz w:val="28"/>
          <w:szCs w:val="28"/>
          <w:lang w:val="ru-RU"/>
        </w:rPr>
      </w:pPr>
      <w:r>
        <w:rPr>
          <w:rFonts w:ascii="Times New Roman" w:hAnsi="Times New Roman"/>
          <w:color w:val="000000" w:themeColor="text1"/>
          <w:sz w:val="28"/>
          <w:szCs w:val="28"/>
          <w:lang w:val="ru-RU"/>
        </w:rPr>
        <w:t xml:space="preserve">предусмотреть выделение из областного бюджета целевого финансирования на создание Кризисного центра и временных приютов (для жертв домашнего насилия);</w:t>
      </w:r>
      <w:r>
        <w:rPr>
          <w:rFonts w:ascii="Times New Roman" w:hAnsi="Times New Roman"/>
          <w:color w:val="000000" w:themeColor="text1"/>
          <w:sz w:val="28"/>
          <w:szCs w:val="28"/>
          <w:lang w:val="ru-RU"/>
        </w:rPr>
      </w:r>
      <w:r>
        <w:rPr>
          <w:rFonts w:ascii="Times New Roman" w:hAnsi="Times New Roman"/>
          <w:color w:val="000000" w:themeColor="text1"/>
          <w:sz w:val="28"/>
          <w:szCs w:val="28"/>
          <w:lang w:val="ru-RU"/>
        </w:rPr>
      </w:r>
    </w:p>
    <w:p>
      <w:pPr>
        <w:pStyle w:val="1227"/>
        <w:numPr>
          <w:ilvl w:val="0"/>
          <w:numId w:val="174"/>
        </w:numPr>
        <w:ind w:left="0" w:firstLine="709"/>
        <w:jc w:val="both"/>
        <w:spacing w:line="276" w:lineRule="auto"/>
        <w:rPr>
          <w:rFonts w:ascii="Times New Roman" w:hAnsi="Times New Roman"/>
          <w:color w:val="000000" w:themeColor="text1"/>
          <w:sz w:val="28"/>
          <w:szCs w:val="28"/>
          <w:lang w:val="ru-RU"/>
        </w:rPr>
      </w:pPr>
      <w:r>
        <w:rPr>
          <w:rFonts w:ascii="Times New Roman" w:hAnsi="Times New Roman"/>
          <w:color w:val="000000" w:themeColor="text1"/>
          <w:sz w:val="28"/>
          <w:szCs w:val="28"/>
          <w:lang w:val="ru-RU"/>
        </w:rPr>
        <w:t xml:space="preserve">рассмотреть возможность оказания действенной помощи Центрам, участвующим в разрешении проблем насилия в семье, в том числе и по выделению </w:t>
      </w:r>
      <w:r>
        <w:rPr>
          <w:rFonts w:ascii="Times New Roman" w:hAnsi="Times New Roman"/>
          <w:color w:val="000000" w:themeColor="text1"/>
          <w:sz w:val="28"/>
          <w:szCs w:val="28"/>
          <w:lang w:val="ru-RU"/>
        </w:rPr>
        <w:t xml:space="preserve">грантовой</w:t>
      </w:r>
      <w:r>
        <w:rPr>
          <w:rFonts w:ascii="Times New Roman" w:hAnsi="Times New Roman"/>
          <w:color w:val="000000" w:themeColor="text1"/>
          <w:sz w:val="28"/>
          <w:szCs w:val="28"/>
          <w:lang w:val="ru-RU"/>
        </w:rPr>
        <w:t xml:space="preserve"> поддержки социально-ориентированным НКО;</w:t>
      </w:r>
      <w:r>
        <w:rPr>
          <w:rFonts w:ascii="Times New Roman" w:hAnsi="Times New Roman"/>
          <w:color w:val="000000" w:themeColor="text1"/>
          <w:sz w:val="28"/>
          <w:szCs w:val="28"/>
          <w:lang w:val="ru-RU"/>
        </w:rPr>
      </w:r>
      <w:r>
        <w:rPr>
          <w:rFonts w:ascii="Times New Roman" w:hAnsi="Times New Roman"/>
          <w:color w:val="000000" w:themeColor="text1"/>
          <w:sz w:val="28"/>
          <w:szCs w:val="28"/>
          <w:lang w:val="ru-RU"/>
        </w:rPr>
      </w:r>
    </w:p>
    <w:p>
      <w:pPr>
        <w:pStyle w:val="1227"/>
        <w:numPr>
          <w:ilvl w:val="0"/>
          <w:numId w:val="174"/>
        </w:numPr>
        <w:ind w:left="0" w:firstLine="709"/>
        <w:jc w:val="both"/>
        <w:spacing w:line="276" w:lineRule="auto"/>
        <w:rPr>
          <w:rFonts w:ascii="Times New Roman" w:hAnsi="Times New Roman"/>
          <w:color w:val="000000" w:themeColor="text1"/>
          <w:sz w:val="28"/>
          <w:szCs w:val="28"/>
          <w:lang w:val="ru-RU"/>
        </w:rPr>
      </w:pPr>
      <w:r>
        <w:rPr>
          <w:rFonts w:ascii="Times New Roman" w:hAnsi="Times New Roman"/>
          <w:color w:val="000000" w:themeColor="text1"/>
          <w:sz w:val="28"/>
          <w:szCs w:val="28"/>
          <w:lang w:val="ru-RU"/>
        </w:rPr>
        <w:t xml:space="preserve">тиражировать полезные практики деятельности Ивановской областной общественной организации «Общественный комитет защиты детства, семьи и нравственности «Колыбель» с </w:t>
      </w:r>
      <w:r>
        <w:rPr>
          <w:rFonts w:ascii="Times New Roman" w:hAnsi="Times New Roman"/>
          <w:color w:val="000000" w:themeColor="text1"/>
          <w:sz w:val="28"/>
          <w:szCs w:val="28"/>
          <w:lang w:val="ru-RU"/>
        </w:rPr>
        <w:t xml:space="preserve">предусмотрением</w:t>
      </w:r>
      <w:r>
        <w:rPr>
          <w:rFonts w:ascii="Times New Roman" w:hAnsi="Times New Roman"/>
          <w:color w:val="000000" w:themeColor="text1"/>
          <w:sz w:val="28"/>
          <w:szCs w:val="28"/>
          <w:lang w:val="ru-RU"/>
        </w:rPr>
        <w:t xml:space="preserve"> целевого финансирования из областного бюджета.</w:t>
      </w:r>
      <w:r>
        <w:rPr>
          <w:rFonts w:ascii="Times New Roman" w:hAnsi="Times New Roman"/>
          <w:color w:val="000000" w:themeColor="text1"/>
          <w:sz w:val="28"/>
          <w:szCs w:val="28"/>
          <w:lang w:val="ru-RU"/>
        </w:rPr>
      </w:r>
      <w:r>
        <w:rPr>
          <w:rFonts w:ascii="Times New Roman" w:hAnsi="Times New Roman"/>
          <w:color w:val="000000" w:themeColor="text1"/>
          <w:sz w:val="28"/>
          <w:szCs w:val="28"/>
          <w:lang w:val="ru-RU"/>
        </w:rPr>
      </w:r>
    </w:p>
    <w:p>
      <w:pPr>
        <w:ind w:left="709" w:firstLine="0"/>
        <w:jc w:val="both"/>
        <w:spacing w:after="0" w:afterAutospacing="0" w:line="276" w:lineRule="auto"/>
        <w:rPr>
          <w:rFonts w:ascii="Times New Roman" w:hAnsi="Times New Roman"/>
          <w:color w:val="000000" w:themeColor="text1"/>
          <w:sz w:val="28"/>
          <w:szCs w:val="28"/>
          <w:lang w:val="ru-RU"/>
        </w:rPr>
      </w:pPr>
      <w:r>
        <w:rPr>
          <w:rFonts w:ascii="Times New Roman" w:hAnsi="Times New Roman"/>
          <w:color w:val="000000" w:themeColor="text1"/>
          <w:sz w:val="28"/>
          <w:szCs w:val="28"/>
          <w:highlight w:val="none"/>
          <w:lang w:val="ru-RU"/>
        </w:rPr>
      </w:r>
      <w:r>
        <w:rPr>
          <w:rFonts w:ascii="Times New Roman" w:hAnsi="Times New Roman"/>
          <w:color w:val="000000" w:themeColor="text1"/>
          <w:sz w:val="28"/>
          <w:szCs w:val="28"/>
          <w:lang w:val="ru-RU"/>
        </w:rPr>
      </w:r>
      <w:r>
        <w:rPr>
          <w:rFonts w:ascii="Times New Roman" w:hAnsi="Times New Roman"/>
          <w:color w:val="000000" w:themeColor="text1"/>
          <w:sz w:val="28"/>
          <w:szCs w:val="28"/>
          <w:lang w:val="ru-RU"/>
        </w:rPr>
      </w:r>
    </w:p>
    <w:p>
      <w:pPr>
        <w:ind w:firstLine="708"/>
        <w:jc w:val="both"/>
        <w:spacing w:after="0"/>
        <w:rPr>
          <w:rFonts w:ascii="Times New Roman" w:hAnsi="Times New Roman"/>
          <w:b/>
          <w:bCs/>
          <w:i/>
          <w:color w:val="000000" w:themeColor="text1"/>
          <w:sz w:val="28"/>
          <w:szCs w:val="28"/>
        </w:rPr>
      </w:pPr>
      <w:r>
        <w:rPr>
          <w:rFonts w:ascii="Times New Roman" w:hAnsi="Times New Roman"/>
          <w:b/>
          <w:bCs/>
          <w:i/>
          <w:iCs/>
          <w:color w:val="000000" w:themeColor="text1"/>
          <w:sz w:val="28"/>
          <w:szCs w:val="28"/>
        </w:rPr>
        <w:t xml:space="preserve">УМВД России по Ивановской области:</w:t>
      </w:r>
      <w:r>
        <w:rPr>
          <w:rFonts w:ascii="Times New Roman" w:hAnsi="Times New Roman"/>
          <w:b/>
          <w:bCs/>
          <w:i/>
          <w:color w:val="000000" w:themeColor="text1"/>
          <w:sz w:val="28"/>
          <w:szCs w:val="28"/>
        </w:rPr>
      </w:r>
      <w:r>
        <w:rPr>
          <w:rFonts w:ascii="Times New Roman" w:hAnsi="Times New Roman"/>
          <w:b/>
          <w:bCs/>
          <w:i/>
          <w:color w:val="000000" w:themeColor="text1"/>
          <w:sz w:val="28"/>
          <w:szCs w:val="28"/>
        </w:rPr>
      </w:r>
    </w:p>
    <w:p>
      <w:pPr>
        <w:pStyle w:val="1227"/>
        <w:numPr>
          <w:ilvl w:val="0"/>
          <w:numId w:val="175"/>
        </w:numPr>
        <w:ind w:left="0" w:firstLine="709"/>
        <w:jc w:val="both"/>
        <w:spacing w:line="276" w:lineRule="auto"/>
        <w:rPr>
          <w:rFonts w:ascii="Times New Roman" w:hAnsi="Times New Roman"/>
          <w:color w:val="000000" w:themeColor="text1"/>
          <w:sz w:val="28"/>
          <w:szCs w:val="28"/>
          <w:lang w:val="ru-RU"/>
        </w:rPr>
      </w:pPr>
      <w:r>
        <w:rPr>
          <w:rFonts w:ascii="Times New Roman" w:hAnsi="Times New Roman"/>
          <w:color w:val="000000" w:themeColor="text1"/>
          <w:sz w:val="28"/>
          <w:szCs w:val="28"/>
          <w:lang w:val="ru-RU"/>
        </w:rPr>
        <w:t xml:space="preserve">по фактам совершения преступлений и административных правонарушений в сфере семейно-бытовых отношений своевременно решать вопрос о постановке на учет лиц, совершивших правонарушения;</w:t>
      </w:r>
      <w:r>
        <w:rPr>
          <w:rFonts w:ascii="Times New Roman" w:hAnsi="Times New Roman"/>
          <w:color w:val="000000" w:themeColor="text1"/>
          <w:sz w:val="28"/>
          <w:szCs w:val="28"/>
          <w:lang w:val="ru-RU"/>
        </w:rPr>
      </w:r>
      <w:r>
        <w:rPr>
          <w:rFonts w:ascii="Times New Roman" w:hAnsi="Times New Roman"/>
          <w:color w:val="000000" w:themeColor="text1"/>
          <w:sz w:val="28"/>
          <w:szCs w:val="28"/>
          <w:lang w:val="ru-RU"/>
        </w:rPr>
      </w:r>
    </w:p>
    <w:p>
      <w:pPr>
        <w:pStyle w:val="1227"/>
        <w:numPr>
          <w:ilvl w:val="0"/>
          <w:numId w:val="175"/>
        </w:numPr>
        <w:ind w:left="0" w:firstLine="709"/>
        <w:jc w:val="both"/>
        <w:spacing w:line="276" w:lineRule="auto"/>
        <w:rPr>
          <w:rFonts w:ascii="Times New Roman" w:hAnsi="Times New Roman"/>
          <w:color w:val="000000" w:themeColor="text1"/>
          <w:sz w:val="28"/>
          <w:szCs w:val="28"/>
          <w:lang w:val="ru-RU"/>
        </w:rPr>
      </w:pPr>
      <w:r>
        <w:rPr>
          <w:rFonts w:ascii="Times New Roman" w:hAnsi="Times New Roman"/>
          <w:color w:val="000000" w:themeColor="text1"/>
          <w:sz w:val="28"/>
          <w:szCs w:val="28"/>
          <w:lang w:val="ru-RU"/>
        </w:rPr>
        <w:t xml:space="preserve">актуализировать сведения о местах проживания неблагополучных семей, лиц, состоящих на профилактическом учете, совершивших правонарушения в семейно-бытовой сфере;</w:t>
      </w:r>
      <w:r>
        <w:rPr>
          <w:rFonts w:ascii="Times New Roman" w:hAnsi="Times New Roman"/>
          <w:color w:val="000000" w:themeColor="text1"/>
          <w:sz w:val="28"/>
          <w:szCs w:val="28"/>
          <w:lang w:val="ru-RU"/>
        </w:rPr>
      </w:r>
      <w:r>
        <w:rPr>
          <w:rFonts w:ascii="Times New Roman" w:hAnsi="Times New Roman"/>
          <w:color w:val="000000" w:themeColor="text1"/>
          <w:sz w:val="28"/>
          <w:szCs w:val="28"/>
          <w:lang w:val="ru-RU"/>
        </w:rPr>
      </w:r>
    </w:p>
    <w:p>
      <w:pPr>
        <w:pStyle w:val="1227"/>
        <w:numPr>
          <w:ilvl w:val="0"/>
          <w:numId w:val="175"/>
        </w:numPr>
        <w:ind w:left="0" w:firstLine="709"/>
        <w:jc w:val="both"/>
        <w:spacing w:line="276" w:lineRule="auto"/>
        <w:rPr>
          <w:rFonts w:ascii="Times New Roman" w:hAnsi="Times New Roman"/>
          <w:color w:val="000000" w:themeColor="text1"/>
          <w:sz w:val="28"/>
          <w:szCs w:val="28"/>
          <w:lang w:val="ru-RU"/>
        </w:rPr>
      </w:pPr>
      <w:r>
        <w:rPr>
          <w:rFonts w:ascii="Times New Roman" w:hAnsi="Times New Roman"/>
          <w:color w:val="000000" w:themeColor="text1"/>
          <w:sz w:val="28"/>
          <w:szCs w:val="28"/>
          <w:lang w:val="ru-RU"/>
        </w:rPr>
        <w:t xml:space="preserve">при проведении участковыми уполномоченными полиции отчетов перед населением, в целях повышения правовой осведомленности граждан </w:t>
      </w:r>
      <w:r>
        <w:rPr>
          <w:rFonts w:ascii="Times New Roman" w:hAnsi="Times New Roman"/>
          <w:color w:val="000000" w:themeColor="text1"/>
          <w:sz w:val="28"/>
          <w:szCs w:val="28"/>
          <w:lang w:val="ru-RU"/>
        </w:rPr>
        <w:t xml:space="preserve">и формирования устойчивого общественного неприятия домашнего насилия, проводить разъяснительную работу по вопросу профилактики семейно-бытовых правонарушений с разъяснением действующего законодательства, предусматривающего ответственности за их совершение;</w:t>
      </w:r>
      <w:r>
        <w:rPr>
          <w:rFonts w:ascii="Times New Roman" w:hAnsi="Times New Roman"/>
          <w:color w:val="000000" w:themeColor="text1"/>
          <w:sz w:val="28"/>
          <w:szCs w:val="28"/>
          <w:lang w:val="ru-RU"/>
        </w:rPr>
      </w:r>
      <w:r>
        <w:rPr>
          <w:rFonts w:ascii="Times New Roman" w:hAnsi="Times New Roman"/>
          <w:color w:val="000000" w:themeColor="text1"/>
          <w:sz w:val="28"/>
          <w:szCs w:val="28"/>
          <w:lang w:val="ru-RU"/>
        </w:rPr>
      </w:r>
    </w:p>
    <w:p>
      <w:pPr>
        <w:pStyle w:val="1227"/>
        <w:numPr>
          <w:ilvl w:val="0"/>
          <w:numId w:val="175"/>
        </w:numPr>
        <w:ind w:left="0" w:firstLine="709"/>
        <w:jc w:val="both"/>
        <w:spacing w:line="276" w:lineRule="auto"/>
        <w:rPr>
          <w:rFonts w:ascii="Times New Roman" w:hAnsi="Times New Roman"/>
          <w:color w:val="000000" w:themeColor="text1"/>
          <w:sz w:val="28"/>
          <w:szCs w:val="28"/>
          <w:lang w:val="ru-RU"/>
        </w:rPr>
      </w:pPr>
      <w:r>
        <w:rPr>
          <w:rFonts w:ascii="Times New Roman" w:hAnsi="Times New Roman"/>
          <w:color w:val="000000" w:themeColor="text1"/>
          <w:sz w:val="28"/>
          <w:szCs w:val="28"/>
          <w:lang w:val="ru-RU"/>
        </w:rPr>
        <w:t xml:space="preserve">в рамках оперативно-профилактических мероприятий продолжить работу по профилактике преступлений и административных правонарушений в сфере домашнего насилия.</w:t>
      </w:r>
      <w:r>
        <w:rPr>
          <w:rFonts w:ascii="Times New Roman" w:hAnsi="Times New Roman"/>
          <w:color w:val="000000" w:themeColor="text1"/>
          <w:sz w:val="28"/>
          <w:szCs w:val="28"/>
          <w:lang w:val="ru-RU"/>
        </w:rPr>
      </w:r>
      <w:r>
        <w:rPr>
          <w:rFonts w:ascii="Times New Roman" w:hAnsi="Times New Roman"/>
          <w:color w:val="000000" w:themeColor="text1"/>
          <w:sz w:val="28"/>
          <w:szCs w:val="28"/>
          <w:lang w:val="ru-RU"/>
        </w:rPr>
      </w:r>
    </w:p>
    <w:p>
      <w:pPr>
        <w:ind w:left="709" w:firstLine="0"/>
        <w:jc w:val="both"/>
        <w:spacing w:after="45" w:afterAutospacing="0" w:line="276" w:lineRule="auto"/>
        <w:rPr>
          <w:rFonts w:ascii="Times New Roman" w:hAnsi="Times New Roman"/>
          <w:color w:val="000000" w:themeColor="text1"/>
          <w:sz w:val="28"/>
          <w:szCs w:val="28"/>
          <w:lang w:val="ru-RU"/>
        </w:rPr>
      </w:pPr>
      <w:r>
        <w:rPr>
          <w:rFonts w:ascii="Times New Roman" w:hAnsi="Times New Roman"/>
          <w:color w:val="000000" w:themeColor="text1"/>
          <w:sz w:val="28"/>
          <w:szCs w:val="28"/>
          <w:highlight w:val="none"/>
          <w:lang w:val="ru-RU"/>
        </w:rPr>
      </w:r>
      <w:r>
        <w:rPr>
          <w:rFonts w:ascii="Times New Roman" w:hAnsi="Times New Roman"/>
          <w:color w:val="000000" w:themeColor="text1"/>
          <w:sz w:val="28"/>
          <w:szCs w:val="28"/>
          <w:lang w:val="ru-RU"/>
        </w:rPr>
      </w:r>
      <w:r>
        <w:rPr>
          <w:rFonts w:ascii="Times New Roman" w:hAnsi="Times New Roman"/>
          <w:color w:val="000000" w:themeColor="text1"/>
          <w:sz w:val="28"/>
          <w:szCs w:val="28"/>
          <w:lang w:val="ru-RU"/>
        </w:rPr>
      </w:r>
    </w:p>
    <w:p>
      <w:pPr>
        <w:ind w:firstLine="708"/>
        <w:jc w:val="both"/>
        <w:spacing w:after="0"/>
        <w:rPr>
          <w:rFonts w:ascii="Times New Roman" w:hAnsi="Times New Roman"/>
          <w:b/>
          <w:bCs/>
          <w:i/>
          <w:color w:val="000000" w:themeColor="text1"/>
          <w:sz w:val="28"/>
          <w:szCs w:val="28"/>
        </w:rPr>
      </w:pPr>
      <w:r>
        <w:rPr>
          <w:rFonts w:ascii="Times New Roman" w:hAnsi="Times New Roman"/>
          <w:b/>
          <w:bCs/>
          <w:i/>
          <w:iCs/>
          <w:color w:val="000000" w:themeColor="text1"/>
          <w:sz w:val="28"/>
          <w:szCs w:val="28"/>
        </w:rPr>
        <w:t xml:space="preserve">Адвокатской палате Ивановской области:</w:t>
      </w:r>
      <w:r>
        <w:rPr>
          <w:rFonts w:ascii="Times New Roman" w:hAnsi="Times New Roman"/>
          <w:b/>
          <w:bCs/>
          <w:i/>
          <w:color w:val="000000" w:themeColor="text1"/>
          <w:sz w:val="28"/>
          <w:szCs w:val="28"/>
        </w:rPr>
      </w:r>
      <w:r>
        <w:rPr>
          <w:rFonts w:ascii="Times New Roman" w:hAnsi="Times New Roman"/>
          <w:b/>
          <w:bCs/>
          <w:i/>
          <w:color w:val="000000" w:themeColor="text1"/>
          <w:sz w:val="28"/>
          <w:szCs w:val="28"/>
        </w:rPr>
      </w:r>
    </w:p>
    <w:p>
      <w:pPr>
        <w:pStyle w:val="1227"/>
        <w:numPr>
          <w:ilvl w:val="0"/>
          <w:numId w:val="176"/>
        </w:numPr>
        <w:ind w:left="0" w:firstLine="709"/>
        <w:jc w:val="both"/>
        <w:spacing w:line="276" w:lineRule="auto"/>
        <w:rPr>
          <w:rFonts w:ascii="Times New Roman" w:hAnsi="Times New Roman"/>
          <w:color w:val="000000" w:themeColor="text1"/>
          <w:sz w:val="28"/>
          <w:szCs w:val="28"/>
          <w:lang w:val="ru-RU"/>
        </w:rPr>
      </w:pPr>
      <w:r>
        <w:rPr>
          <w:rFonts w:ascii="Times New Roman" w:hAnsi="Times New Roman"/>
          <w:color w:val="000000" w:themeColor="text1"/>
          <w:sz w:val="28"/>
          <w:szCs w:val="28"/>
          <w:lang w:val="ru-RU"/>
        </w:rPr>
        <w:t xml:space="preserve">рассмотреть возможность оказания бесплатной юридической помощи жертвам домашнего насилия на базе ИООО «Общественный комитет защиты детства, семьи и нравственности «Колыбель»;</w:t>
      </w:r>
      <w:r>
        <w:rPr>
          <w:rFonts w:ascii="Times New Roman" w:hAnsi="Times New Roman"/>
          <w:color w:val="000000" w:themeColor="text1"/>
          <w:sz w:val="28"/>
          <w:szCs w:val="28"/>
          <w:lang w:val="ru-RU"/>
        </w:rPr>
      </w:r>
      <w:r>
        <w:rPr>
          <w:rFonts w:ascii="Times New Roman" w:hAnsi="Times New Roman"/>
          <w:color w:val="000000" w:themeColor="text1"/>
          <w:sz w:val="28"/>
          <w:szCs w:val="28"/>
          <w:lang w:val="ru-RU"/>
        </w:rPr>
      </w:r>
    </w:p>
    <w:p>
      <w:pPr>
        <w:pStyle w:val="1227"/>
        <w:numPr>
          <w:ilvl w:val="0"/>
          <w:numId w:val="176"/>
        </w:numPr>
        <w:ind w:left="0" w:firstLine="709"/>
        <w:jc w:val="both"/>
        <w:spacing w:line="276" w:lineRule="auto"/>
        <w:rPr>
          <w:rFonts w:ascii="Times New Roman" w:hAnsi="Times New Roman"/>
          <w:color w:val="000000" w:themeColor="text1"/>
          <w:sz w:val="28"/>
          <w:szCs w:val="28"/>
          <w:lang w:val="ru-RU"/>
        </w:rPr>
      </w:pPr>
      <w:r>
        <w:rPr>
          <w:rFonts w:ascii="Times New Roman" w:hAnsi="Times New Roman"/>
          <w:color w:val="000000" w:themeColor="text1"/>
          <w:sz w:val="28"/>
          <w:szCs w:val="28"/>
          <w:lang w:val="ru-RU"/>
        </w:rPr>
        <w:t xml:space="preserve">Предусмотреть тематические приемы граждан совместно с региональным институтом </w:t>
      </w:r>
      <w:r>
        <w:rPr>
          <w:rFonts w:ascii="Times New Roman" w:hAnsi="Times New Roman"/>
          <w:color w:val="000000" w:themeColor="text1"/>
          <w:sz w:val="28"/>
          <w:szCs w:val="28"/>
          <w:lang w:val="ru-RU"/>
        </w:rPr>
        <w:t xml:space="preserve">правозащиты</w:t>
      </w:r>
      <w:r>
        <w:rPr>
          <w:rFonts w:ascii="Times New Roman" w:hAnsi="Times New Roman"/>
          <w:color w:val="000000" w:themeColor="text1"/>
          <w:sz w:val="28"/>
          <w:szCs w:val="28"/>
          <w:lang w:val="ru-RU"/>
        </w:rPr>
        <w:t xml:space="preserve"> по обозначенной проблеме (по согласованию).</w:t>
      </w:r>
      <w:r>
        <w:rPr>
          <w:rFonts w:ascii="Times New Roman" w:hAnsi="Times New Roman"/>
          <w:color w:val="000000" w:themeColor="text1"/>
          <w:sz w:val="28"/>
          <w:szCs w:val="28"/>
          <w:lang w:val="ru-RU"/>
        </w:rPr>
      </w:r>
      <w:r>
        <w:rPr>
          <w:rFonts w:ascii="Times New Roman" w:hAnsi="Times New Roman"/>
          <w:color w:val="000000" w:themeColor="text1"/>
          <w:sz w:val="28"/>
          <w:szCs w:val="28"/>
          <w:lang w:val="ru-RU"/>
        </w:rPr>
      </w:r>
    </w:p>
    <w:p>
      <w:pPr>
        <w:ind w:left="709" w:firstLine="0"/>
        <w:jc w:val="both"/>
        <w:spacing w:after="0" w:afterAutospacing="0" w:line="276" w:lineRule="auto"/>
        <w:rPr>
          <w:rFonts w:ascii="Times New Roman" w:hAnsi="Times New Roman"/>
          <w:color w:val="000000" w:themeColor="text1"/>
          <w:sz w:val="28"/>
          <w:szCs w:val="28"/>
          <w:lang w:val="ru-RU"/>
        </w:rPr>
      </w:pPr>
      <w:r>
        <w:rPr>
          <w:rFonts w:ascii="Times New Roman" w:hAnsi="Times New Roman"/>
          <w:color w:val="000000" w:themeColor="text1"/>
          <w:sz w:val="28"/>
          <w:szCs w:val="28"/>
          <w:highlight w:val="none"/>
          <w:lang w:val="ru-RU"/>
        </w:rPr>
      </w:r>
      <w:r>
        <w:rPr>
          <w:rFonts w:ascii="Times New Roman" w:hAnsi="Times New Roman"/>
          <w:color w:val="000000" w:themeColor="text1"/>
          <w:sz w:val="28"/>
          <w:szCs w:val="28"/>
          <w:lang w:val="ru-RU"/>
        </w:rPr>
      </w:r>
      <w:r>
        <w:rPr>
          <w:rFonts w:ascii="Times New Roman" w:hAnsi="Times New Roman"/>
          <w:color w:val="000000" w:themeColor="text1"/>
          <w:sz w:val="28"/>
          <w:szCs w:val="28"/>
          <w:lang w:val="ru-RU"/>
        </w:rPr>
      </w:r>
    </w:p>
    <w:p>
      <w:pPr>
        <w:ind w:firstLine="708"/>
        <w:jc w:val="both"/>
        <w:spacing w:after="0"/>
        <w:rPr>
          <w:rFonts w:ascii="Times New Roman" w:hAnsi="Times New Roman"/>
          <w:b/>
          <w:bCs/>
          <w:i/>
          <w:color w:val="000000" w:themeColor="text1"/>
          <w:sz w:val="28"/>
          <w:szCs w:val="28"/>
        </w:rPr>
      </w:pPr>
      <w:r>
        <w:rPr>
          <w:rFonts w:ascii="Times New Roman" w:hAnsi="Times New Roman"/>
          <w:b/>
          <w:bCs/>
          <w:i/>
          <w:iCs/>
          <w:color w:val="000000" w:themeColor="text1"/>
          <w:sz w:val="28"/>
          <w:szCs w:val="28"/>
        </w:rPr>
        <w:t xml:space="preserve">Департаменту образования и науки Ивановской области:</w:t>
      </w:r>
      <w:r>
        <w:rPr>
          <w:rFonts w:ascii="Times New Roman" w:hAnsi="Times New Roman"/>
          <w:b/>
          <w:bCs/>
          <w:i/>
          <w:color w:val="000000" w:themeColor="text1"/>
          <w:sz w:val="28"/>
          <w:szCs w:val="28"/>
        </w:rPr>
      </w:r>
      <w:r>
        <w:rPr>
          <w:rFonts w:ascii="Times New Roman" w:hAnsi="Times New Roman"/>
          <w:b/>
          <w:bCs/>
          <w:i/>
          <w:color w:val="000000" w:themeColor="text1"/>
          <w:sz w:val="28"/>
          <w:szCs w:val="28"/>
        </w:rPr>
      </w:r>
    </w:p>
    <w:p>
      <w:pPr>
        <w:pStyle w:val="1227"/>
        <w:numPr>
          <w:ilvl w:val="0"/>
          <w:numId w:val="177"/>
        </w:numPr>
        <w:ind w:left="0" w:firstLine="709"/>
        <w:jc w:val="both"/>
        <w:spacing w:line="276" w:lineRule="auto"/>
        <w:rPr>
          <w:rFonts w:ascii="Times New Roman" w:hAnsi="Times New Roman"/>
          <w:color w:val="000000" w:themeColor="text1"/>
          <w:sz w:val="28"/>
          <w:szCs w:val="28"/>
          <w:lang w:val="ru-RU"/>
        </w:rPr>
      </w:pPr>
      <w:r>
        <w:rPr>
          <w:rFonts w:ascii="Times New Roman" w:hAnsi="Times New Roman"/>
          <w:color w:val="000000" w:themeColor="text1"/>
          <w:sz w:val="28"/>
          <w:szCs w:val="28"/>
          <w:lang w:val="ru-RU"/>
        </w:rPr>
        <w:t xml:space="preserve">рассмотреть возможность введения на постоянной основе в образовательных учреждениях системной </w:t>
      </w:r>
      <w:r>
        <w:rPr>
          <w:rFonts w:ascii="Times New Roman" w:hAnsi="Times New Roman"/>
          <w:color w:val="000000" w:themeColor="text1"/>
          <w:sz w:val="28"/>
          <w:szCs w:val="28"/>
          <w:lang w:val="ru-RU"/>
        </w:rPr>
        <w:t xml:space="preserve">работы</w:t>
      </w:r>
      <w:r>
        <w:rPr>
          <w:rFonts w:ascii="Times New Roman" w:hAnsi="Times New Roman"/>
          <w:color w:val="000000" w:themeColor="text1"/>
          <w:sz w:val="28"/>
          <w:szCs w:val="28"/>
          <w:lang w:val="ru-RU"/>
        </w:rPr>
        <w:t xml:space="preserve"> по правовому просвещению обучающихся, в том числе с обсуждением проблем </w:t>
      </w:r>
      <w:r>
        <w:rPr>
          <w:rFonts w:ascii="Times New Roman" w:hAnsi="Times New Roman"/>
          <w:color w:val="000000" w:themeColor="text1"/>
          <w:sz w:val="28"/>
          <w:szCs w:val="28"/>
          <w:lang w:val="ru-RU"/>
        </w:rPr>
        <w:t xml:space="preserve">гендерного</w:t>
      </w:r>
      <w:r>
        <w:rPr>
          <w:rFonts w:ascii="Times New Roman" w:hAnsi="Times New Roman"/>
          <w:color w:val="000000" w:themeColor="text1"/>
          <w:sz w:val="28"/>
          <w:szCs w:val="28"/>
          <w:lang w:val="ru-RU"/>
        </w:rPr>
        <w:t xml:space="preserve"> равенства и бытового насилия;</w:t>
      </w:r>
      <w:r>
        <w:rPr>
          <w:rFonts w:ascii="Times New Roman" w:hAnsi="Times New Roman"/>
          <w:color w:val="000000" w:themeColor="text1"/>
          <w:sz w:val="28"/>
          <w:szCs w:val="28"/>
          <w:lang w:val="ru-RU"/>
        </w:rPr>
      </w:r>
      <w:r>
        <w:rPr>
          <w:rFonts w:ascii="Times New Roman" w:hAnsi="Times New Roman"/>
          <w:color w:val="000000" w:themeColor="text1"/>
          <w:sz w:val="28"/>
          <w:szCs w:val="28"/>
          <w:lang w:val="ru-RU"/>
        </w:rPr>
      </w:r>
    </w:p>
    <w:p>
      <w:pPr>
        <w:pStyle w:val="1227"/>
        <w:numPr>
          <w:ilvl w:val="0"/>
          <w:numId w:val="177"/>
        </w:numPr>
        <w:ind w:left="0" w:firstLine="709"/>
        <w:jc w:val="both"/>
        <w:spacing w:line="276" w:lineRule="auto"/>
        <w:rPr>
          <w:rFonts w:ascii="Times New Roman" w:hAnsi="Times New Roman"/>
          <w:color w:val="000000" w:themeColor="text1"/>
          <w:sz w:val="28"/>
          <w:szCs w:val="28"/>
          <w:lang w:val="ru-RU"/>
        </w:rPr>
      </w:pPr>
      <w:r>
        <w:rPr>
          <w:rFonts w:ascii="Times New Roman" w:hAnsi="Times New Roman"/>
          <w:color w:val="000000" w:themeColor="text1"/>
          <w:sz w:val="28"/>
          <w:szCs w:val="28"/>
          <w:lang w:val="ru-RU"/>
        </w:rPr>
        <w:t xml:space="preserve">уделять особое внимание вопросу организации реабилитационной работы с детьми, подвергшимися жестокому обращению, и обучения специалистов навыкам выявления первичных сигналов насилия и признаков насильственного обращения;</w:t>
      </w:r>
      <w:r>
        <w:rPr>
          <w:rFonts w:ascii="Times New Roman" w:hAnsi="Times New Roman"/>
          <w:color w:val="000000" w:themeColor="text1"/>
          <w:sz w:val="28"/>
          <w:szCs w:val="28"/>
          <w:lang w:val="ru-RU"/>
        </w:rPr>
      </w:r>
      <w:r>
        <w:rPr>
          <w:rFonts w:ascii="Times New Roman" w:hAnsi="Times New Roman"/>
          <w:color w:val="000000" w:themeColor="text1"/>
          <w:sz w:val="28"/>
          <w:szCs w:val="28"/>
          <w:lang w:val="ru-RU"/>
        </w:rPr>
      </w:r>
    </w:p>
    <w:p>
      <w:pPr>
        <w:pStyle w:val="1227"/>
        <w:numPr>
          <w:ilvl w:val="0"/>
          <w:numId w:val="177"/>
        </w:numPr>
        <w:ind w:left="0" w:firstLine="709"/>
        <w:jc w:val="both"/>
        <w:spacing w:line="276" w:lineRule="auto"/>
        <w:rPr>
          <w:rFonts w:ascii="Times New Roman" w:hAnsi="Times New Roman"/>
          <w:color w:val="000000" w:themeColor="text1"/>
          <w:sz w:val="28"/>
          <w:szCs w:val="28"/>
          <w:lang w:val="ru-RU"/>
        </w:rPr>
      </w:pPr>
      <w:r>
        <w:rPr>
          <w:rFonts w:ascii="Times New Roman" w:hAnsi="Times New Roman"/>
          <w:color w:val="000000" w:themeColor="text1"/>
          <w:sz w:val="28"/>
          <w:szCs w:val="28"/>
          <w:lang w:val="ru-RU"/>
        </w:rPr>
        <w:t xml:space="preserve">принять дополнительные меры, направленные на своевременное выявление неблагополучия в семьях;</w:t>
      </w:r>
      <w:r>
        <w:rPr>
          <w:rFonts w:ascii="Times New Roman" w:hAnsi="Times New Roman"/>
          <w:color w:val="000000" w:themeColor="text1"/>
          <w:sz w:val="28"/>
          <w:szCs w:val="28"/>
          <w:lang w:val="ru-RU"/>
        </w:rPr>
      </w:r>
      <w:r>
        <w:rPr>
          <w:rFonts w:ascii="Times New Roman" w:hAnsi="Times New Roman"/>
          <w:color w:val="000000" w:themeColor="text1"/>
          <w:sz w:val="28"/>
          <w:szCs w:val="28"/>
          <w:lang w:val="ru-RU"/>
        </w:rPr>
      </w:r>
    </w:p>
    <w:p>
      <w:pPr>
        <w:pStyle w:val="1227"/>
        <w:numPr>
          <w:ilvl w:val="0"/>
          <w:numId w:val="177"/>
        </w:numPr>
        <w:ind w:left="0" w:firstLine="709"/>
        <w:jc w:val="both"/>
        <w:spacing w:line="276" w:lineRule="auto"/>
        <w:rPr>
          <w:rFonts w:ascii="Times New Roman" w:hAnsi="Times New Roman"/>
          <w:color w:val="000000" w:themeColor="text1"/>
          <w:sz w:val="28"/>
          <w:szCs w:val="28"/>
          <w:lang w:val="ru-RU"/>
        </w:rPr>
      </w:pPr>
      <w:r>
        <w:rPr>
          <w:rFonts w:ascii="Times New Roman" w:hAnsi="Times New Roman"/>
          <w:color w:val="000000" w:themeColor="text1"/>
          <w:sz w:val="28"/>
          <w:szCs w:val="28"/>
          <w:lang w:val="ru-RU"/>
        </w:rPr>
        <w:t xml:space="preserve">Обеспечить внедрение на территории региона цифрового образовательного сервиса «Цифровой психолог».</w:t>
      </w:r>
      <w:r>
        <w:rPr>
          <w:rFonts w:ascii="Times New Roman" w:hAnsi="Times New Roman"/>
          <w:color w:val="000000" w:themeColor="text1"/>
          <w:sz w:val="28"/>
          <w:szCs w:val="28"/>
          <w:lang w:val="ru-RU"/>
        </w:rPr>
      </w:r>
      <w:r>
        <w:rPr>
          <w:rFonts w:ascii="Times New Roman" w:hAnsi="Times New Roman"/>
          <w:color w:val="000000" w:themeColor="text1"/>
          <w:sz w:val="28"/>
          <w:szCs w:val="28"/>
          <w:lang w:val="ru-RU"/>
        </w:rPr>
      </w:r>
    </w:p>
    <w:p>
      <w:pPr>
        <w:ind w:left="709" w:firstLine="0"/>
        <w:jc w:val="both"/>
        <w:spacing w:after="0" w:afterAutospacing="0" w:line="276" w:lineRule="auto"/>
        <w:rPr>
          <w:rFonts w:ascii="Times New Roman" w:hAnsi="Times New Roman"/>
          <w:color w:val="000000" w:themeColor="text1"/>
          <w:sz w:val="28"/>
          <w:szCs w:val="28"/>
          <w:lang w:val="ru-RU"/>
        </w:rPr>
      </w:pPr>
      <w:r>
        <w:rPr>
          <w:rFonts w:ascii="Times New Roman" w:hAnsi="Times New Roman"/>
          <w:color w:val="000000" w:themeColor="text1"/>
          <w:sz w:val="28"/>
          <w:szCs w:val="28"/>
          <w:highlight w:val="none"/>
          <w:lang w:val="ru-RU"/>
        </w:rPr>
      </w:r>
      <w:r>
        <w:rPr>
          <w:rFonts w:ascii="Times New Roman" w:hAnsi="Times New Roman"/>
          <w:color w:val="000000" w:themeColor="text1"/>
          <w:sz w:val="28"/>
          <w:szCs w:val="28"/>
          <w:lang w:val="ru-RU"/>
        </w:rPr>
      </w:r>
      <w:r>
        <w:rPr>
          <w:rFonts w:ascii="Times New Roman" w:hAnsi="Times New Roman"/>
          <w:color w:val="000000" w:themeColor="text1"/>
          <w:sz w:val="28"/>
          <w:szCs w:val="28"/>
          <w:lang w:val="ru-RU"/>
        </w:rPr>
      </w:r>
    </w:p>
    <w:p>
      <w:pPr>
        <w:ind w:firstLine="708"/>
        <w:jc w:val="both"/>
        <w:spacing w:after="0"/>
        <w:rPr>
          <w:rFonts w:ascii="Times New Roman" w:hAnsi="Times New Roman"/>
          <w:b/>
          <w:bCs/>
          <w:i/>
          <w:color w:val="000000" w:themeColor="text1"/>
          <w:sz w:val="28"/>
          <w:szCs w:val="28"/>
        </w:rPr>
      </w:pPr>
      <w:r>
        <w:rPr>
          <w:rFonts w:ascii="Times New Roman" w:hAnsi="Times New Roman"/>
          <w:b/>
          <w:bCs/>
          <w:i/>
          <w:iCs/>
          <w:color w:val="000000" w:themeColor="text1"/>
          <w:sz w:val="28"/>
          <w:szCs w:val="28"/>
        </w:rPr>
        <w:t xml:space="preserve">Департаменту здравоохранения Ивановской области:</w:t>
      </w:r>
      <w:r>
        <w:rPr>
          <w:rFonts w:ascii="Times New Roman" w:hAnsi="Times New Roman"/>
          <w:b/>
          <w:bCs/>
          <w:i/>
          <w:color w:val="000000" w:themeColor="text1"/>
          <w:sz w:val="28"/>
          <w:szCs w:val="28"/>
        </w:rPr>
      </w:r>
      <w:r>
        <w:rPr>
          <w:rFonts w:ascii="Times New Roman" w:hAnsi="Times New Roman"/>
          <w:b/>
          <w:bCs/>
          <w:i/>
          <w:color w:val="000000" w:themeColor="text1"/>
          <w:sz w:val="28"/>
          <w:szCs w:val="28"/>
        </w:rPr>
      </w:r>
    </w:p>
    <w:p>
      <w:pPr>
        <w:pStyle w:val="1227"/>
        <w:numPr>
          <w:ilvl w:val="0"/>
          <w:numId w:val="178"/>
        </w:numPr>
        <w:ind w:left="0" w:firstLine="709"/>
        <w:jc w:val="both"/>
        <w:spacing w:line="276" w:lineRule="auto"/>
        <w:rPr>
          <w:rFonts w:ascii="Times New Roman" w:hAnsi="Times New Roman"/>
          <w:color w:val="000000" w:themeColor="text1"/>
          <w:sz w:val="28"/>
          <w:szCs w:val="28"/>
          <w:lang w:val="ru-RU"/>
        </w:rPr>
      </w:pPr>
      <w:r>
        <w:rPr>
          <w:rFonts w:ascii="Times New Roman" w:hAnsi="Times New Roman"/>
          <w:color w:val="000000" w:themeColor="text1"/>
          <w:sz w:val="28"/>
          <w:szCs w:val="28"/>
          <w:lang w:val="ru-RU"/>
        </w:rPr>
        <w:t xml:space="preserve">выйти с инициативой к Министерству здравоохранения Российской Федерации о легализации принудительного лечения от алкогольной и наркотической зависимости, в большинстве случаев являющихся катализатором насилия в семье;</w:t>
      </w:r>
      <w:r>
        <w:rPr>
          <w:rFonts w:ascii="Times New Roman" w:hAnsi="Times New Roman"/>
          <w:color w:val="000000" w:themeColor="text1"/>
          <w:sz w:val="28"/>
          <w:szCs w:val="28"/>
          <w:lang w:val="ru-RU"/>
        </w:rPr>
      </w:r>
      <w:r>
        <w:rPr>
          <w:rFonts w:ascii="Times New Roman" w:hAnsi="Times New Roman"/>
          <w:color w:val="000000" w:themeColor="text1"/>
          <w:sz w:val="28"/>
          <w:szCs w:val="28"/>
          <w:lang w:val="ru-RU"/>
        </w:rPr>
      </w:r>
    </w:p>
    <w:p>
      <w:pPr>
        <w:pStyle w:val="1227"/>
        <w:numPr>
          <w:ilvl w:val="0"/>
          <w:numId w:val="178"/>
        </w:numPr>
        <w:ind w:left="0" w:firstLine="709"/>
        <w:jc w:val="both"/>
        <w:spacing w:line="276" w:lineRule="auto"/>
        <w:rPr>
          <w:rFonts w:ascii="Times New Roman" w:hAnsi="Times New Roman"/>
          <w:color w:val="000000" w:themeColor="text1"/>
          <w:sz w:val="28"/>
          <w:szCs w:val="28"/>
          <w:lang w:val="ru-RU"/>
        </w:rPr>
      </w:pPr>
      <w:r>
        <w:rPr>
          <w:rFonts w:ascii="Times New Roman" w:hAnsi="Times New Roman"/>
          <w:color w:val="000000" w:themeColor="text1"/>
          <w:sz w:val="28"/>
          <w:szCs w:val="28"/>
          <w:lang w:val="ru-RU"/>
        </w:rPr>
        <w:t xml:space="preserve">обеспечить контроль </w:t>
      </w:r>
      <w:r>
        <w:rPr>
          <w:rFonts w:ascii="Times New Roman" w:hAnsi="Times New Roman"/>
          <w:color w:val="000000" w:themeColor="text1"/>
          <w:sz w:val="28"/>
          <w:szCs w:val="28"/>
          <w:lang w:val="ru-RU"/>
        </w:rPr>
        <w:t xml:space="preserve">за своевременным информированием медицинскими организациями территориальных органов МВД России о поступлении пациентов в случаях наличия у них признаков причинения вреда здоровью в результате</w:t>
      </w:r>
      <w:r>
        <w:rPr>
          <w:rFonts w:ascii="Times New Roman" w:hAnsi="Times New Roman"/>
          <w:color w:val="000000" w:themeColor="text1"/>
          <w:sz w:val="28"/>
          <w:szCs w:val="28"/>
          <w:lang w:val="ru-RU"/>
        </w:rPr>
        <w:t xml:space="preserve"> совершения противоправных действий;</w:t>
      </w:r>
      <w:r>
        <w:rPr>
          <w:rFonts w:ascii="Times New Roman" w:hAnsi="Times New Roman"/>
          <w:color w:val="000000" w:themeColor="text1"/>
          <w:sz w:val="28"/>
          <w:szCs w:val="28"/>
          <w:lang w:val="ru-RU"/>
        </w:rPr>
      </w:r>
      <w:r>
        <w:rPr>
          <w:rFonts w:ascii="Times New Roman" w:hAnsi="Times New Roman"/>
          <w:color w:val="000000" w:themeColor="text1"/>
          <w:sz w:val="28"/>
          <w:szCs w:val="28"/>
          <w:lang w:val="ru-RU"/>
        </w:rPr>
      </w:r>
    </w:p>
    <w:p>
      <w:pPr>
        <w:pStyle w:val="1227"/>
        <w:numPr>
          <w:ilvl w:val="0"/>
          <w:numId w:val="178"/>
        </w:numPr>
        <w:ind w:left="0" w:firstLine="709"/>
        <w:jc w:val="both"/>
        <w:spacing w:line="276" w:lineRule="auto"/>
        <w:rPr>
          <w:rFonts w:ascii="Times New Roman" w:hAnsi="Times New Roman"/>
          <w:color w:val="000000" w:themeColor="text1"/>
          <w:sz w:val="28"/>
          <w:szCs w:val="28"/>
          <w:lang w:val="ru-RU"/>
        </w:rPr>
      </w:pPr>
      <w:r>
        <w:rPr>
          <w:rFonts w:ascii="Times New Roman" w:hAnsi="Times New Roman"/>
          <w:color w:val="000000" w:themeColor="text1"/>
          <w:sz w:val="28"/>
          <w:szCs w:val="28"/>
          <w:lang w:val="ru-RU"/>
        </w:rPr>
        <w:t xml:space="preserve">Совместно с ОКПБ «</w:t>
      </w:r>
      <w:r>
        <w:rPr>
          <w:rFonts w:ascii="Times New Roman" w:hAnsi="Times New Roman"/>
          <w:color w:val="000000" w:themeColor="text1"/>
          <w:sz w:val="28"/>
          <w:szCs w:val="28"/>
          <w:lang w:val="ru-RU"/>
        </w:rPr>
        <w:t xml:space="preserve">Богородское</w:t>
      </w:r>
      <w:r>
        <w:rPr>
          <w:rFonts w:ascii="Times New Roman" w:hAnsi="Times New Roman"/>
          <w:color w:val="000000" w:themeColor="text1"/>
          <w:sz w:val="28"/>
          <w:szCs w:val="28"/>
          <w:lang w:val="ru-RU"/>
        </w:rPr>
        <w:t xml:space="preserve">» продолжить реализацию мероприятий, направленных на профилактику кризисных состояний, суицидального поведения среди населения Ивановской области.</w:t>
      </w:r>
      <w:r>
        <w:rPr>
          <w:rFonts w:ascii="Times New Roman" w:hAnsi="Times New Roman"/>
          <w:color w:val="000000" w:themeColor="text1"/>
          <w:sz w:val="28"/>
          <w:szCs w:val="28"/>
          <w:lang w:val="ru-RU"/>
        </w:rPr>
      </w:r>
      <w:r>
        <w:rPr>
          <w:rFonts w:ascii="Times New Roman" w:hAnsi="Times New Roman"/>
          <w:color w:val="000000" w:themeColor="text1"/>
          <w:sz w:val="28"/>
          <w:szCs w:val="28"/>
          <w:lang w:val="ru-RU"/>
        </w:rPr>
      </w:r>
    </w:p>
    <w:p>
      <w:pPr>
        <w:ind w:left="709" w:firstLine="0"/>
        <w:jc w:val="both"/>
        <w:spacing w:after="0" w:afterAutospacing="0" w:line="276" w:lineRule="auto"/>
        <w:rPr>
          <w:rFonts w:ascii="Times New Roman" w:hAnsi="Times New Roman"/>
          <w:color w:val="000000" w:themeColor="text1"/>
          <w:sz w:val="28"/>
          <w:szCs w:val="28"/>
          <w:lang w:val="ru-RU"/>
        </w:rPr>
      </w:pPr>
      <w:r>
        <w:rPr>
          <w:rFonts w:ascii="Times New Roman" w:hAnsi="Times New Roman"/>
          <w:color w:val="000000" w:themeColor="text1"/>
          <w:sz w:val="28"/>
          <w:szCs w:val="28"/>
          <w:highlight w:val="none"/>
          <w:lang w:val="ru-RU"/>
        </w:rPr>
      </w:r>
      <w:r>
        <w:rPr>
          <w:rFonts w:ascii="Times New Roman" w:hAnsi="Times New Roman"/>
          <w:color w:val="000000" w:themeColor="text1"/>
          <w:sz w:val="28"/>
          <w:szCs w:val="28"/>
          <w:lang w:val="ru-RU"/>
        </w:rPr>
      </w:r>
      <w:r>
        <w:rPr>
          <w:rFonts w:ascii="Times New Roman" w:hAnsi="Times New Roman"/>
          <w:color w:val="000000" w:themeColor="text1"/>
          <w:sz w:val="28"/>
          <w:szCs w:val="28"/>
          <w:lang w:val="ru-RU"/>
        </w:rPr>
      </w:r>
    </w:p>
    <w:p>
      <w:pPr>
        <w:ind w:firstLine="708"/>
        <w:jc w:val="both"/>
        <w:spacing w:after="0"/>
        <w:rPr>
          <w:rFonts w:ascii="Times New Roman" w:hAnsi="Times New Roman"/>
          <w:b/>
          <w:bCs/>
          <w:i/>
          <w:color w:val="000000" w:themeColor="text1"/>
          <w:sz w:val="28"/>
          <w:szCs w:val="28"/>
        </w:rPr>
      </w:pPr>
      <w:r>
        <w:rPr>
          <w:rFonts w:ascii="Times New Roman" w:hAnsi="Times New Roman"/>
          <w:b/>
          <w:bCs/>
          <w:i/>
          <w:iCs/>
          <w:color w:val="000000" w:themeColor="text1"/>
          <w:sz w:val="28"/>
          <w:szCs w:val="28"/>
        </w:rPr>
        <w:t xml:space="preserve">Департаменту социальной защиты населения Ивановской области:</w:t>
      </w:r>
      <w:r>
        <w:rPr>
          <w:rFonts w:ascii="Times New Roman" w:hAnsi="Times New Roman"/>
          <w:b/>
          <w:bCs/>
          <w:i/>
          <w:color w:val="000000" w:themeColor="text1"/>
          <w:sz w:val="28"/>
          <w:szCs w:val="28"/>
        </w:rPr>
      </w:r>
      <w:r>
        <w:rPr>
          <w:rFonts w:ascii="Times New Roman" w:hAnsi="Times New Roman"/>
          <w:b/>
          <w:bCs/>
          <w:i/>
          <w:color w:val="000000" w:themeColor="text1"/>
          <w:sz w:val="28"/>
          <w:szCs w:val="28"/>
        </w:rPr>
      </w:r>
    </w:p>
    <w:p>
      <w:pPr>
        <w:pStyle w:val="1227"/>
        <w:numPr>
          <w:ilvl w:val="0"/>
          <w:numId w:val="179"/>
        </w:numPr>
        <w:ind w:left="0" w:firstLine="709"/>
        <w:jc w:val="both"/>
        <w:spacing w:line="276" w:lineRule="auto"/>
        <w:rPr>
          <w:rFonts w:ascii="Times New Roman" w:hAnsi="Times New Roman"/>
          <w:color w:val="000000" w:themeColor="text1"/>
          <w:sz w:val="28"/>
          <w:szCs w:val="28"/>
          <w:lang w:val="ru-RU"/>
        </w:rPr>
      </w:pPr>
      <w:r>
        <w:rPr>
          <w:rFonts w:ascii="Times New Roman" w:hAnsi="Times New Roman"/>
          <w:color w:val="000000" w:themeColor="text1"/>
          <w:sz w:val="28"/>
          <w:szCs w:val="28"/>
          <w:lang w:val="ru-RU"/>
        </w:rPr>
        <w:t xml:space="preserve">принять дополнительные меры, направленные на своевременное выявление неблагополучия в семьях (работа по организации ведения учета семей и детей группы риска, работа с неблагополучными родителями);</w:t>
      </w:r>
      <w:r>
        <w:rPr>
          <w:rFonts w:ascii="Times New Roman" w:hAnsi="Times New Roman"/>
          <w:color w:val="000000" w:themeColor="text1"/>
          <w:sz w:val="28"/>
          <w:szCs w:val="28"/>
          <w:lang w:val="ru-RU"/>
        </w:rPr>
      </w:r>
      <w:r>
        <w:rPr>
          <w:rFonts w:ascii="Times New Roman" w:hAnsi="Times New Roman"/>
          <w:color w:val="000000" w:themeColor="text1"/>
          <w:sz w:val="28"/>
          <w:szCs w:val="28"/>
          <w:lang w:val="ru-RU"/>
        </w:rPr>
      </w:r>
    </w:p>
    <w:p>
      <w:pPr>
        <w:pStyle w:val="1227"/>
        <w:numPr>
          <w:ilvl w:val="0"/>
          <w:numId w:val="179"/>
        </w:numPr>
        <w:ind w:left="0" w:firstLine="709"/>
        <w:jc w:val="both"/>
        <w:spacing w:line="276" w:lineRule="auto"/>
        <w:rPr>
          <w:rFonts w:ascii="Times New Roman" w:hAnsi="Times New Roman"/>
          <w:color w:val="000000" w:themeColor="text1"/>
          <w:sz w:val="28"/>
          <w:szCs w:val="28"/>
          <w:lang w:val="ru-RU"/>
        </w:rPr>
      </w:pPr>
      <w:r>
        <w:rPr>
          <w:rFonts w:ascii="Times New Roman" w:hAnsi="Times New Roman"/>
          <w:color w:val="000000" w:themeColor="text1"/>
          <w:sz w:val="28"/>
          <w:szCs w:val="28"/>
          <w:lang w:val="ru-RU"/>
        </w:rPr>
        <w:t xml:space="preserve">проанализировать целесообразность создания кризисного центра для женщин с детьми, находящихся в трудной жизненной ситуации.</w:t>
      </w:r>
      <w:r>
        <w:rPr>
          <w:rFonts w:ascii="Times New Roman" w:hAnsi="Times New Roman"/>
          <w:color w:val="000000" w:themeColor="text1"/>
          <w:sz w:val="28"/>
          <w:szCs w:val="28"/>
          <w:lang w:val="ru-RU"/>
        </w:rPr>
      </w:r>
      <w:r>
        <w:rPr>
          <w:rFonts w:ascii="Times New Roman" w:hAnsi="Times New Roman"/>
          <w:color w:val="000000" w:themeColor="text1"/>
          <w:sz w:val="28"/>
          <w:szCs w:val="28"/>
          <w:lang w:val="ru-RU"/>
        </w:rPr>
      </w:r>
    </w:p>
    <w:p>
      <w:pPr>
        <w:ind w:left="709" w:firstLine="0"/>
        <w:jc w:val="both"/>
        <w:spacing w:line="276" w:lineRule="auto"/>
        <w:rPr>
          <w:rFonts w:ascii="Times New Roman" w:hAnsi="Times New Roman"/>
          <w:color w:val="000000" w:themeColor="text1"/>
          <w:sz w:val="28"/>
          <w:szCs w:val="28"/>
          <w:lang w:val="ru-RU"/>
        </w:rPr>
      </w:pPr>
      <w:r>
        <w:rPr>
          <w:rFonts w:ascii="Times New Roman" w:hAnsi="Times New Roman"/>
          <w:color w:val="000000" w:themeColor="text1"/>
          <w:sz w:val="28"/>
          <w:szCs w:val="28"/>
          <w:highlight w:val="none"/>
          <w:lang w:val="ru-RU"/>
        </w:rPr>
      </w:r>
      <w:r>
        <w:rPr>
          <w:rFonts w:ascii="Times New Roman" w:hAnsi="Times New Roman"/>
          <w:color w:val="000000" w:themeColor="text1"/>
          <w:sz w:val="28"/>
          <w:szCs w:val="28"/>
          <w:lang w:val="ru-RU"/>
        </w:rPr>
      </w:r>
      <w:r>
        <w:rPr>
          <w:rFonts w:ascii="Times New Roman" w:hAnsi="Times New Roman"/>
          <w:color w:val="000000" w:themeColor="text1"/>
          <w:sz w:val="28"/>
          <w:szCs w:val="28"/>
          <w:lang w:val="ru-RU"/>
        </w:rPr>
      </w:r>
    </w:p>
    <w:p>
      <w:pPr>
        <w:ind w:firstLine="708"/>
        <w:jc w:val="both"/>
        <w:spacing w:after="0"/>
        <w:rPr>
          <w:rFonts w:ascii="Times New Roman" w:hAnsi="Times New Roman"/>
          <w:bCs/>
          <w:i/>
          <w:color w:val="000000" w:themeColor="text1"/>
          <w:sz w:val="28"/>
          <w:szCs w:val="28"/>
        </w:rPr>
      </w:pPr>
      <w:r>
        <w:rPr>
          <w:rFonts w:ascii="Times New Roman" w:hAnsi="Times New Roman"/>
          <w:b/>
          <w:bCs/>
          <w:i/>
          <w:iCs/>
          <w:color w:val="000000" w:themeColor="text1"/>
          <w:sz w:val="28"/>
          <w:szCs w:val="28"/>
        </w:rPr>
        <w:t xml:space="preserve">Автономной некоммерческой организации по оказанию социальных услуг гражданам «Ивановский региональный центр медиации и переговоров»:</w:t>
      </w:r>
      <w:r>
        <w:rPr>
          <w:rFonts w:ascii="Times New Roman" w:hAnsi="Times New Roman"/>
          <w:bCs/>
          <w:i/>
          <w:color w:val="000000" w:themeColor="text1"/>
          <w:sz w:val="28"/>
          <w:szCs w:val="28"/>
        </w:rPr>
      </w:r>
      <w:r>
        <w:rPr>
          <w:rFonts w:ascii="Times New Roman" w:hAnsi="Times New Roman"/>
          <w:bCs/>
          <w:i/>
          <w:color w:val="000000" w:themeColor="text1"/>
          <w:sz w:val="28"/>
          <w:szCs w:val="28"/>
        </w:rPr>
      </w:r>
    </w:p>
    <w:p>
      <w:pPr>
        <w:pStyle w:val="1227"/>
        <w:numPr>
          <w:ilvl w:val="0"/>
          <w:numId w:val="180"/>
        </w:numPr>
        <w:ind w:left="0" w:firstLine="709"/>
        <w:jc w:val="both"/>
        <w:spacing w:line="276" w:lineRule="auto"/>
        <w:rPr>
          <w:rFonts w:ascii="Times New Roman" w:hAnsi="Times New Roman"/>
          <w:color w:val="000000" w:themeColor="text1"/>
          <w:sz w:val="28"/>
          <w:szCs w:val="28"/>
          <w:lang w:val="ru-RU"/>
        </w:rPr>
      </w:pPr>
      <w:r>
        <w:rPr>
          <w:rFonts w:ascii="Times New Roman" w:hAnsi="Times New Roman"/>
          <w:color w:val="000000" w:themeColor="text1"/>
          <w:sz w:val="28"/>
          <w:szCs w:val="28"/>
          <w:lang w:val="ru-RU"/>
        </w:rPr>
        <w:t xml:space="preserve">рассмотреть возможность оказания бесплатной психологической помощи жертвам до</w:t>
      </w:r>
      <w:r>
        <w:rPr>
          <w:rFonts w:ascii="Times New Roman" w:hAnsi="Times New Roman"/>
          <w:color w:val="000000" w:themeColor="text1"/>
          <w:sz w:val="28"/>
          <w:szCs w:val="28"/>
          <w:lang w:val="ru-RU"/>
        </w:rPr>
        <w:t xml:space="preserve">машнего насилия на базе ИООО «Общественный комитет защиты детства, семьи и нравственности «Колыбель», а также на выездных тематических площадках в муниципальных образованиях Ивановской области совместно с общественными помощниками регионального омбудсмена.</w:t>
      </w:r>
      <w:r>
        <w:rPr>
          <w:rFonts w:ascii="Times New Roman" w:hAnsi="Times New Roman"/>
          <w:color w:val="000000" w:themeColor="text1"/>
          <w:sz w:val="28"/>
          <w:szCs w:val="28"/>
          <w:lang w:val="ru-RU"/>
        </w:rPr>
      </w:r>
      <w:r>
        <w:rPr>
          <w:rFonts w:ascii="Times New Roman" w:hAnsi="Times New Roman"/>
          <w:color w:val="000000" w:themeColor="text1"/>
          <w:sz w:val="28"/>
          <w:szCs w:val="28"/>
          <w:lang w:val="ru-RU"/>
        </w:rPr>
      </w:r>
    </w:p>
    <w:p>
      <w:pPr>
        <w:ind w:firstLine="0"/>
        <w:jc w:val="both"/>
        <w:spacing w:after="0"/>
        <w:tabs>
          <w:tab w:val="left" w:pos="709" w:leader="none"/>
        </w:tabs>
        <w:rPr>
          <w:rFonts w:ascii="Times New Roman" w:hAnsi="Times New Roman"/>
          <w:sz w:val="28"/>
          <w:szCs w:val="28"/>
        </w:rPr>
      </w:pPr>
      <w:r>
        <w:rPr>
          <w:rFonts w:ascii="Times New Roman" w:hAnsi="Times New Roman"/>
          <w:sz w:val="28"/>
          <w:szCs w:val="28"/>
          <w:highlight w:val="none"/>
        </w:rPr>
      </w:r>
      <w:r>
        <w:rPr>
          <w:rFonts w:ascii="Times New Roman" w:hAnsi="Times New Roman"/>
          <w:sz w:val="28"/>
          <w:szCs w:val="28"/>
        </w:rPr>
      </w:r>
      <w:r>
        <w:rPr>
          <w:rFonts w:ascii="Times New Roman" w:hAnsi="Times New Roman"/>
          <w:sz w:val="28"/>
          <w:szCs w:val="28"/>
        </w:rPr>
      </w:r>
    </w:p>
    <w:p>
      <w:pPr>
        <w:pStyle w:val="1226"/>
        <w:jc w:val="center"/>
        <w:rPr>
          <w:rFonts w:ascii="Times New Roman" w:hAnsi="Times New Roman" w:cs="Times New Roman"/>
          <w:color w:val="auto"/>
          <w:sz w:val="28"/>
          <w:szCs w:val="28"/>
        </w:rPr>
      </w:pPr>
      <w:r/>
      <w:bookmarkStart w:id="47" w:name="_Toc25"/>
      <w:r>
        <w:rPr>
          <w:rFonts w:ascii="Times New Roman" w:hAnsi="Times New Roman" w:cs="Times New Roman"/>
          <w:color w:val="auto"/>
          <w:sz w:val="28"/>
          <w:szCs w:val="28"/>
        </w:rPr>
        <w:t xml:space="preserve"> </w:t>
      </w:r>
      <w:r>
        <w:rPr>
          <w:rFonts w:ascii="Times New Roman" w:hAnsi="Times New Roman" w:cs="Times New Roman"/>
          <w:b/>
          <w:bCs/>
          <w:color w:val="auto"/>
          <w:sz w:val="28"/>
          <w:szCs w:val="28"/>
        </w:rPr>
        <w:t xml:space="preserve">РАЗДЕЛ 8. ПРАВО НА ОБРАЗОВАНИЕ</w:t>
      </w:r>
      <w:r>
        <w:rPr>
          <w:rFonts w:ascii="Times New Roman" w:hAnsi="Times New Roman" w:cs="Times New Roman"/>
          <w:b/>
          <w:bCs/>
          <w:color w:val="auto"/>
          <w:sz w:val="28"/>
          <w:szCs w:val="28"/>
        </w:rPr>
      </w:r>
      <w:bookmarkEnd w:id="47"/>
      <w:r>
        <w:rPr>
          <w:rFonts w:ascii="Times New Roman" w:hAnsi="Times New Roman" w:cs="Times New Roman"/>
          <w:color w:val="auto"/>
          <w:sz w:val="28"/>
          <w:szCs w:val="28"/>
        </w:rPr>
      </w:r>
      <w:r>
        <w:rPr>
          <w:rFonts w:ascii="Times New Roman" w:hAnsi="Times New Roman" w:cs="Times New Roman"/>
          <w:color w:val="auto"/>
          <w:sz w:val="28"/>
          <w:szCs w:val="28"/>
        </w:rPr>
      </w:r>
    </w:p>
    <w:p>
      <w:pPr>
        <w:ind w:firstLine="567"/>
        <w:jc w:val="both"/>
        <w:spacing w:after="0"/>
        <w:rPr>
          <w:rFonts w:ascii="Times New Roman" w:hAnsi="Times New Roman"/>
          <w:sz w:val="28"/>
          <w:szCs w:val="28"/>
        </w:rPr>
      </w:pPr>
      <w:r>
        <w:rPr>
          <w:rFonts w:ascii="Times New Roman" w:hAnsi="Times New Roman"/>
          <w:sz w:val="28"/>
          <w:szCs w:val="28"/>
        </w:rPr>
      </w:r>
      <w:r>
        <w:rPr>
          <w:rFonts w:ascii="Times New Roman" w:hAnsi="Times New Roman"/>
          <w:sz w:val="28"/>
          <w:szCs w:val="28"/>
        </w:rPr>
      </w:r>
      <w:r>
        <w:rPr>
          <w:rFonts w:ascii="Times New Roman" w:hAnsi="Times New Roman"/>
          <w:sz w:val="28"/>
          <w:szCs w:val="28"/>
        </w:rPr>
      </w:r>
    </w:p>
    <w:p>
      <w:pPr>
        <w:ind w:firstLine="709"/>
        <w:jc w:val="both"/>
        <w:spacing w:after="0"/>
      </w:pPr>
      <w:r>
        <w:rPr>
          <w:rFonts w:ascii="Times New Roman" w:hAnsi="Times New Roman"/>
          <w:sz w:val="28"/>
          <w:szCs w:val="28"/>
        </w:rPr>
        <w:t xml:space="preserve">Право на образование — одно из самых важных прав, которое есть у каждого человека в нашей стране. В соответ</w:t>
      </w:r>
      <w:r>
        <w:rPr>
          <w:rFonts w:ascii="Times New Roman" w:hAnsi="Times New Roman"/>
          <w:sz w:val="28"/>
          <w:szCs w:val="28"/>
        </w:rPr>
        <w:t xml:space="preserve">ствии со статьей 43 Конституции Российской Федерации каждый имеет право на образование, и это право не должно зависеть от того, где человек живет, какое у него материальное положение, есть ли у него проблемы со здоровьем или какие-то другие обстоятельства.</w:t>
      </w:r>
      <w:r/>
    </w:p>
    <w:p>
      <w:pPr>
        <w:ind w:firstLine="709"/>
        <w:jc w:val="both"/>
        <w:spacing w:after="0"/>
      </w:pPr>
      <w:r>
        <w:rPr>
          <w:rFonts w:ascii="Times New Roman" w:hAnsi="Times New Roman"/>
          <w:sz w:val="28"/>
          <w:szCs w:val="28"/>
        </w:rPr>
        <w:t xml:space="preserve">Почему это так важно? Да потому что образование — это фундам</w:t>
      </w:r>
      <w:r>
        <w:rPr>
          <w:rFonts w:ascii="Times New Roman" w:hAnsi="Times New Roman"/>
          <w:sz w:val="28"/>
          <w:szCs w:val="28"/>
        </w:rPr>
        <w:t xml:space="preserve">ент всей дальнейшей жизни человека. Именно благодаря знаниям и навыкам, полученным в школе, колледже или вузе, человек может выбрать профессию, найти хорошую работу, реализовать себя, обеспечить свою семью и внести вклад в развитие общества и страны в цело</w:t>
      </w:r>
      <w:r>
        <w:rPr>
          <w:rFonts w:ascii="Times New Roman" w:hAnsi="Times New Roman"/>
          <w:sz w:val="28"/>
          <w:szCs w:val="28"/>
        </w:rPr>
        <w:t xml:space="preserve">м. Образование помогает нам понимать мир вокруг, учит думать, анализировать, принимать решения и отвечать за них. Оно открывает двери к новым возможностям и дает шанс сделать свою жизнь лучше, независимо от того, в каких условиях человек родился или вырос.</w:t>
      </w:r>
      <w:r/>
    </w:p>
    <w:p>
      <w:pPr>
        <w:ind w:firstLine="709"/>
        <w:jc w:val="both"/>
        <w:spacing w:after="0"/>
      </w:pPr>
      <w:r>
        <w:rPr>
          <w:rFonts w:ascii="Times New Roman" w:hAnsi="Times New Roman"/>
          <w:sz w:val="28"/>
          <w:szCs w:val="28"/>
        </w:rPr>
        <w:t xml:space="preserve">Право на образование — это не просто красивые слова в законе. Государство создает условия, чтобы это право работало на практике. У нас есть бесплатные школы и детские сады, колледжи</w:t>
      </w:r>
      <w:r>
        <w:rPr>
          <w:rFonts w:ascii="Times New Roman" w:hAnsi="Times New Roman"/>
          <w:sz w:val="28"/>
          <w:szCs w:val="28"/>
        </w:rPr>
        <w:t xml:space="preserve"> и университеты, программы поддержки для разных категорий граждан. Мы стараемся, чтобы образование было не только доступным, но и качественным: ремонтируем школы, закупаем новое оборудование, поддерживаем учителей, развиваем дополнительные кружки и секции.</w:t>
      </w:r>
      <w:r/>
    </w:p>
    <w:p>
      <w:pPr>
        <w:ind w:firstLine="709"/>
        <w:jc w:val="both"/>
        <w:spacing w:after="0"/>
      </w:pPr>
      <w:r>
        <w:rPr>
          <w:rFonts w:ascii="Times New Roman" w:hAnsi="Times New Roman"/>
          <w:sz w:val="28"/>
          <w:szCs w:val="28"/>
        </w:rPr>
        <w:t xml:space="preserve">Особое внимание необходимо уделять тем, кому бывает сложнее всего. Дети с ограниченными возможностями здоровья должны иметь такие же шансы учиться и развиваться, как и все остальные. Для них создаются специальные условия в школах, работают </w:t>
      </w:r>
      <w:r>
        <w:rPr>
          <w:rFonts w:ascii="Times New Roman" w:hAnsi="Times New Roman"/>
          <w:sz w:val="28"/>
          <w:szCs w:val="28"/>
        </w:rPr>
        <w:t xml:space="preserve">психолого-медико-педагогические</w:t>
      </w:r>
      <w:r>
        <w:rPr>
          <w:rFonts w:ascii="Times New Roman" w:hAnsi="Times New Roman"/>
          <w:sz w:val="28"/>
          <w:szCs w:val="28"/>
        </w:rPr>
        <w:t xml:space="preserve"> комиссии, открываются ресурсные центры. Многодетные семьи, дети участников</w:t>
      </w:r>
      <w:r>
        <w:rPr>
          <w:rFonts w:ascii="Times New Roman" w:hAnsi="Times New Roman"/>
          <w:sz w:val="28"/>
          <w:szCs w:val="28"/>
        </w:rPr>
        <w:t xml:space="preserve"> специальной военной операции получают льготы и поддержку: бесплатное питание в школах, освобождение от платы за детский сад, сертификаты на получение высшего образования. Все это делается для того, чтобы ни один ребенок не остался без возможности учиться.</w:t>
      </w:r>
      <w:r/>
    </w:p>
    <w:p>
      <w:pPr>
        <w:ind w:firstLine="709"/>
        <w:jc w:val="both"/>
        <w:spacing w:after="0"/>
      </w:pPr>
      <w:r>
        <w:rPr>
          <w:rFonts w:ascii="Times New Roman" w:hAnsi="Times New Roman"/>
          <w:sz w:val="28"/>
          <w:szCs w:val="28"/>
        </w:rPr>
        <w:t xml:space="preserve">Но право на образование касается не только детей. Взрослые тоже име</w:t>
      </w:r>
      <w:r>
        <w:rPr>
          <w:rFonts w:ascii="Times New Roman" w:hAnsi="Times New Roman"/>
          <w:sz w:val="28"/>
          <w:szCs w:val="28"/>
        </w:rPr>
        <w:t xml:space="preserve">ют право повышать свою квалификацию, осваивать новые профессии, получать дополнительное образование. В современном мире учиться нужно всю жизнь — технологии меняются очень быстро, и чтобы оставаться востребованным специалистом, важно постоянно развиваться.</w:t>
      </w:r>
      <w:r/>
    </w:p>
    <w:p>
      <w:pPr>
        <w:ind w:firstLine="709"/>
        <w:jc w:val="both"/>
        <w:spacing w:after="0"/>
      </w:pPr>
      <w:r>
        <w:rPr>
          <w:rFonts w:ascii="Times New Roman" w:hAnsi="Times New Roman"/>
          <w:sz w:val="28"/>
          <w:szCs w:val="28"/>
        </w:rPr>
        <w:t xml:space="preserve">Конечно, у нас еще есть проблемы, которые нужно решать. Где-то не хватает учителей, особенно по таким предметам, как математика, русский язык, иностран</w:t>
      </w:r>
      <w:r>
        <w:rPr>
          <w:rFonts w:ascii="Times New Roman" w:hAnsi="Times New Roman"/>
          <w:sz w:val="28"/>
          <w:szCs w:val="28"/>
        </w:rPr>
        <w:t xml:space="preserve">ные языки и начальные классы. Где-то школы нуждаются в ремонте или новом оборудовании. Не все дети сразу идут учиться после окончания школы, а кто-то и вовсе пропускает занятия без уважительных причин. Но мы видим прогресс: открываются профильные классы и </w:t>
      </w:r>
      <w:r>
        <w:rPr>
          <w:rFonts w:ascii="Times New Roman" w:hAnsi="Times New Roman"/>
          <w:sz w:val="28"/>
          <w:szCs w:val="28"/>
        </w:rPr>
        <w:t xml:space="preserve">кванториумы</w:t>
      </w:r>
      <w:r>
        <w:rPr>
          <w:rFonts w:ascii="Times New Roman" w:hAnsi="Times New Roman"/>
          <w:sz w:val="28"/>
          <w:szCs w:val="28"/>
        </w:rPr>
        <w:t xml:space="preserve">, внедряются цифровые технологии, поддерживаются талантливые дети и молодые педагоги.</w:t>
      </w:r>
      <w:r/>
    </w:p>
    <w:p>
      <w:pPr>
        <w:ind w:firstLine="709"/>
        <w:jc w:val="both"/>
        <w:spacing w:after="0"/>
        <w:rPr>
          <w:rFonts w:ascii="Times New Roman" w:hAnsi="Times New Roman"/>
          <w:sz w:val="28"/>
          <w:szCs w:val="28"/>
        </w:rPr>
      </w:pPr>
      <w:r>
        <w:rPr>
          <w:rFonts w:ascii="Times New Roman" w:hAnsi="Times New Roman"/>
          <w:sz w:val="28"/>
          <w:szCs w:val="28"/>
        </w:rPr>
        <w:t xml:space="preserve">Моя зада</w:t>
      </w:r>
      <w:r>
        <w:rPr>
          <w:rFonts w:ascii="Times New Roman" w:hAnsi="Times New Roman"/>
          <w:sz w:val="28"/>
          <w:szCs w:val="28"/>
        </w:rPr>
        <w:t xml:space="preserve">ча как Уполномоченного по правам человека в Ивановской области — следить за тем, чтобы право на образование действительно реализовывалось для каждого. Чтобы ни один ребенок не был лишен возможности учиться из-за своего здоровья, семейного положения или мес</w:t>
      </w:r>
      <w:r>
        <w:rPr>
          <w:rFonts w:ascii="Times New Roman" w:hAnsi="Times New Roman"/>
          <w:sz w:val="28"/>
          <w:szCs w:val="28"/>
        </w:rPr>
        <w:t xml:space="preserve">та жительства. Чтобы учителя чувствовали поддержку и могли сосредоточиться на своей главной миссии — давать знания и воспитывать подрастающее поколение. Чтобы родители были уверены: их дети получат качественное образование и смогут добиться успеха в жизни.</w:t>
      </w:r>
      <w:r>
        <w:rPr>
          <w:rFonts w:ascii="Times New Roman" w:hAnsi="Times New Roman"/>
          <w:sz w:val="28"/>
          <w:szCs w:val="28"/>
        </w:rPr>
      </w:r>
      <w:r>
        <w:rPr>
          <w:rFonts w:ascii="Times New Roman" w:hAnsi="Times New Roman"/>
          <w:sz w:val="28"/>
          <w:szCs w:val="28"/>
        </w:rPr>
      </w:r>
    </w:p>
    <w:p>
      <w:pPr>
        <w:ind w:firstLine="709"/>
        <w:jc w:val="both"/>
        <w:spacing w:after="0"/>
      </w:pPr>
      <w:r>
        <w:rPr>
          <w:rFonts w:ascii="Times New Roman" w:hAnsi="Times New Roman"/>
          <w:sz w:val="28"/>
          <w:szCs w:val="28"/>
        </w:rPr>
        <w:t xml:space="preserve">В 2025 году в адрес Уполномоченного по вопросам образования поступило в общей сложности 60 обращений: 13 граждан обратились в </w:t>
      </w:r>
      <w:r>
        <w:rPr>
          <w:rFonts w:ascii="Times New Roman" w:hAnsi="Times New Roman"/>
          <w:sz w:val="28"/>
          <w:szCs w:val="28"/>
        </w:rPr>
        <w:t xml:space="preserve">письменной форме, а 47 — в устной. Анализ поступивших обращений показал, что основная часть заявителей обращалась с просьбами оказать содействие в зачислении в различные образовательные учреждения, в чем им ранее было отказано.</w:t>
      </w:r>
      <w:r/>
    </w:p>
    <w:p>
      <w:pPr>
        <w:ind w:firstLine="709"/>
        <w:jc w:val="both"/>
        <w:spacing w:after="0"/>
      </w:pPr>
      <w:r>
        <w:rPr>
          <w:rFonts w:ascii="Times New Roman" w:hAnsi="Times New Roman"/>
          <w:sz w:val="28"/>
          <w:szCs w:val="28"/>
        </w:rPr>
        <w:t xml:space="preserve">Тематика обращений была достаточно разнообразной, но можно выделить несколько ключ</w:t>
      </w:r>
      <w:r>
        <w:rPr>
          <w:rFonts w:ascii="Times New Roman" w:hAnsi="Times New Roman"/>
          <w:sz w:val="28"/>
          <w:szCs w:val="28"/>
        </w:rPr>
        <w:t xml:space="preserve">евых проблемных ситуаций. Граждане сталкивались с отказами при попытке зачислить детей в дошкольные образовательные организации — как правило, по причине отсутствия свободных мест в желаемом детском саду. Нередко родители хотели определить ребенка в учрежд</w:t>
      </w:r>
      <w:r>
        <w:rPr>
          <w:rFonts w:ascii="Times New Roman" w:hAnsi="Times New Roman"/>
          <w:sz w:val="28"/>
          <w:szCs w:val="28"/>
        </w:rPr>
        <w:t xml:space="preserve">ение рядом с домом, но из-за высокой загруженности ближайших детских садов получали отказ, а предложенные альтернативные варианты их не устраивали по разным причинам: удаленность от места жительства, отсутствие нужных групп или специализированных программ.</w:t>
      </w:r>
      <w:r/>
    </w:p>
    <w:p>
      <w:pPr>
        <w:ind w:firstLine="709"/>
        <w:jc w:val="both"/>
        <w:spacing w:after="0"/>
      </w:pPr>
      <w:r>
        <w:rPr>
          <w:rFonts w:ascii="Times New Roman" w:hAnsi="Times New Roman"/>
          <w:sz w:val="28"/>
          <w:szCs w:val="28"/>
        </w:rPr>
        <w:t xml:space="preserve">Часть обращений касалась зачисления в общеобразовательные школы. Заявители сообщали, что им отказали в приеме ребенка в школу по месту жительства — в ряде случаев это было связано с переполненностью </w:t>
      </w:r>
      <w:r>
        <w:rPr>
          <w:rFonts w:ascii="Times New Roman" w:hAnsi="Times New Roman"/>
          <w:sz w:val="28"/>
          <w:szCs w:val="28"/>
        </w:rPr>
        <w:t xml:space="preserve">классов, в других — в связи с отсутствием регистрации по месту прикрепления школы. Особенно остро эта проблема стояла для семей, недавно переехавших в Ивановскую область: они сталкивались с трудностями при устройстве детей в школы в новом месте жительства.</w:t>
      </w:r>
      <w:r/>
    </w:p>
    <w:p>
      <w:pPr>
        <w:ind w:firstLine="709"/>
        <w:jc w:val="both"/>
        <w:spacing w:after="0"/>
      </w:pPr>
      <w:r>
        <w:rPr>
          <w:rFonts w:ascii="Times New Roman" w:hAnsi="Times New Roman"/>
          <w:sz w:val="28"/>
          <w:szCs w:val="28"/>
        </w:rPr>
        <w:t xml:space="preserve">По каждому обращению была проведена тщательная проверка. В ходе рассмотрения обращений Уполномоченный взаимодействовал с образовательными организациями, органами местного самоуправления и Департаментом образования Ивановской области. </w:t>
      </w:r>
      <w:r/>
    </w:p>
    <w:p>
      <w:pPr>
        <w:ind w:firstLine="709"/>
        <w:jc w:val="both"/>
        <w:spacing w:after="0"/>
      </w:pPr>
      <w:r>
        <w:rPr>
          <w:rFonts w:ascii="Times New Roman" w:hAnsi="Times New Roman"/>
          <w:sz w:val="28"/>
          <w:szCs w:val="28"/>
        </w:rPr>
        <w:t xml:space="preserve">Работа с обращениями показала, что, несмотря на значительные успехи в развитии образовательной инфраструктуры и расширении доступности образования в Ивановской области, остаются отдельные проблемы, требующие внимания. К ним относятся: неравномерное распред</w:t>
      </w:r>
      <w:r>
        <w:rPr>
          <w:rFonts w:ascii="Times New Roman" w:hAnsi="Times New Roman"/>
          <w:sz w:val="28"/>
          <w:szCs w:val="28"/>
        </w:rPr>
        <w:t xml:space="preserve">еление нагрузки между образовательными учреждениями, недостаточная информированность граждан о порядке зачисления и имеющихся возможностях, а также необходимость совершенствования механизмов оперативного решения вопросов при возникновении спорных ситуаций.</w:t>
      </w:r>
      <w:r/>
    </w:p>
    <w:p>
      <w:pPr>
        <w:ind w:firstLine="709"/>
        <w:jc w:val="both"/>
        <w:spacing w:after="0"/>
        <w:rPr>
          <w:bCs/>
          <w:i/>
        </w:rPr>
      </w:pPr>
      <w:r>
        <w:rPr>
          <w:rFonts w:ascii="Times New Roman" w:hAnsi="Times New Roman"/>
          <w:i/>
          <w:iCs/>
          <w:sz w:val="28"/>
          <w:szCs w:val="28"/>
        </w:rPr>
        <w:t xml:space="preserve">В адрес Уполномоченного поступило обращение супруги участника специальной военной операции с просьбой о содействии в зачислении ее несовершеннолетнего ребенка в дошкольное образовательное учреждение города Иваново.</w:t>
      </w:r>
      <w:r>
        <w:rPr>
          <w:bCs/>
          <w:i/>
        </w:rPr>
      </w:r>
      <w:r>
        <w:rPr>
          <w:bCs/>
          <w:i/>
        </w:rPr>
      </w:r>
    </w:p>
    <w:p>
      <w:pPr>
        <w:ind w:firstLine="709"/>
        <w:jc w:val="both"/>
        <w:spacing w:after="0"/>
        <w:rPr>
          <w:bCs/>
          <w:i/>
        </w:rPr>
      </w:pPr>
      <w:r>
        <w:rPr>
          <w:rFonts w:ascii="Times New Roman" w:hAnsi="Times New Roman"/>
          <w:i/>
          <w:iCs/>
          <w:sz w:val="28"/>
          <w:szCs w:val="28"/>
        </w:rPr>
        <w:t xml:space="preserve">Учитывая особую социальную значимость обеспечения прав детей, особенно в семьях, связанных с государственной службой, мною </w:t>
      </w:r>
      <w:r>
        <w:rPr>
          <w:rFonts w:ascii="Times New Roman" w:hAnsi="Times New Roman"/>
          <w:i/>
          <w:iCs/>
          <w:sz w:val="28"/>
          <w:szCs w:val="28"/>
        </w:rPr>
        <w:t xml:space="preserve">незамедлительно был направлен соответствующий запрос в Управление образования Администрации города Иваново.</w:t>
      </w:r>
      <w:r>
        <w:rPr>
          <w:bCs/>
          <w:i/>
        </w:rPr>
      </w:r>
      <w:r>
        <w:rPr>
          <w:bCs/>
          <w:i/>
        </w:rPr>
      </w:r>
    </w:p>
    <w:p>
      <w:pPr>
        <w:ind w:firstLine="709"/>
        <w:jc w:val="both"/>
        <w:spacing w:after="0"/>
        <w:rPr>
          <w:bCs/>
          <w:i/>
        </w:rPr>
      </w:pPr>
      <w:r>
        <w:rPr>
          <w:rFonts w:ascii="Times New Roman" w:hAnsi="Times New Roman"/>
          <w:i/>
          <w:iCs/>
          <w:sz w:val="28"/>
          <w:szCs w:val="28"/>
        </w:rPr>
        <w:t xml:space="preserve">Благодаря оперативной и координированной работе профильного уп</w:t>
      </w:r>
      <w:r>
        <w:rPr>
          <w:rFonts w:ascii="Times New Roman" w:hAnsi="Times New Roman"/>
          <w:i/>
          <w:iCs/>
          <w:sz w:val="28"/>
          <w:szCs w:val="28"/>
        </w:rPr>
        <w:t xml:space="preserve">равления, вопрос был решен в кратчайшие сроки. Заявительнице выдано направление в желаемое дошкольное образовательное учреждение, что позволило обеспечить реализацию права ребенка на получение дошкольного образования в условиях, отвечающих интересам семьи.</w:t>
      </w:r>
      <w:r>
        <w:rPr>
          <w:bCs/>
          <w:i/>
        </w:rPr>
      </w:r>
      <w:r>
        <w:rPr>
          <w:bCs/>
          <w:i/>
        </w:rPr>
      </w:r>
    </w:p>
    <w:p>
      <w:pPr>
        <w:ind w:firstLine="709"/>
        <w:jc w:val="both"/>
        <w:spacing w:after="0"/>
        <w:rPr>
          <w:rFonts w:ascii="Times New Roman" w:hAnsi="Times New Roman"/>
          <w:sz w:val="28"/>
          <w:szCs w:val="28"/>
        </w:rPr>
      </w:pPr>
      <w:r>
        <w:rPr>
          <w:rFonts w:ascii="Times New Roman" w:hAnsi="Times New Roman"/>
          <w:sz w:val="28"/>
          <w:szCs w:val="28"/>
        </w:rPr>
        <w:t xml:space="preserve">На основании сведений, представленных Департаментом образования и науки Ивановской области, проанализируем реализацию этого права в регионе в 2025 году.</w:t>
      </w:r>
      <w:r>
        <w:rPr>
          <w:rFonts w:ascii="Times New Roman" w:hAnsi="Times New Roman"/>
          <w:sz w:val="28"/>
          <w:szCs w:val="28"/>
        </w:rPr>
      </w:r>
      <w:r>
        <w:rPr>
          <w:rFonts w:ascii="Times New Roman" w:hAnsi="Times New Roman"/>
          <w:sz w:val="28"/>
          <w:szCs w:val="28"/>
        </w:rPr>
      </w:r>
    </w:p>
    <w:p>
      <w:pPr>
        <w:ind w:firstLine="709"/>
        <w:jc w:val="both"/>
        <w:spacing w:after="0"/>
      </w:pPr>
      <w:r>
        <w:rPr>
          <w:rFonts w:ascii="Times New Roman" w:hAnsi="Times New Roman"/>
          <w:sz w:val="28"/>
          <w:szCs w:val="28"/>
        </w:rPr>
        <w:t xml:space="preserve">Деятельность Департамента образования и науки Ивановской области в 2025 году была направлена на реализацию на</w:t>
      </w:r>
      <w:r>
        <w:rPr>
          <w:rFonts w:ascii="Times New Roman" w:hAnsi="Times New Roman"/>
          <w:sz w:val="28"/>
          <w:szCs w:val="28"/>
        </w:rPr>
        <w:t xml:space="preserve">циональных проектов «Молодежь и дети», «Семья» и «Кадры», создание комфортных условий для обучающихся, укрепление материально-технической базы образовательных учреждений, развитие кадрового потенциала и поддержку профессионального самоопределения молодежи.</w:t>
      </w:r>
      <w:r>
        <w:rPr>
          <w:rFonts w:ascii="Times New Roman" w:hAnsi="Times New Roman"/>
          <w:sz w:val="28"/>
          <w:szCs w:val="28"/>
        </w:rPr>
        <w:t xml:space="preserve"> В рамках проекта «Все лучшее детям» проведен капитальный ремонт и оснащение оборудованием 12 общеобразовательных организ</w:t>
      </w:r>
      <w:r>
        <w:rPr>
          <w:rFonts w:ascii="Times New Roman" w:hAnsi="Times New Roman"/>
          <w:sz w:val="28"/>
          <w:szCs w:val="28"/>
        </w:rPr>
        <w:t xml:space="preserve">аций. В 209 школах закуплено оборудование для преподавания предметов «Труд (Технология)» и «Основы безопасности и защиты Родины», а на базе ГАУДПО ИО «Университет непрерывного образования и инноваций» создан ресурсный центр для методического сопровождения.</w:t>
      </w:r>
      <w:r/>
    </w:p>
    <w:p>
      <w:pPr>
        <w:ind w:firstLine="709"/>
        <w:jc w:val="both"/>
        <w:spacing w:after="0"/>
      </w:pPr>
      <w:r>
        <w:rPr>
          <w:rFonts w:ascii="Times New Roman" w:hAnsi="Times New Roman"/>
          <w:sz w:val="28"/>
          <w:szCs w:val="28"/>
        </w:rPr>
        <w:t xml:space="preserve">Значимые результаты достигнуты в сфере инфраструктурного развития: Шуйский многопрофильный колледж участвовал в нацпроекте «Молодежь и дети» — проведен ремонт кровли, фасада, </w:t>
      </w:r>
      <w:r>
        <w:rPr>
          <w:rFonts w:ascii="Times New Roman" w:hAnsi="Times New Roman"/>
          <w:sz w:val="28"/>
          <w:szCs w:val="28"/>
        </w:rPr>
        <w:t xml:space="preserve">отмостки</w:t>
      </w:r>
      <w:r>
        <w:rPr>
          <w:rFonts w:ascii="Times New Roman" w:hAnsi="Times New Roman"/>
          <w:sz w:val="28"/>
          <w:szCs w:val="28"/>
        </w:rPr>
        <w:t xml:space="preserve">, учебных мастерских и спортзала. Шуйский технологический колледж получил грант в 100 </w:t>
      </w:r>
      <w:r>
        <w:rPr>
          <w:rFonts w:ascii="Times New Roman" w:hAnsi="Times New Roman"/>
          <w:sz w:val="28"/>
          <w:szCs w:val="28"/>
        </w:rPr>
        <w:t xml:space="preserve">млн</w:t>
      </w:r>
      <w:r>
        <w:rPr>
          <w:rFonts w:ascii="Times New Roman" w:hAnsi="Times New Roman"/>
          <w:sz w:val="28"/>
          <w:szCs w:val="28"/>
        </w:rPr>
        <w:t xml:space="preserve"> рублей в рамках программы «</w:t>
      </w:r>
      <w:r>
        <w:rPr>
          <w:rFonts w:ascii="Times New Roman" w:hAnsi="Times New Roman"/>
          <w:sz w:val="28"/>
          <w:szCs w:val="28"/>
        </w:rPr>
        <w:t xml:space="preserve">Профессионалитет</w:t>
      </w:r>
      <w:r>
        <w:rPr>
          <w:rFonts w:ascii="Times New Roman" w:hAnsi="Times New Roman"/>
          <w:sz w:val="28"/>
          <w:szCs w:val="28"/>
        </w:rPr>
        <w:t xml:space="preserve">». В 21 школе отремонтированы кровли, в 22 школах благоустроены территории по проекту «Школьный двор». На подготовку объектов к учебному году направлено свыше 1,2 </w:t>
      </w:r>
      <w:r>
        <w:rPr>
          <w:rFonts w:ascii="Times New Roman" w:hAnsi="Times New Roman"/>
          <w:sz w:val="28"/>
          <w:szCs w:val="28"/>
        </w:rPr>
        <w:t xml:space="preserve">млрд</w:t>
      </w:r>
      <w:r>
        <w:rPr>
          <w:rFonts w:ascii="Times New Roman" w:hAnsi="Times New Roman"/>
          <w:sz w:val="28"/>
          <w:szCs w:val="28"/>
        </w:rPr>
        <w:t xml:space="preserve"> рублей. Организован подвоз 6 тыс. обучающихся по 331 маршруту с использованием 197 школьных автобусов, включая 10 машин, полученных централизованно. К началу учебного года подвозом </w:t>
      </w:r>
      <w:r>
        <w:rPr>
          <w:rFonts w:ascii="Times New Roman" w:hAnsi="Times New Roman"/>
          <w:sz w:val="28"/>
          <w:szCs w:val="28"/>
        </w:rPr>
        <w:t xml:space="preserve">обеспечены</w:t>
      </w:r>
      <w:r>
        <w:rPr>
          <w:rFonts w:ascii="Times New Roman" w:hAnsi="Times New Roman"/>
          <w:sz w:val="28"/>
          <w:szCs w:val="28"/>
        </w:rPr>
        <w:t xml:space="preserve"> 100 % нуждающихся.</w:t>
      </w:r>
      <w:r/>
    </w:p>
    <w:p>
      <w:pPr>
        <w:ind w:firstLine="709"/>
        <w:jc w:val="both"/>
        <w:spacing w:after="0"/>
      </w:pPr>
      <w:r>
        <w:rPr>
          <w:rFonts w:ascii="Times New Roman" w:hAnsi="Times New Roman"/>
          <w:sz w:val="28"/>
          <w:szCs w:val="28"/>
        </w:rPr>
        <w:t xml:space="preserve">В рамках регионального проекта «Поддержка семьи» проведен капитальный ремонт двух зданий МБДОУ детского сада № 99 г. Иваново и 81 детского сада, объем финансирования составил 447,3 </w:t>
      </w:r>
      <w:r>
        <w:rPr>
          <w:rFonts w:ascii="Times New Roman" w:hAnsi="Times New Roman"/>
          <w:sz w:val="28"/>
          <w:szCs w:val="28"/>
        </w:rPr>
        <w:t xml:space="preserve">млн</w:t>
      </w:r>
      <w:r>
        <w:rPr>
          <w:rFonts w:ascii="Times New Roman" w:hAnsi="Times New Roman"/>
          <w:sz w:val="28"/>
          <w:szCs w:val="28"/>
        </w:rPr>
        <w:t xml:space="preserve"> рублей. По итогам 2025 года все показатели национальных проектов выполнены, а по ряду направлений достигнуты более высокие значения. Доля детей 5–18 лет, охваченных программами дополнительного образования, составила 81,96 % </w:t>
      </w:r>
      <w:r>
        <w:rPr>
          <w:rFonts w:ascii="Times New Roman" w:hAnsi="Times New Roman"/>
          <w:sz w:val="28"/>
          <w:szCs w:val="28"/>
        </w:rPr>
        <w:t xml:space="preserve">(</w:t>
      </w:r>
      <w:r>
        <w:rPr>
          <w:rFonts w:ascii="Times New Roman" w:hAnsi="Times New Roman"/>
          <w:sz w:val="28"/>
          <w:szCs w:val="28"/>
        </w:rPr>
        <w:t xml:space="preserve">план — 80,25 %). В ресурс «Таланты России» внесены сведения о 7 145 достижениях (+ 1 282 к 2024 году), победителями и призерами стали 3 373 человека (+ 624). Показатель доли детей и молодежи 7–35 лет с выявленными талантами достиг 1,2 % (при плане 0,76 %).</w:t>
      </w:r>
      <w:r/>
    </w:p>
    <w:p>
      <w:pPr>
        <w:ind w:firstLine="709"/>
        <w:jc w:val="both"/>
        <w:spacing w:after="0"/>
      </w:pPr>
      <w:r>
        <w:rPr>
          <w:rFonts w:ascii="Times New Roman" w:hAnsi="Times New Roman"/>
          <w:sz w:val="28"/>
          <w:szCs w:val="28"/>
        </w:rPr>
        <w:t xml:space="preserve">Приоритетом региональной политики стала поддержка одаренных детей. На базе центра «</w:t>
      </w:r>
      <w:r>
        <w:rPr>
          <w:rFonts w:ascii="Times New Roman" w:hAnsi="Times New Roman"/>
          <w:sz w:val="28"/>
          <w:szCs w:val="28"/>
        </w:rPr>
        <w:t xml:space="preserve">Солярис</w:t>
      </w:r>
      <w:r>
        <w:rPr>
          <w:rFonts w:ascii="Times New Roman" w:hAnsi="Times New Roman"/>
          <w:sz w:val="28"/>
          <w:szCs w:val="28"/>
        </w:rPr>
        <w:t xml:space="preserve">» реализуются 40 программ по направлениям «Наука», «Искусство», «Спорт», запущены проекты «Мобильный </w:t>
      </w:r>
      <w:r>
        <w:rPr>
          <w:rFonts w:ascii="Times New Roman" w:hAnsi="Times New Roman"/>
          <w:sz w:val="28"/>
          <w:szCs w:val="28"/>
        </w:rPr>
        <w:t xml:space="preserve">Солярис</w:t>
      </w:r>
      <w:r>
        <w:rPr>
          <w:rFonts w:ascii="Times New Roman" w:hAnsi="Times New Roman"/>
          <w:sz w:val="28"/>
          <w:szCs w:val="28"/>
        </w:rPr>
        <w:t xml:space="preserve">», «Уроки в </w:t>
      </w:r>
      <w:r>
        <w:rPr>
          <w:rFonts w:ascii="Times New Roman" w:hAnsi="Times New Roman"/>
          <w:sz w:val="28"/>
          <w:szCs w:val="28"/>
        </w:rPr>
        <w:t xml:space="preserve">Солярисе</w:t>
      </w:r>
      <w:r>
        <w:rPr>
          <w:rFonts w:ascii="Times New Roman" w:hAnsi="Times New Roman"/>
          <w:sz w:val="28"/>
          <w:szCs w:val="28"/>
        </w:rPr>
        <w:t xml:space="preserve">» и «Больше, чем учитель». Аудитория проекта «СЛОН» превысила 60 </w:t>
      </w:r>
      <w:r>
        <w:rPr>
          <w:rFonts w:ascii="Times New Roman" w:hAnsi="Times New Roman"/>
          <w:sz w:val="28"/>
          <w:szCs w:val="28"/>
        </w:rPr>
        <w:t xml:space="preserve">млн</w:t>
      </w:r>
      <w:r>
        <w:rPr>
          <w:rFonts w:ascii="Times New Roman" w:hAnsi="Times New Roman"/>
          <w:sz w:val="28"/>
          <w:szCs w:val="28"/>
        </w:rPr>
        <w:t xml:space="preserve"> слушателей. Развиваются направления </w:t>
      </w:r>
      <w:r>
        <w:rPr>
          <w:rFonts w:ascii="Times New Roman" w:hAnsi="Times New Roman"/>
          <w:sz w:val="28"/>
          <w:szCs w:val="28"/>
        </w:rPr>
        <w:t xml:space="preserve">естественно-научного</w:t>
      </w:r>
      <w:r>
        <w:rPr>
          <w:rFonts w:ascii="Times New Roman" w:hAnsi="Times New Roman"/>
          <w:sz w:val="28"/>
          <w:szCs w:val="28"/>
        </w:rPr>
        <w:t xml:space="preserve"> и технического творчества: работают 6 </w:t>
      </w:r>
      <w:r>
        <w:rPr>
          <w:rFonts w:ascii="Times New Roman" w:hAnsi="Times New Roman"/>
          <w:sz w:val="28"/>
          <w:szCs w:val="28"/>
        </w:rPr>
        <w:t xml:space="preserve">Школьных</w:t>
      </w:r>
      <w:r>
        <w:rPr>
          <w:rFonts w:ascii="Times New Roman" w:hAnsi="Times New Roman"/>
          <w:sz w:val="28"/>
          <w:szCs w:val="28"/>
        </w:rPr>
        <w:t xml:space="preserve"> </w:t>
      </w:r>
      <w:r>
        <w:rPr>
          <w:rFonts w:ascii="Times New Roman" w:hAnsi="Times New Roman"/>
          <w:sz w:val="28"/>
          <w:szCs w:val="28"/>
        </w:rPr>
        <w:t xml:space="preserve">кванториумов</w:t>
      </w:r>
      <w:r>
        <w:rPr>
          <w:rFonts w:ascii="Times New Roman" w:hAnsi="Times New Roman"/>
          <w:sz w:val="28"/>
          <w:szCs w:val="28"/>
        </w:rPr>
        <w:t xml:space="preserve"> и 142 центра «Точка роста». С 1 сентября 2025 года в 78 школах </w:t>
      </w:r>
      <w:r>
        <w:rPr>
          <w:rFonts w:ascii="Times New Roman" w:hAnsi="Times New Roman"/>
          <w:sz w:val="28"/>
          <w:szCs w:val="28"/>
        </w:rPr>
        <w:t xml:space="preserve">открыты</w:t>
      </w:r>
      <w:r>
        <w:rPr>
          <w:rFonts w:ascii="Times New Roman" w:hAnsi="Times New Roman"/>
          <w:sz w:val="28"/>
          <w:szCs w:val="28"/>
        </w:rPr>
        <w:t xml:space="preserve"> 125 профильных классов, включая 37 </w:t>
      </w:r>
      <w:r>
        <w:rPr>
          <w:rFonts w:ascii="Times New Roman" w:hAnsi="Times New Roman"/>
          <w:sz w:val="28"/>
          <w:szCs w:val="28"/>
        </w:rPr>
        <w:t xml:space="preserve">агроклассов</w:t>
      </w:r>
      <w:r>
        <w:rPr>
          <w:rFonts w:ascii="Times New Roman" w:hAnsi="Times New Roman"/>
          <w:sz w:val="28"/>
          <w:szCs w:val="28"/>
        </w:rPr>
        <w:t xml:space="preserve">, 48 психолого-педагогических, 18 медицинских и 22 инженерных. Ивановская область лидирует по выбору выпускниками предметов </w:t>
      </w:r>
      <w:r>
        <w:rPr>
          <w:rFonts w:ascii="Times New Roman" w:hAnsi="Times New Roman"/>
          <w:sz w:val="28"/>
          <w:szCs w:val="28"/>
        </w:rPr>
        <w:t xml:space="preserve">естественно-научного</w:t>
      </w:r>
      <w:r>
        <w:rPr>
          <w:rFonts w:ascii="Times New Roman" w:hAnsi="Times New Roman"/>
          <w:sz w:val="28"/>
          <w:szCs w:val="28"/>
        </w:rPr>
        <w:t xml:space="preserve"> профиля на ЕГЭ (39,79 % при среднем по России 33,24 %).</w:t>
      </w:r>
      <w:r/>
    </w:p>
    <w:p>
      <w:pPr>
        <w:ind w:firstLine="709"/>
        <w:jc w:val="both"/>
        <w:spacing w:after="0"/>
      </w:pPr>
      <w:r>
        <w:rPr>
          <w:rFonts w:ascii="Times New Roman" w:hAnsi="Times New Roman"/>
          <w:sz w:val="28"/>
          <w:szCs w:val="28"/>
        </w:rPr>
        <w:t xml:space="preserve">Реализованы меры социальной поддержки семей:</w:t>
      </w:r>
      <w:r/>
    </w:p>
    <w:p>
      <w:pPr>
        <w:pStyle w:val="1227"/>
        <w:numPr>
          <w:ilvl w:val="0"/>
          <w:numId w:val="145"/>
        </w:numPr>
        <w:ind w:left="0" w:firstLine="709"/>
        <w:jc w:val="both"/>
        <w:spacing w:line="276" w:lineRule="auto"/>
        <w:rPr>
          <w:lang w:val="ru-RU"/>
        </w:rPr>
      </w:pPr>
      <w:r>
        <w:rPr>
          <w:rFonts w:ascii="Times New Roman" w:hAnsi="Times New Roman"/>
          <w:sz w:val="28"/>
          <w:szCs w:val="28"/>
          <w:lang w:val="ru-RU"/>
        </w:rPr>
        <w:t xml:space="preserve">освобождение от родительской платы за присмотр и уход в ДОУ для 7 800 детей из многодетных семей;</w:t>
      </w:r>
      <w:r>
        <w:rPr>
          <w:lang w:val="ru-RU"/>
        </w:rPr>
      </w:r>
      <w:r>
        <w:rPr>
          <w:lang w:val="ru-RU"/>
        </w:rPr>
      </w:r>
    </w:p>
    <w:p>
      <w:pPr>
        <w:pStyle w:val="1227"/>
        <w:numPr>
          <w:ilvl w:val="0"/>
          <w:numId w:val="145"/>
        </w:numPr>
        <w:ind w:left="0" w:firstLine="709"/>
        <w:jc w:val="both"/>
        <w:spacing w:line="276" w:lineRule="auto"/>
        <w:rPr>
          <w:lang w:val="ru-RU"/>
        </w:rPr>
      </w:pPr>
      <w:r>
        <w:rPr>
          <w:rFonts w:ascii="Times New Roman" w:hAnsi="Times New Roman"/>
          <w:sz w:val="28"/>
          <w:szCs w:val="28"/>
          <w:lang w:val="ru-RU"/>
        </w:rPr>
        <w:t xml:space="preserve">бесплатное питание для 7 577 учащихся 5–11</w:t>
      </w:r>
      <w:r>
        <w:rPr>
          <w:rFonts w:hint="eastAsia" w:ascii="MS Mincho" w:hAnsi="MS Mincho" w:eastAsia="MS Mincho" w:cs="MS Mincho"/>
          <w:sz w:val="28"/>
          <w:szCs w:val="28"/>
          <w:lang w:val="ru-RU"/>
        </w:rPr>
        <w:t xml:space="preserve">‑</w:t>
      </w:r>
      <w:r>
        <w:rPr>
          <w:rFonts w:ascii="Times New Roman" w:hAnsi="Times New Roman"/>
          <w:sz w:val="28"/>
          <w:szCs w:val="28"/>
          <w:lang w:val="ru-RU"/>
        </w:rPr>
        <w:t xml:space="preserve">х</w:t>
      </w:r>
      <w:r>
        <w:rPr>
          <w:rFonts w:ascii="Times New Roman" w:hAnsi="Times New Roman"/>
          <w:sz w:val="28"/>
          <w:szCs w:val="28"/>
          <w:lang w:val="ru-RU"/>
        </w:rPr>
        <w:t xml:space="preserve"> классов из многодетных семей и 2 517 детей участников СВО;</w:t>
      </w:r>
      <w:r>
        <w:rPr>
          <w:lang w:val="ru-RU"/>
        </w:rPr>
      </w:r>
      <w:r>
        <w:rPr>
          <w:lang w:val="ru-RU"/>
        </w:rPr>
      </w:r>
    </w:p>
    <w:p>
      <w:pPr>
        <w:pStyle w:val="1227"/>
        <w:numPr>
          <w:ilvl w:val="0"/>
          <w:numId w:val="145"/>
        </w:numPr>
        <w:ind w:left="0" w:firstLine="709"/>
        <w:jc w:val="both"/>
        <w:spacing w:line="276" w:lineRule="auto"/>
        <w:rPr>
          <w:lang w:val="ru-RU"/>
        </w:rPr>
      </w:pPr>
      <w:r>
        <w:rPr>
          <w:rFonts w:ascii="Times New Roman" w:hAnsi="Times New Roman"/>
          <w:sz w:val="28"/>
          <w:szCs w:val="28"/>
          <w:lang w:val="ru-RU"/>
        </w:rPr>
        <w:t xml:space="preserve">дополнительное питание для 1 712 младших школьников из семей участников СВО;</w:t>
      </w:r>
      <w:r>
        <w:rPr>
          <w:lang w:val="ru-RU"/>
        </w:rPr>
      </w:r>
      <w:r>
        <w:rPr>
          <w:lang w:val="ru-RU"/>
        </w:rPr>
      </w:r>
    </w:p>
    <w:p>
      <w:pPr>
        <w:pStyle w:val="1227"/>
        <w:numPr>
          <w:ilvl w:val="0"/>
          <w:numId w:val="145"/>
        </w:numPr>
        <w:ind w:left="0" w:firstLine="709"/>
        <w:jc w:val="both"/>
        <w:spacing w:line="276" w:lineRule="auto"/>
        <w:rPr>
          <w:lang w:val="ru-RU"/>
        </w:rPr>
      </w:pPr>
      <w:r>
        <w:rPr>
          <w:rFonts w:ascii="Times New Roman" w:hAnsi="Times New Roman"/>
          <w:sz w:val="28"/>
          <w:szCs w:val="28"/>
          <w:lang w:val="ru-RU"/>
        </w:rPr>
        <w:t xml:space="preserve">льготы по родительской плате за детский сад (25 % на первого ребенка, 55 % на второго, бесплатно — для </w:t>
      </w:r>
      <w:r>
        <w:rPr>
          <w:rFonts w:ascii="Times New Roman" w:hAnsi="Times New Roman"/>
          <w:sz w:val="28"/>
          <w:szCs w:val="28"/>
          <w:lang w:val="ru-RU"/>
        </w:rPr>
        <w:t xml:space="preserve">многодетных</w:t>
      </w:r>
      <w:r>
        <w:rPr>
          <w:rFonts w:ascii="Times New Roman" w:hAnsi="Times New Roman"/>
          <w:sz w:val="28"/>
          <w:szCs w:val="28"/>
          <w:lang w:val="ru-RU"/>
        </w:rPr>
        <w:t xml:space="preserve">);</w:t>
      </w:r>
      <w:r>
        <w:rPr>
          <w:lang w:val="ru-RU"/>
        </w:rPr>
      </w:r>
      <w:r>
        <w:rPr>
          <w:lang w:val="ru-RU"/>
        </w:rPr>
      </w:r>
    </w:p>
    <w:p>
      <w:pPr>
        <w:pStyle w:val="1227"/>
        <w:numPr>
          <w:ilvl w:val="0"/>
          <w:numId w:val="145"/>
        </w:numPr>
        <w:ind w:left="0" w:firstLine="709"/>
        <w:jc w:val="both"/>
        <w:spacing w:line="276" w:lineRule="auto"/>
        <w:rPr>
          <w:lang w:val="ru-RU"/>
        </w:rPr>
      </w:pPr>
      <w:r>
        <w:rPr>
          <w:rFonts w:ascii="Times New Roman" w:hAnsi="Times New Roman"/>
          <w:sz w:val="28"/>
          <w:szCs w:val="28"/>
          <w:lang w:val="ru-RU"/>
        </w:rPr>
        <w:t xml:space="preserve">4 481 сертификат на получение высшего образования для детей участников СВО, из них 1 075 — в 2025 году.</w:t>
      </w:r>
      <w:r>
        <w:rPr>
          <w:lang w:val="ru-RU"/>
        </w:rPr>
      </w:r>
      <w:r>
        <w:rPr>
          <w:lang w:val="ru-RU"/>
        </w:rPr>
      </w:r>
    </w:p>
    <w:p>
      <w:pPr>
        <w:ind w:firstLine="709"/>
        <w:jc w:val="both"/>
        <w:spacing w:after="0"/>
      </w:pPr>
      <w:r>
        <w:rPr>
          <w:rFonts w:ascii="Times New Roman" w:hAnsi="Times New Roman"/>
          <w:sz w:val="28"/>
          <w:szCs w:val="28"/>
        </w:rPr>
        <w:t xml:space="preserve">Особое внимание уделено защите прав детей с ОВЗ и инвалидностью. В общеобразовательных организациях обучается 4 356 учащихся с ОВЗ (1 186 имеют инвалидность) и 622 ребенка-инвалида без статуса ОВЗ. Центральная </w:t>
      </w:r>
      <w:r>
        <w:rPr>
          <w:rFonts w:ascii="Times New Roman" w:hAnsi="Times New Roman"/>
          <w:sz w:val="28"/>
          <w:szCs w:val="28"/>
        </w:rPr>
        <w:t xml:space="preserve">психолого-медико-педагогическая</w:t>
      </w:r>
      <w:r>
        <w:rPr>
          <w:rFonts w:ascii="Times New Roman" w:hAnsi="Times New Roman"/>
          <w:sz w:val="28"/>
          <w:szCs w:val="28"/>
        </w:rPr>
        <w:t xml:space="preserve"> комиссия провела 5 131 консультацию и выдала 2 080 рекомендаций. Создана сеть консультационных пункт</w:t>
      </w:r>
      <w:r>
        <w:rPr>
          <w:rFonts w:ascii="Times New Roman" w:hAnsi="Times New Roman"/>
          <w:sz w:val="28"/>
          <w:szCs w:val="28"/>
        </w:rPr>
        <w:t xml:space="preserve">ов во всех муниципальных образованиях. 110 детей с РАС обучаются по адаптированным программам, более 70 % — в коррекционных организациях. Функционирует региональный ресурсный центр по сопровождению детей с РАС и Служба ранней помощи. С февраля 2023 года ре</w:t>
      </w:r>
      <w:r>
        <w:rPr>
          <w:rFonts w:ascii="Times New Roman" w:hAnsi="Times New Roman"/>
          <w:sz w:val="28"/>
          <w:szCs w:val="28"/>
        </w:rPr>
        <w:t xml:space="preserve">ализуется проект «Ресурсный класс» на базе МБОУ «Средняя школа № 68» г. Иванова. По программе «Доступная среда» обеспечен 100 % охват дошкольным образованием детей-инвалидов 1,5–7 лет и общим образованием школьников-инвалидов, 50 % получают дополнительное </w:t>
      </w:r>
      <w:r>
        <w:rPr>
          <w:rFonts w:ascii="Times New Roman" w:hAnsi="Times New Roman"/>
          <w:sz w:val="28"/>
          <w:szCs w:val="28"/>
        </w:rPr>
        <w:t xml:space="preserve">образование. Сохранен 100 % охват дистанционным образованием детей-инвалидов без противопоказаний. В чемпионате «</w:t>
      </w:r>
      <w:r>
        <w:rPr>
          <w:rFonts w:ascii="Times New Roman" w:hAnsi="Times New Roman"/>
          <w:sz w:val="28"/>
          <w:szCs w:val="28"/>
        </w:rPr>
        <w:t xml:space="preserve">Абилимпикс</w:t>
      </w:r>
      <w:r>
        <w:rPr>
          <w:rFonts w:ascii="Times New Roman" w:hAnsi="Times New Roman"/>
          <w:sz w:val="28"/>
          <w:szCs w:val="28"/>
        </w:rPr>
        <w:t xml:space="preserve">» участвовали 140 конкурсантов по 24 компетенциям. </w:t>
      </w:r>
      <w:r/>
    </w:p>
    <w:p>
      <w:pPr>
        <w:ind w:firstLine="709"/>
        <w:jc w:val="both"/>
        <w:spacing w:after="0"/>
      </w:pPr>
      <w:r>
        <w:rPr>
          <w:rFonts w:ascii="Times New Roman" w:hAnsi="Times New Roman"/>
          <w:sz w:val="28"/>
          <w:szCs w:val="28"/>
        </w:rPr>
        <w:t xml:space="preserve">Укреплена безопасность </w:t>
      </w:r>
      <w:r>
        <w:rPr>
          <w:rFonts w:ascii="Times New Roman" w:hAnsi="Times New Roman"/>
          <w:sz w:val="28"/>
          <w:szCs w:val="28"/>
        </w:rPr>
        <w:t xml:space="preserve">образовательной среды: во всех организациях разработаны антикризисные планы, проведены всероссийские учения с участием 268 учреждений. Введена инструкция по действиям при угрозе диверсионно-террористического акта с использованием БПЛА, алгоритм применения </w:t>
      </w:r>
      <w:r>
        <w:rPr>
          <w:rFonts w:ascii="Times New Roman" w:hAnsi="Times New Roman"/>
          <w:sz w:val="28"/>
          <w:szCs w:val="28"/>
        </w:rPr>
        <w:t xml:space="preserve">металлодетекторов</w:t>
      </w:r>
      <w:r>
        <w:rPr>
          <w:rFonts w:ascii="Times New Roman" w:hAnsi="Times New Roman"/>
          <w:sz w:val="28"/>
          <w:szCs w:val="28"/>
        </w:rPr>
        <w:t xml:space="preserve"> и методические рекомендации по укрытию населения.</w:t>
      </w:r>
      <w:r/>
    </w:p>
    <w:p>
      <w:pPr>
        <w:ind w:firstLine="709"/>
        <w:jc w:val="both"/>
        <w:spacing w:after="0"/>
      </w:pPr>
      <w:r>
        <w:rPr>
          <w:rFonts w:ascii="Times New Roman" w:hAnsi="Times New Roman"/>
          <w:sz w:val="28"/>
          <w:szCs w:val="28"/>
        </w:rPr>
        <w:t xml:space="preserve">Развивается система поддержки педагогических кадров. По программе «Земский учитель» </w:t>
      </w:r>
      <w:r>
        <w:rPr>
          <w:rFonts w:ascii="Times New Roman" w:hAnsi="Times New Roman"/>
          <w:sz w:val="28"/>
          <w:szCs w:val="28"/>
        </w:rPr>
        <w:t xml:space="preserve">приняты</w:t>
      </w:r>
      <w:r>
        <w:rPr>
          <w:rFonts w:ascii="Times New Roman" w:hAnsi="Times New Roman"/>
          <w:sz w:val="28"/>
          <w:szCs w:val="28"/>
        </w:rPr>
        <w:t xml:space="preserve"> 7 учителей, в т. ч. 3 из других регионов. Обеспечена деятельность 276 советников директоров и 4 402 классных руководителей с выплатой вознаграждений. Создана Региональная комиссия по защите профессиональной чести педагогов. </w:t>
      </w:r>
      <w:r>
        <w:rPr>
          <w:rFonts w:ascii="Times New Roman" w:hAnsi="Times New Roman"/>
          <w:sz w:val="28"/>
          <w:szCs w:val="28"/>
        </w:rPr>
        <w:t xml:space="preserve">Установлены</w:t>
      </w:r>
      <w:r>
        <w:rPr>
          <w:rFonts w:ascii="Times New Roman" w:hAnsi="Times New Roman"/>
          <w:sz w:val="28"/>
          <w:szCs w:val="28"/>
        </w:rPr>
        <w:t xml:space="preserve">:</w:t>
      </w:r>
      <w:r/>
    </w:p>
    <w:p>
      <w:pPr>
        <w:pStyle w:val="1227"/>
        <w:numPr>
          <w:ilvl w:val="0"/>
          <w:numId w:val="146"/>
        </w:numPr>
        <w:ind w:left="0" w:firstLine="709"/>
        <w:jc w:val="both"/>
        <w:spacing w:line="276" w:lineRule="auto"/>
        <w:rPr>
          <w:lang w:val="ru-RU"/>
        </w:rPr>
      </w:pPr>
      <w:r>
        <w:rPr>
          <w:rFonts w:ascii="Times New Roman" w:hAnsi="Times New Roman"/>
          <w:sz w:val="28"/>
          <w:szCs w:val="28"/>
          <w:lang w:val="ru-RU"/>
        </w:rPr>
        <w:t xml:space="preserve">единовременная выплата молодым педагогам для ипотеки (с 2026 года увеличена с 600 до 900 тыс. рублей);</w:t>
      </w:r>
      <w:r>
        <w:rPr>
          <w:lang w:val="ru-RU"/>
        </w:rPr>
      </w:r>
      <w:r>
        <w:rPr>
          <w:lang w:val="ru-RU"/>
        </w:rPr>
      </w:r>
    </w:p>
    <w:p>
      <w:pPr>
        <w:pStyle w:val="1227"/>
        <w:numPr>
          <w:ilvl w:val="0"/>
          <w:numId w:val="146"/>
        </w:numPr>
        <w:ind w:left="0" w:firstLine="709"/>
        <w:jc w:val="both"/>
        <w:spacing w:line="276" w:lineRule="auto"/>
        <w:rPr>
          <w:lang w:val="ru-RU"/>
        </w:rPr>
      </w:pPr>
      <w:r>
        <w:rPr>
          <w:rFonts w:ascii="Times New Roman" w:hAnsi="Times New Roman"/>
          <w:sz w:val="28"/>
          <w:szCs w:val="28"/>
          <w:lang w:val="ru-RU"/>
        </w:rPr>
        <w:t xml:space="preserve">ежемесячная выплата за классное руководство (3 тыс. рублей) и единовременная к началу года (10 тыс. рублей);</w:t>
      </w:r>
      <w:r>
        <w:rPr>
          <w:lang w:val="ru-RU"/>
        </w:rPr>
      </w:r>
      <w:r>
        <w:rPr>
          <w:lang w:val="ru-RU"/>
        </w:rPr>
      </w:r>
    </w:p>
    <w:p>
      <w:pPr>
        <w:pStyle w:val="1227"/>
        <w:numPr>
          <w:ilvl w:val="0"/>
          <w:numId w:val="146"/>
        </w:numPr>
        <w:ind w:left="0" w:firstLine="709"/>
        <w:jc w:val="both"/>
        <w:spacing w:line="276" w:lineRule="auto"/>
        <w:rPr>
          <w:lang w:val="ru-RU"/>
        </w:rPr>
      </w:pPr>
      <w:r>
        <w:rPr>
          <w:rFonts w:ascii="Times New Roman" w:hAnsi="Times New Roman"/>
          <w:sz w:val="28"/>
          <w:szCs w:val="28"/>
          <w:lang w:val="ru-RU"/>
        </w:rPr>
        <w:t xml:space="preserve">вознаграждение педагогам-наставникам за подготовку победителей олимпиад (100 тыс. рублей за всероссийский этап, 30 тыс. рублей за перечневые олимпиады);</w:t>
      </w:r>
      <w:r>
        <w:rPr>
          <w:lang w:val="ru-RU"/>
        </w:rPr>
      </w:r>
      <w:r>
        <w:rPr>
          <w:lang w:val="ru-RU"/>
        </w:rPr>
      </w:r>
    </w:p>
    <w:p>
      <w:pPr>
        <w:pStyle w:val="1227"/>
        <w:numPr>
          <w:ilvl w:val="0"/>
          <w:numId w:val="146"/>
        </w:numPr>
        <w:ind w:left="0" w:firstLine="709"/>
        <w:jc w:val="both"/>
        <w:spacing w:line="276" w:lineRule="auto"/>
        <w:rPr>
          <w:lang w:val="ru-RU"/>
        </w:rPr>
      </w:pPr>
      <w:r>
        <w:rPr>
          <w:rFonts w:ascii="Times New Roman" w:hAnsi="Times New Roman"/>
          <w:sz w:val="28"/>
          <w:szCs w:val="28"/>
          <w:lang w:val="ru-RU"/>
        </w:rPr>
        <w:t xml:space="preserve">компенсационные выплаты на оплату жилья, отопления и освещения для сельских педагогов.</w:t>
      </w:r>
      <w:r>
        <w:rPr>
          <w:lang w:val="ru-RU"/>
        </w:rPr>
      </w:r>
      <w:r>
        <w:rPr>
          <w:lang w:val="ru-RU"/>
        </w:rPr>
      </w:r>
    </w:p>
    <w:p>
      <w:pPr>
        <w:ind w:firstLine="709"/>
        <w:jc w:val="both"/>
        <w:spacing w:after="0"/>
      </w:pPr>
      <w:r>
        <w:rPr>
          <w:rFonts w:ascii="Times New Roman" w:hAnsi="Times New Roman"/>
          <w:sz w:val="28"/>
          <w:szCs w:val="28"/>
        </w:rPr>
        <w:t xml:space="preserve">Цифровизация</w:t>
      </w:r>
      <w:r>
        <w:rPr>
          <w:rFonts w:ascii="Times New Roman" w:hAnsi="Times New Roman"/>
          <w:sz w:val="28"/>
          <w:szCs w:val="28"/>
        </w:rPr>
        <w:t xml:space="preserve"> охватывает все уровни образования: все школы имеют интернет, официальные сайты и </w:t>
      </w:r>
      <w:r>
        <w:rPr>
          <w:rFonts w:ascii="Times New Roman" w:hAnsi="Times New Roman"/>
          <w:sz w:val="28"/>
          <w:szCs w:val="28"/>
        </w:rPr>
        <w:t xml:space="preserve">аккаунты</w:t>
      </w:r>
      <w:r>
        <w:rPr>
          <w:rFonts w:ascii="Times New Roman" w:hAnsi="Times New Roman"/>
          <w:sz w:val="28"/>
          <w:szCs w:val="28"/>
        </w:rPr>
        <w:t xml:space="preserve"> в </w:t>
      </w:r>
      <w:r>
        <w:rPr>
          <w:rFonts w:ascii="Times New Roman" w:hAnsi="Times New Roman"/>
          <w:sz w:val="28"/>
          <w:szCs w:val="28"/>
        </w:rPr>
        <w:t xml:space="preserve">соцсетях</w:t>
      </w:r>
      <w:r>
        <w:rPr>
          <w:rFonts w:ascii="Times New Roman" w:hAnsi="Times New Roman"/>
          <w:sz w:val="28"/>
          <w:szCs w:val="28"/>
        </w:rPr>
        <w:t xml:space="preserve">. Поставлено новое компьютерное оборудование в 262 организации. ГИС «Цифровая образовательная платформа Ивановской области» интегрирована с ФГИС «Моя школа», активно используется платформа «</w:t>
      </w:r>
      <w:r>
        <w:rPr>
          <w:rFonts w:ascii="Times New Roman" w:hAnsi="Times New Roman"/>
          <w:sz w:val="28"/>
          <w:szCs w:val="28"/>
        </w:rPr>
        <w:t xml:space="preserve">Сферум</w:t>
      </w:r>
      <w:r>
        <w:rPr>
          <w:rFonts w:ascii="Times New Roman" w:hAnsi="Times New Roman"/>
          <w:sz w:val="28"/>
          <w:szCs w:val="28"/>
        </w:rPr>
        <w:t xml:space="preserve">». Более 85 % пользователей регионального портала дистанционного обучения — сельские школы.</w:t>
      </w:r>
      <w:r/>
    </w:p>
    <w:p>
      <w:pPr>
        <w:ind w:firstLine="709"/>
        <w:jc w:val="both"/>
        <w:spacing w:after="0"/>
      </w:pPr>
      <w:r>
        <w:rPr>
          <w:rFonts w:ascii="Times New Roman" w:hAnsi="Times New Roman"/>
          <w:sz w:val="28"/>
          <w:szCs w:val="28"/>
        </w:rPr>
        <w:t xml:space="preserve">Вместе с тем в ходе анализа ситуации</w:t>
      </w:r>
      <w:r>
        <w:rPr>
          <w:rFonts w:ascii="Times New Roman" w:hAnsi="Times New Roman"/>
          <w:sz w:val="28"/>
          <w:szCs w:val="28"/>
        </w:rPr>
        <w:t xml:space="preserve"> в сфере образования Ивановской области в 2025 году выявлены существенные проблемные зоны, требующие пристального внимания и целенаправленных мер. Прежде всего, остро стоит вопрос дефицита педагогических кадров: общая нехватка работников в системе образова</w:t>
      </w:r>
      <w:r>
        <w:rPr>
          <w:rFonts w:ascii="Times New Roman" w:hAnsi="Times New Roman"/>
          <w:sz w:val="28"/>
          <w:szCs w:val="28"/>
        </w:rPr>
        <w:t xml:space="preserve">ния достигла 439 человек, из них 269 — это учителя-предметники. Наиболее ощутима нехватка специалистов по ключевым дисциплинам: педагогам начальных классов, учителям математики, русского языка и иностранных языков — именно эти вакансии чаще всего остаются </w:t>
      </w:r>
      <w:r>
        <w:rPr>
          <w:rFonts w:ascii="Times New Roman" w:hAnsi="Times New Roman"/>
          <w:sz w:val="28"/>
          <w:szCs w:val="28"/>
        </w:rPr>
        <w:t xml:space="preserve">незаполненными, что напрямую влияет на качество образовательного процесса и нагрузку на работающих педагогов.</w:t>
      </w:r>
      <w:r/>
    </w:p>
    <w:p>
      <w:pPr>
        <w:ind w:firstLine="709"/>
        <w:jc w:val="both"/>
        <w:spacing w:after="0"/>
      </w:pPr>
      <w:r>
        <w:rPr>
          <w:rFonts w:ascii="Times New Roman" w:hAnsi="Times New Roman"/>
          <w:sz w:val="28"/>
          <w:szCs w:val="28"/>
        </w:rPr>
        <w:t xml:space="preserve">Еще одной серьезной проблемой стало то, что на 1 октября 2025 года 63 несовершеннолетних не приступили к учебе. </w:t>
      </w:r>
      <w:r>
        <w:rPr>
          <w:rFonts w:ascii="Times New Roman" w:hAnsi="Times New Roman"/>
          <w:sz w:val="28"/>
          <w:szCs w:val="28"/>
        </w:rPr>
        <w:t xml:space="preserve">В составе этой группы выделяются отдельные категории детей, нуждающиеся в особом сопровождении: 6 человек — из цыганских семей (среди них есть случаи раннего выхода девушек замуж по национальным обычаям, а также одна обучающаяся, уже имеющая ребенка), 9 че</w:t>
      </w:r>
      <w:r>
        <w:rPr>
          <w:rFonts w:ascii="Times New Roman" w:hAnsi="Times New Roman"/>
          <w:sz w:val="28"/>
          <w:szCs w:val="28"/>
        </w:rPr>
        <w:t xml:space="preserve">ловек — лица с ограниченными возможностями здоровья и инвалидностью. Причины непосещения разнообразны: от отсутствия контроля со стороны родителей и низкой мотивации к обучению до сложностей с социальной адаптацией и оформления перевода при переезде семьи.</w:t>
      </w:r>
      <w:r/>
    </w:p>
    <w:p>
      <w:pPr>
        <w:ind w:firstLine="709"/>
        <w:jc w:val="both"/>
        <w:spacing w:after="0"/>
      </w:pPr>
      <w:r>
        <w:rPr>
          <w:rFonts w:ascii="Times New Roman" w:hAnsi="Times New Roman"/>
          <w:sz w:val="28"/>
          <w:szCs w:val="28"/>
        </w:rPr>
        <w:t xml:space="preserve">Кроме того, отмечен рост числа случаев, когда семьи с детьми выезжают в другие регионы, но не оформляют </w:t>
      </w:r>
      <w:r>
        <w:rPr>
          <w:rFonts w:ascii="Times New Roman" w:hAnsi="Times New Roman"/>
          <w:sz w:val="28"/>
          <w:szCs w:val="28"/>
        </w:rPr>
        <w:t xml:space="preserve">перевод ребенка в новую образовательную организацию в установленном порядке. В 2025 году зафиксировано 8 таких ситуаций (для сравнения: в 2024 году их было 19), что создает риски выпадения несовершеннолетних из образовательного процесса, затрудняет учет и </w:t>
      </w:r>
      <w:r>
        <w:rPr>
          <w:rFonts w:ascii="Times New Roman" w:hAnsi="Times New Roman"/>
          <w:sz w:val="28"/>
          <w:szCs w:val="28"/>
        </w:rPr>
        <w:t xml:space="preserve">контроль за</w:t>
      </w:r>
      <w:r>
        <w:rPr>
          <w:rFonts w:ascii="Times New Roman" w:hAnsi="Times New Roman"/>
          <w:sz w:val="28"/>
          <w:szCs w:val="28"/>
        </w:rPr>
        <w:t xml:space="preserve"> соблюдением их права на получение образования. При этом даже сниже</w:t>
      </w:r>
      <w:r>
        <w:rPr>
          <w:rFonts w:ascii="Times New Roman" w:hAnsi="Times New Roman"/>
          <w:sz w:val="28"/>
          <w:szCs w:val="28"/>
        </w:rPr>
        <w:t xml:space="preserve">ние абсолютного числа подобных случаев не снижает актуальности задачи — необходимо совершенствовать механизмы межведомственного взаимодействия, чтобы своевременно выявлять таких детей и обеспечивать их включение в учебный процесс на новом месте жительства.</w:t>
      </w:r>
      <w:r/>
    </w:p>
    <w:p>
      <w:pPr>
        <w:ind w:firstLine="709"/>
        <w:jc w:val="both"/>
        <w:spacing w:after="0"/>
      </w:pPr>
      <w:r>
        <w:rPr>
          <w:rFonts w:ascii="Times New Roman" w:hAnsi="Times New Roman"/>
          <w:sz w:val="28"/>
          <w:szCs w:val="28"/>
        </w:rPr>
        <w:t xml:space="preserve">Эти проблемы указывают на необходимость комплексного подхода: усиления мер по при</w:t>
      </w:r>
      <w:r>
        <w:rPr>
          <w:rFonts w:ascii="Times New Roman" w:hAnsi="Times New Roman"/>
          <w:sz w:val="28"/>
          <w:szCs w:val="28"/>
        </w:rPr>
        <w:t xml:space="preserve">влечению и закреплению педагогических кадров, организации индивидуальной профилактической работы с несовершеннолетними, не посещающими школу, и повышения информированности родителей о порядке оформления образовательных отношений при смене места жительства.</w:t>
      </w:r>
      <w:r/>
    </w:p>
    <w:p>
      <w:pPr>
        <w:ind w:firstLine="709"/>
        <w:jc w:val="both"/>
        <w:spacing w:after="0"/>
        <w:rPr>
          <w:rFonts w:ascii="Times New Roman" w:hAnsi="Times New Roman"/>
          <w:sz w:val="28"/>
          <w:szCs w:val="28"/>
        </w:rPr>
      </w:pPr>
      <w:r>
        <w:rPr>
          <w:rFonts w:ascii="Times New Roman" w:hAnsi="Times New Roman"/>
          <w:sz w:val="28"/>
          <w:szCs w:val="28"/>
        </w:rPr>
        <w:t xml:space="preserve">Уполномоченный продолжит уделять пристальное внимание вопросам соблюдения п</w:t>
      </w:r>
      <w:r>
        <w:rPr>
          <w:rFonts w:ascii="Times New Roman" w:hAnsi="Times New Roman"/>
          <w:sz w:val="28"/>
          <w:szCs w:val="28"/>
        </w:rPr>
        <w:t xml:space="preserve">рава на образование, обеспечивать защиту интересов граждан и содействовать созданию условий, при которых каждый житель Ивановской области сможет реализовать свое конституционное право на получение качественного образования вне зависимости от обстоятельств.</w:t>
      </w:r>
      <w:r>
        <w:rPr>
          <w:rFonts w:ascii="Times New Roman" w:hAnsi="Times New Roman"/>
          <w:sz w:val="28"/>
          <w:szCs w:val="28"/>
        </w:rPr>
      </w:r>
      <w:r>
        <w:rPr>
          <w:rFonts w:ascii="Times New Roman" w:hAnsi="Times New Roman"/>
          <w:sz w:val="28"/>
          <w:szCs w:val="28"/>
        </w:rPr>
      </w:r>
    </w:p>
    <w:p>
      <w:pPr>
        <w:jc w:val="both"/>
        <w:spacing w:after="0"/>
        <w:rPr>
          <w:rFonts w:ascii="Times New Roman" w:hAnsi="Times New Roman"/>
          <w:sz w:val="28"/>
          <w:szCs w:val="28"/>
        </w:rPr>
      </w:pPr>
      <w:r>
        <w:rPr>
          <w:rFonts w:ascii="Times New Roman" w:hAnsi="Times New Roman"/>
          <w:sz w:val="28"/>
          <w:szCs w:val="28"/>
        </w:rPr>
      </w:r>
      <w:r>
        <w:rPr>
          <w:rFonts w:ascii="Times New Roman" w:hAnsi="Times New Roman"/>
          <w:sz w:val="28"/>
          <w:szCs w:val="28"/>
        </w:rPr>
      </w:r>
    </w:p>
    <w:p>
      <w:pPr>
        <w:jc w:val="both"/>
        <w:spacing w:after="0"/>
        <w:rPr>
          <w:rFonts w:ascii="Times New Roman" w:hAnsi="Times New Roman"/>
          <w:sz w:val="28"/>
          <w:szCs w:val="28"/>
        </w:rPr>
      </w:pPr>
      <w:r>
        <w:rPr>
          <w:rFonts w:ascii="Times New Roman" w:hAnsi="Times New Roman"/>
          <w:sz w:val="28"/>
          <w:szCs w:val="28"/>
        </w:rPr>
      </w:r>
      <w:r>
        <w:rPr>
          <w:rFonts w:ascii="Times New Roman" w:hAnsi="Times New Roman"/>
          <w:sz w:val="28"/>
          <w:szCs w:val="28"/>
        </w:rPr>
      </w:r>
    </w:p>
    <w:p>
      <w:pPr>
        <w:jc w:val="both"/>
        <w:spacing w:after="0"/>
        <w:rPr>
          <w:rFonts w:ascii="Times New Roman" w:hAnsi="Times New Roman"/>
          <w:sz w:val="28"/>
          <w:szCs w:val="28"/>
        </w:rPr>
      </w:pPr>
      <w:r>
        <w:rPr>
          <w:rFonts w:ascii="Times New Roman" w:hAnsi="Times New Roman"/>
          <w:sz w:val="28"/>
          <w:szCs w:val="28"/>
        </w:rPr>
      </w:r>
      <w:r>
        <w:rPr>
          <w:rFonts w:ascii="Times New Roman" w:hAnsi="Times New Roman"/>
          <w:sz w:val="28"/>
          <w:szCs w:val="28"/>
        </w:rPr>
      </w:r>
    </w:p>
    <w:p>
      <w:pPr>
        <w:jc w:val="both"/>
        <w:spacing w:after="0"/>
        <w:rPr>
          <w:rFonts w:ascii="Times New Roman" w:hAnsi="Times New Roman"/>
          <w:sz w:val="28"/>
          <w:szCs w:val="28"/>
        </w:rPr>
      </w:pPr>
      <w:r>
        <w:rPr>
          <w:rFonts w:ascii="Times New Roman" w:hAnsi="Times New Roman"/>
          <w:sz w:val="28"/>
          <w:szCs w:val="28"/>
        </w:rPr>
      </w:r>
      <w:r>
        <w:rPr>
          <w:rFonts w:ascii="Times New Roman" w:hAnsi="Times New Roman"/>
          <w:sz w:val="28"/>
          <w:szCs w:val="28"/>
        </w:rPr>
      </w:r>
      <w:r>
        <w:rPr>
          <w:rFonts w:ascii="Times New Roman" w:hAnsi="Times New Roman"/>
          <w:sz w:val="28"/>
          <w:szCs w:val="28"/>
        </w:rPr>
      </w:r>
    </w:p>
    <w:p>
      <w:pPr>
        <w:pStyle w:val="1226"/>
        <w:rPr>
          <w:rFonts w:ascii="Times New Roman" w:hAnsi="Times New Roman"/>
          <w:b/>
          <w:sz w:val="28"/>
          <w:szCs w:val="28"/>
        </w:rPr>
      </w:pPr>
      <w:r/>
      <w:bookmarkStart w:id="48" w:name="_Toc26"/>
      <w:r>
        <w:rPr>
          <w:rStyle w:val="1252"/>
          <w:rFonts w:ascii="Times New Roman" w:hAnsi="Times New Roman" w:eastAsia="Times New Roman" w:cs="Times New Roman"/>
          <w:color w:val="000000" w:themeColor="text1"/>
          <w:sz w:val="28"/>
          <w:szCs w:val="28"/>
        </w:rPr>
        <w:t xml:space="preserve">Уполномоченный рекомендует</w:t>
      </w:r>
      <w:r>
        <w:rPr>
          <w:rFonts w:ascii="Times New Roman" w:hAnsi="Times New Roman"/>
          <w:b/>
          <w:sz w:val="28"/>
          <w:szCs w:val="28"/>
        </w:rPr>
        <w:t xml:space="preserve">:</w:t>
      </w:r>
      <w:r>
        <w:rPr>
          <w:rFonts w:ascii="Times New Roman" w:hAnsi="Times New Roman"/>
          <w:b/>
          <w:sz w:val="28"/>
          <w:szCs w:val="28"/>
        </w:rPr>
      </w:r>
      <w:bookmarkEnd w:id="48"/>
      <w:r>
        <w:rPr>
          <w:rFonts w:ascii="Times New Roman" w:hAnsi="Times New Roman"/>
          <w:b/>
          <w:sz w:val="28"/>
          <w:szCs w:val="28"/>
        </w:rPr>
      </w:r>
      <w:r>
        <w:rPr>
          <w:rFonts w:ascii="Times New Roman" w:hAnsi="Times New Roman"/>
          <w:b/>
          <w:sz w:val="28"/>
          <w:szCs w:val="28"/>
        </w:rPr>
      </w:r>
    </w:p>
    <w:p>
      <w:pPr>
        <w:ind w:firstLine="567"/>
        <w:jc w:val="both"/>
        <w:spacing w:after="0"/>
        <w:rPr>
          <w:rFonts w:ascii="Times New Roman" w:hAnsi="Times New Roman"/>
          <w:sz w:val="28"/>
          <w:szCs w:val="28"/>
        </w:rPr>
      </w:pPr>
      <w:r>
        <w:rPr>
          <w:rFonts w:ascii="Times New Roman" w:hAnsi="Times New Roman"/>
          <w:sz w:val="28"/>
          <w:szCs w:val="28"/>
        </w:rPr>
      </w:r>
      <w:r>
        <w:rPr>
          <w:rFonts w:ascii="Times New Roman" w:hAnsi="Times New Roman"/>
          <w:sz w:val="28"/>
          <w:szCs w:val="28"/>
        </w:rPr>
      </w:r>
      <w:r>
        <w:rPr>
          <w:rFonts w:ascii="Times New Roman" w:hAnsi="Times New Roman"/>
          <w:sz w:val="28"/>
          <w:szCs w:val="28"/>
        </w:rPr>
      </w:r>
    </w:p>
    <w:p>
      <w:pPr>
        <w:ind w:firstLine="567"/>
        <w:jc w:val="both"/>
        <w:spacing w:after="0"/>
        <w:rPr>
          <w:rFonts w:ascii="Times New Roman" w:hAnsi="Times New Roman" w:eastAsia="Times New Roman"/>
          <w:b/>
          <w:bCs/>
          <w:i/>
          <w:sz w:val="28"/>
          <w:szCs w:val="28"/>
          <w:lang w:eastAsia="ru-RU"/>
        </w:rPr>
      </w:pPr>
      <w:r>
        <w:rPr>
          <w:rFonts w:ascii="Times New Roman" w:hAnsi="Times New Roman" w:eastAsia="Times New Roman"/>
          <w:b/>
          <w:i/>
          <w:sz w:val="28"/>
          <w:szCs w:val="28"/>
          <w:lang w:eastAsia="ru-RU"/>
        </w:rPr>
        <w:t xml:space="preserve"> Департаменту образования и науки Ивановской области:</w:t>
      </w:r>
      <w:r>
        <w:rPr>
          <w:rFonts w:ascii="Times New Roman" w:hAnsi="Times New Roman" w:eastAsia="Times New Roman"/>
          <w:b/>
          <w:bCs/>
          <w:i/>
          <w:sz w:val="28"/>
          <w:szCs w:val="28"/>
          <w:lang w:eastAsia="ru-RU"/>
        </w:rPr>
      </w:r>
      <w:r>
        <w:rPr>
          <w:rFonts w:ascii="Times New Roman" w:hAnsi="Times New Roman" w:eastAsia="Times New Roman"/>
          <w:b/>
          <w:bCs/>
          <w:i/>
          <w:sz w:val="28"/>
          <w:szCs w:val="28"/>
          <w:lang w:eastAsia="ru-RU"/>
        </w:rPr>
      </w:r>
    </w:p>
    <w:p>
      <w:pPr>
        <w:pStyle w:val="1227"/>
        <w:numPr>
          <w:ilvl w:val="0"/>
          <w:numId w:val="147"/>
        </w:numPr>
        <w:ind w:left="0" w:firstLine="709"/>
        <w:jc w:val="both"/>
        <w:spacing w:line="276" w:lineRule="auto"/>
        <w:rPr>
          <w:lang w:val="ru-RU"/>
        </w:rPr>
      </w:pPr>
      <w:r>
        <w:rPr>
          <w:rFonts w:ascii="Times New Roman" w:hAnsi="Times New Roman" w:eastAsia="Times New Roman"/>
          <w:sz w:val="28"/>
          <w:szCs w:val="28"/>
          <w:lang w:val="ru-RU" w:eastAsia="ru-RU"/>
        </w:rPr>
        <w:t xml:space="preserve">продолжить реализацию комплексной программы привлечения и закрепления учителей, уделив особое внимание дефицитным специальностям: педагогам начальных классов, учителям математики, русского и иностранных языков. </w:t>
      </w:r>
      <w:r>
        <w:rPr>
          <w:rFonts w:ascii="Times New Roman" w:hAnsi="Times New Roman" w:eastAsia="Times New Roman"/>
          <w:sz w:val="28"/>
          <w:szCs w:val="28"/>
          <w:lang w:val="ru-RU" w:eastAsia="ru-RU"/>
        </w:rPr>
        <w:t xml:space="preserve">В рамках программы предусмотреть: расширение мер материальной поддержки (увеличение единовременных выплат для ипотеки, компенсации за аренду жилья, особенно в сельской местности); развитие системы наставничества с выплатой стимулирующих надбавок опыт</w:t>
      </w:r>
      <w:r>
        <w:rPr>
          <w:rFonts w:ascii="Times New Roman" w:hAnsi="Times New Roman" w:eastAsia="Times New Roman"/>
          <w:sz w:val="28"/>
          <w:szCs w:val="28"/>
          <w:lang w:val="ru-RU" w:eastAsia="ru-RU"/>
        </w:rPr>
        <w:t xml:space="preserve">ным педагогам; сотрудничество с педагогическими вузами и колледжами для организации целевого обучения и гарантированного трудоустройства выпускников; регулярное повышение квалификации и профессиональную переподготовку с учетом актуальных потребностей школ</w:t>
      </w:r>
      <w:r>
        <w:rPr>
          <w:rFonts w:ascii="Times New Roman" w:hAnsi="Times New Roman" w:eastAsia="Times New Roman"/>
          <w:sz w:val="28"/>
          <w:szCs w:val="28"/>
          <w:lang w:val="ru-RU" w:eastAsia="ru-RU"/>
        </w:rPr>
        <w:t xml:space="preserve">;</w:t>
      </w:r>
      <w:r>
        <w:rPr>
          <w:lang w:val="ru-RU"/>
        </w:rPr>
      </w:r>
    </w:p>
    <w:p>
      <w:pPr>
        <w:pStyle w:val="1227"/>
        <w:numPr>
          <w:ilvl w:val="0"/>
          <w:numId w:val="147"/>
        </w:numPr>
        <w:ind w:left="0" w:firstLine="709"/>
        <w:jc w:val="both"/>
        <w:spacing w:line="276" w:lineRule="auto"/>
        <w:rPr>
          <w:rFonts w:ascii="Times New Roman" w:hAnsi="Times New Roman" w:eastAsia="Times New Roman"/>
          <w:sz w:val="28"/>
          <w:szCs w:val="28"/>
          <w:lang w:val="ru-RU" w:eastAsia="ru-RU"/>
        </w:rPr>
      </w:pPr>
      <w:r>
        <w:rPr>
          <w:rFonts w:ascii="Times New Roman" w:hAnsi="Times New Roman" w:eastAsia="Times New Roman"/>
          <w:sz w:val="28"/>
          <w:szCs w:val="28"/>
          <w:lang w:val="ru-RU" w:eastAsia="ru-RU"/>
        </w:rPr>
        <w:t xml:space="preserve">о</w:t>
      </w:r>
      <w:r>
        <w:rPr>
          <w:rFonts w:ascii="Times New Roman" w:hAnsi="Times New Roman" w:eastAsia="Times New Roman"/>
          <w:sz w:val="28"/>
          <w:szCs w:val="28"/>
          <w:lang w:val="ru-RU" w:eastAsia="ru-RU"/>
        </w:rPr>
        <w:t xml:space="preserve">рганизовать системную работу по выявлению и сопровождению детей, не посещающих образовательные учреждения;</w:t>
      </w:r>
      <w:r>
        <w:rPr>
          <w:rFonts w:ascii="Times New Roman" w:hAnsi="Times New Roman" w:eastAsia="Times New Roman"/>
          <w:sz w:val="28"/>
          <w:szCs w:val="28"/>
          <w:lang w:val="ru-RU" w:eastAsia="ru-RU"/>
        </w:rPr>
      </w:r>
      <w:r>
        <w:rPr>
          <w:rFonts w:ascii="Times New Roman" w:hAnsi="Times New Roman" w:eastAsia="Times New Roman"/>
          <w:sz w:val="28"/>
          <w:szCs w:val="28"/>
          <w:lang w:val="ru-RU" w:eastAsia="ru-RU"/>
        </w:rPr>
      </w:r>
    </w:p>
    <w:p>
      <w:pPr>
        <w:pStyle w:val="1227"/>
        <w:numPr>
          <w:ilvl w:val="0"/>
          <w:numId w:val="147"/>
        </w:numPr>
        <w:ind w:left="0" w:firstLine="709"/>
        <w:jc w:val="both"/>
        <w:spacing w:line="276" w:lineRule="auto"/>
        <w:rPr>
          <w:rFonts w:ascii="Times New Roman" w:hAnsi="Times New Roman" w:eastAsia="Times New Roman"/>
          <w:sz w:val="28"/>
          <w:szCs w:val="28"/>
          <w:lang w:val="ru-RU" w:eastAsia="ru-RU"/>
        </w:rPr>
      </w:pPr>
      <w:r>
        <w:rPr>
          <w:rFonts w:ascii="Times New Roman" w:hAnsi="Times New Roman" w:eastAsia="Times New Roman"/>
          <w:sz w:val="28"/>
          <w:szCs w:val="28"/>
          <w:lang w:val="ru-RU" w:eastAsia="ru-RU"/>
        </w:rPr>
        <w:t xml:space="preserve">продолжить развитие инклюзивного образования и создать дополнительные условия для обучения детей с особыми образовательными потребностями;</w:t>
      </w:r>
      <w:r>
        <w:rPr>
          <w:rFonts w:ascii="Times New Roman" w:hAnsi="Times New Roman" w:eastAsia="Times New Roman"/>
          <w:sz w:val="28"/>
          <w:szCs w:val="28"/>
          <w:lang w:val="ru-RU" w:eastAsia="ru-RU"/>
        </w:rPr>
      </w:r>
      <w:r>
        <w:rPr>
          <w:rFonts w:ascii="Times New Roman" w:hAnsi="Times New Roman" w:eastAsia="Times New Roman"/>
          <w:sz w:val="28"/>
          <w:szCs w:val="28"/>
          <w:lang w:val="ru-RU" w:eastAsia="ru-RU"/>
        </w:rPr>
      </w:r>
    </w:p>
    <w:p>
      <w:pPr>
        <w:pStyle w:val="1227"/>
        <w:numPr>
          <w:ilvl w:val="0"/>
          <w:numId w:val="147"/>
        </w:numPr>
        <w:ind w:left="0" w:firstLine="709"/>
        <w:jc w:val="both"/>
        <w:spacing w:line="276" w:lineRule="auto"/>
        <w:rPr>
          <w:rFonts w:ascii="Times New Roman" w:hAnsi="Times New Roman" w:eastAsia="Times New Roman"/>
          <w:sz w:val="28"/>
          <w:szCs w:val="28"/>
          <w:lang w:val="ru-RU" w:eastAsia="ru-RU"/>
        </w:rPr>
      </w:pPr>
      <w:r>
        <w:rPr>
          <w:rFonts w:ascii="Times New Roman" w:hAnsi="Times New Roman" w:eastAsia="Times New Roman"/>
          <w:sz w:val="28"/>
          <w:szCs w:val="28"/>
          <w:lang w:val="ru-RU" w:eastAsia="ru-RU"/>
        </w:rPr>
        <w:t xml:space="preserve">повысить информированность граждан о правах и возможностях в сфере образования с участием региональной службы правозащиты.</w:t>
      </w:r>
      <w:r>
        <w:rPr>
          <w:rFonts w:ascii="Times New Roman" w:hAnsi="Times New Roman" w:eastAsia="Times New Roman"/>
          <w:sz w:val="28"/>
          <w:szCs w:val="28"/>
          <w:lang w:val="ru-RU" w:eastAsia="ru-RU"/>
        </w:rPr>
      </w:r>
      <w:r>
        <w:rPr>
          <w:rFonts w:ascii="Times New Roman" w:hAnsi="Times New Roman" w:eastAsia="Times New Roman"/>
          <w:sz w:val="28"/>
          <w:szCs w:val="28"/>
          <w:lang w:eastAsia="ru-RU"/>
        </w:rPr>
      </w:r>
      <w:r>
        <w:rPr>
          <w:rFonts w:ascii="Times New Roman" w:hAnsi="Times New Roman" w:eastAsia="Times New Roman"/>
          <w:sz w:val="28"/>
          <w:szCs w:val="28"/>
          <w:lang w:eastAsia="ru-RU"/>
        </w:rPr>
      </w:r>
      <w:r>
        <w:rPr>
          <w:rFonts w:ascii="Times New Roman" w:hAnsi="Times New Roman" w:eastAsia="Times New Roman"/>
          <w:sz w:val="28"/>
          <w:szCs w:val="28"/>
          <w:lang w:eastAsia="ru-RU"/>
        </w:rPr>
      </w:r>
      <w:r>
        <w:rPr>
          <w:rFonts w:ascii="Times New Roman" w:hAnsi="Times New Roman" w:eastAsia="Times New Roman"/>
          <w:sz w:val="28"/>
          <w:szCs w:val="28"/>
          <w:lang w:val="ru-RU" w:eastAsia="ru-RU"/>
        </w:rPr>
      </w:r>
    </w:p>
    <w:p>
      <w:pPr>
        <w:ind w:left="709" w:firstLine="0"/>
        <w:jc w:val="both"/>
        <w:spacing w:line="276" w:lineRule="auto"/>
        <w:rPr>
          <w:rFonts w:ascii="Times New Roman" w:hAnsi="Times New Roman" w:eastAsia="Times New Roman"/>
          <w:sz w:val="28"/>
          <w:szCs w:val="28"/>
          <w:lang w:val="ru-RU" w:eastAsia="ru-RU"/>
        </w:rPr>
      </w:pPr>
      <w:r>
        <w:rPr>
          <w:rFonts w:ascii="Times New Roman" w:hAnsi="Times New Roman" w:eastAsia="Times New Roman"/>
          <w:sz w:val="28"/>
          <w:szCs w:val="28"/>
          <w:highlight w:val="none"/>
          <w:lang w:val="ru-RU" w:eastAsia="ru-RU"/>
        </w:rPr>
      </w:r>
      <w:r>
        <w:rPr>
          <w:rFonts w:ascii="Times New Roman" w:hAnsi="Times New Roman" w:eastAsia="Times New Roman"/>
          <w:sz w:val="28"/>
          <w:szCs w:val="28"/>
          <w:highlight w:val="none"/>
          <w:lang w:val="ru-RU" w:eastAsia="ru-RU"/>
        </w:rPr>
      </w:r>
    </w:p>
    <w:p>
      <w:pPr>
        <w:pStyle w:val="1226"/>
        <w:jc w:val="center"/>
        <w:rPr>
          <w:rFonts w:ascii="Times New Roman" w:hAnsi="Times New Roman" w:cs="Times New Roman"/>
          <w:color w:val="auto"/>
          <w:sz w:val="28"/>
          <w:szCs w:val="28"/>
        </w:rPr>
      </w:pPr>
      <w:r/>
      <w:bookmarkStart w:id="49" w:name="_Toc27"/>
      <w:r>
        <w:rPr>
          <w:rFonts w:ascii="Times New Roman" w:hAnsi="Times New Roman" w:cs="Times New Roman"/>
          <w:b/>
          <w:bCs/>
          <w:color w:val="auto"/>
          <w:sz w:val="28"/>
          <w:szCs w:val="28"/>
        </w:rPr>
        <w:t xml:space="preserve">РАЗДЕЛ 9. ТРУДОВЫЕ ПРАВА</w:t>
      </w:r>
      <w:r>
        <w:rPr>
          <w:rFonts w:ascii="Times New Roman" w:hAnsi="Times New Roman" w:cs="Times New Roman"/>
          <w:b/>
          <w:bCs/>
          <w:color w:val="auto"/>
          <w:sz w:val="28"/>
          <w:szCs w:val="28"/>
        </w:rPr>
      </w:r>
      <w:bookmarkEnd w:id="49"/>
      <w:r>
        <w:rPr>
          <w:rFonts w:ascii="Times New Roman" w:hAnsi="Times New Roman" w:cs="Times New Roman"/>
          <w:color w:val="auto"/>
          <w:sz w:val="28"/>
          <w:szCs w:val="28"/>
        </w:rPr>
      </w:r>
      <w:r>
        <w:rPr>
          <w:rFonts w:ascii="Times New Roman" w:hAnsi="Times New Roman" w:cs="Times New Roman"/>
          <w:color w:val="auto"/>
          <w:sz w:val="28"/>
          <w:szCs w:val="28"/>
        </w:rPr>
      </w:r>
    </w:p>
    <w:p>
      <w:pPr>
        <w:jc w:val="both"/>
        <w:spacing w:after="0"/>
        <w:rPr>
          <w:rFonts w:ascii="Times New Roman" w:hAnsi="Times New Roman"/>
          <w:b/>
          <w:i/>
          <w:sz w:val="28"/>
          <w:szCs w:val="28"/>
        </w:rPr>
      </w:pPr>
      <w:r>
        <w:rPr>
          <w:rFonts w:ascii="Times New Roman" w:hAnsi="Times New Roman"/>
          <w:b/>
          <w:i/>
          <w:sz w:val="28"/>
          <w:szCs w:val="28"/>
        </w:rPr>
      </w:r>
      <w:r>
        <w:rPr>
          <w:rFonts w:ascii="Times New Roman" w:hAnsi="Times New Roman"/>
          <w:b/>
          <w:i/>
          <w:sz w:val="28"/>
          <w:szCs w:val="28"/>
        </w:rPr>
      </w:r>
      <w:r>
        <w:rPr>
          <w:rFonts w:ascii="Times New Roman" w:hAnsi="Times New Roman"/>
          <w:b/>
          <w:i/>
          <w:sz w:val="28"/>
          <w:szCs w:val="28"/>
        </w:rPr>
      </w:r>
    </w:p>
    <w:p>
      <w:pPr>
        <w:ind w:firstLine="709"/>
        <w:jc w:val="both"/>
        <w:spacing w:after="0"/>
        <w:outlineLvl w:val="5"/>
      </w:pPr>
      <w:r>
        <w:rPr>
          <w:rFonts w:ascii="Times New Roman" w:hAnsi="Times New Roman"/>
          <w:sz w:val="28"/>
          <w:szCs w:val="28"/>
        </w:rPr>
        <w:t xml:space="preserve">Труд — основа человеческого существования и развития. </w:t>
      </w:r>
      <w:r/>
    </w:p>
    <w:p>
      <w:pPr>
        <w:ind w:firstLine="709"/>
        <w:jc w:val="both"/>
        <w:spacing w:after="0"/>
        <w:outlineLvl w:val="5"/>
      </w:pPr>
      <w:r>
        <w:rPr>
          <w:rFonts w:ascii="Times New Roman" w:hAnsi="Times New Roman"/>
          <w:sz w:val="28"/>
          <w:szCs w:val="28"/>
        </w:rPr>
        <w:t xml:space="preserve">Через труд человек реализует свой потенциал, обеспечивает себя и свою семью, вносит вклад в процветание общества и страны. Конституция Российской Федерации (ст. 37) закрепляет ключевые трудовые права:</w:t>
      </w:r>
      <w:r/>
    </w:p>
    <w:p>
      <w:pPr>
        <w:pStyle w:val="1227"/>
        <w:numPr>
          <w:ilvl w:val="0"/>
          <w:numId w:val="148"/>
        </w:numPr>
        <w:ind w:left="0" w:firstLine="709"/>
        <w:jc w:val="both"/>
        <w:spacing w:line="276" w:lineRule="auto"/>
        <w:rPr>
          <w:lang w:val="ru-RU"/>
        </w:rPr>
        <w:outlineLvl w:val="5"/>
      </w:pPr>
      <w:r>
        <w:rPr>
          <w:rFonts w:ascii="Times New Roman" w:hAnsi="Times New Roman"/>
          <w:sz w:val="28"/>
          <w:szCs w:val="28"/>
          <w:lang w:val="ru-RU"/>
        </w:rPr>
        <w:t xml:space="preserve">право на свободный выбор труда;</w:t>
      </w:r>
      <w:r>
        <w:rPr>
          <w:lang w:val="ru-RU"/>
        </w:rPr>
      </w:r>
      <w:r>
        <w:rPr>
          <w:lang w:val="ru-RU"/>
        </w:rPr>
      </w:r>
    </w:p>
    <w:p>
      <w:pPr>
        <w:pStyle w:val="1227"/>
        <w:numPr>
          <w:ilvl w:val="0"/>
          <w:numId w:val="148"/>
        </w:numPr>
        <w:ind w:left="0" w:firstLine="709"/>
        <w:jc w:val="both"/>
        <w:spacing w:line="276" w:lineRule="auto"/>
        <w:rPr>
          <w:lang w:val="ru-RU"/>
        </w:rPr>
        <w:outlineLvl w:val="5"/>
      </w:pPr>
      <w:r>
        <w:rPr>
          <w:rFonts w:ascii="Times New Roman" w:hAnsi="Times New Roman"/>
          <w:sz w:val="28"/>
          <w:szCs w:val="28"/>
          <w:lang w:val="ru-RU"/>
        </w:rPr>
        <w:t xml:space="preserve">право на безопасные условия труда;</w:t>
      </w:r>
      <w:r>
        <w:rPr>
          <w:lang w:val="ru-RU"/>
        </w:rPr>
      </w:r>
      <w:r>
        <w:rPr>
          <w:lang w:val="ru-RU"/>
        </w:rPr>
      </w:r>
    </w:p>
    <w:p>
      <w:pPr>
        <w:pStyle w:val="1227"/>
        <w:numPr>
          <w:ilvl w:val="0"/>
          <w:numId w:val="148"/>
        </w:numPr>
        <w:ind w:left="0" w:firstLine="709"/>
        <w:jc w:val="both"/>
        <w:spacing w:line="276" w:lineRule="auto"/>
        <w:rPr>
          <w:lang w:val="ru-RU"/>
        </w:rPr>
        <w:outlineLvl w:val="5"/>
      </w:pPr>
      <w:r>
        <w:rPr>
          <w:rFonts w:ascii="Times New Roman" w:hAnsi="Times New Roman"/>
          <w:sz w:val="28"/>
          <w:szCs w:val="28"/>
          <w:lang w:val="ru-RU"/>
        </w:rPr>
        <w:t xml:space="preserve">право на справедливое вознаграждение без дискриминации;</w:t>
      </w:r>
      <w:r>
        <w:rPr>
          <w:lang w:val="ru-RU"/>
        </w:rPr>
      </w:r>
      <w:r>
        <w:rPr>
          <w:lang w:val="ru-RU"/>
        </w:rPr>
      </w:r>
    </w:p>
    <w:p>
      <w:pPr>
        <w:pStyle w:val="1227"/>
        <w:numPr>
          <w:ilvl w:val="0"/>
          <w:numId w:val="148"/>
        </w:numPr>
        <w:ind w:left="0" w:firstLine="709"/>
        <w:jc w:val="both"/>
        <w:spacing w:line="276" w:lineRule="auto"/>
        <w:rPr>
          <w:lang w:val="ru-RU"/>
        </w:rPr>
        <w:outlineLvl w:val="5"/>
      </w:pPr>
      <w:r>
        <w:rPr>
          <w:rFonts w:ascii="Times New Roman" w:hAnsi="Times New Roman"/>
          <w:sz w:val="28"/>
          <w:szCs w:val="28"/>
          <w:lang w:val="ru-RU"/>
        </w:rPr>
        <w:t xml:space="preserve">право на защиту от безработицы;</w:t>
      </w:r>
      <w:r>
        <w:rPr>
          <w:lang w:val="ru-RU"/>
        </w:rPr>
      </w:r>
      <w:r>
        <w:rPr>
          <w:lang w:val="ru-RU"/>
        </w:rPr>
      </w:r>
    </w:p>
    <w:p>
      <w:pPr>
        <w:pStyle w:val="1227"/>
        <w:numPr>
          <w:ilvl w:val="0"/>
          <w:numId w:val="148"/>
        </w:numPr>
        <w:ind w:left="0" w:firstLine="709"/>
        <w:jc w:val="both"/>
        <w:spacing w:line="276" w:lineRule="auto"/>
        <w:outlineLvl w:val="5"/>
      </w:pPr>
      <w:r>
        <w:rPr>
          <w:rFonts w:ascii="Times New Roman" w:hAnsi="Times New Roman"/>
          <w:sz w:val="28"/>
          <w:szCs w:val="28"/>
        </w:rPr>
        <w:t xml:space="preserve">право</w:t>
      </w:r>
      <w:r>
        <w:rPr>
          <w:rFonts w:ascii="Times New Roman" w:hAnsi="Times New Roman"/>
          <w:sz w:val="28"/>
          <w:szCs w:val="28"/>
        </w:rPr>
        <w:t xml:space="preserve"> </w:t>
      </w:r>
      <w:r>
        <w:rPr>
          <w:rFonts w:ascii="Times New Roman" w:hAnsi="Times New Roman"/>
          <w:sz w:val="28"/>
          <w:szCs w:val="28"/>
        </w:rPr>
        <w:t xml:space="preserve">на</w:t>
      </w:r>
      <w:r>
        <w:rPr>
          <w:rFonts w:ascii="Times New Roman" w:hAnsi="Times New Roman"/>
          <w:sz w:val="28"/>
          <w:szCs w:val="28"/>
        </w:rPr>
        <w:t xml:space="preserve"> </w:t>
      </w:r>
      <w:r>
        <w:rPr>
          <w:rFonts w:ascii="Times New Roman" w:hAnsi="Times New Roman"/>
          <w:sz w:val="28"/>
          <w:szCs w:val="28"/>
        </w:rPr>
        <w:t xml:space="preserve">отдых</w:t>
      </w:r>
      <w:r>
        <w:rPr>
          <w:rFonts w:ascii="Times New Roman" w:hAnsi="Times New Roman"/>
          <w:sz w:val="28"/>
          <w:szCs w:val="28"/>
        </w:rPr>
        <w:t xml:space="preserve">;</w:t>
      </w:r>
      <w:r/>
    </w:p>
    <w:p>
      <w:pPr>
        <w:pStyle w:val="1227"/>
        <w:numPr>
          <w:ilvl w:val="0"/>
          <w:numId w:val="148"/>
        </w:numPr>
        <w:ind w:left="0" w:firstLine="709"/>
        <w:jc w:val="both"/>
        <w:spacing w:line="276" w:lineRule="auto"/>
        <w:rPr>
          <w:lang w:val="ru-RU"/>
        </w:rPr>
        <w:outlineLvl w:val="5"/>
      </w:pPr>
      <w:r>
        <w:rPr>
          <w:rFonts w:ascii="Times New Roman" w:hAnsi="Times New Roman"/>
          <w:sz w:val="28"/>
          <w:szCs w:val="28"/>
          <w:lang w:val="ru-RU"/>
        </w:rPr>
        <w:t xml:space="preserve">право на индивидуальные и коллективные трудовые споры, включая право на забастовку;</w:t>
      </w:r>
      <w:r>
        <w:rPr>
          <w:lang w:val="ru-RU"/>
        </w:rPr>
      </w:r>
      <w:r>
        <w:rPr>
          <w:lang w:val="ru-RU"/>
        </w:rPr>
      </w:r>
    </w:p>
    <w:p>
      <w:pPr>
        <w:pStyle w:val="1227"/>
        <w:numPr>
          <w:ilvl w:val="0"/>
          <w:numId w:val="148"/>
        </w:numPr>
        <w:ind w:left="0" w:firstLine="709"/>
        <w:jc w:val="both"/>
        <w:spacing w:line="276" w:lineRule="auto"/>
        <w:rPr>
          <w:lang w:val="ru-RU"/>
        </w:rPr>
        <w:outlineLvl w:val="5"/>
      </w:pPr>
      <w:r>
        <w:rPr>
          <w:rFonts w:ascii="Times New Roman" w:hAnsi="Times New Roman"/>
          <w:sz w:val="28"/>
          <w:szCs w:val="28"/>
          <w:lang w:val="ru-RU"/>
        </w:rPr>
        <w:t xml:space="preserve">право на гарантированную минимальную оплату труда.</w:t>
      </w:r>
      <w:r>
        <w:rPr>
          <w:lang w:val="ru-RU"/>
        </w:rPr>
      </w:r>
      <w:r>
        <w:rPr>
          <w:lang w:val="ru-RU"/>
        </w:rPr>
      </w:r>
    </w:p>
    <w:p>
      <w:pPr>
        <w:ind w:firstLine="709"/>
        <w:jc w:val="both"/>
        <w:spacing w:after="0"/>
        <w:outlineLvl w:val="5"/>
      </w:pPr>
      <w:r>
        <w:rPr>
          <w:rFonts w:ascii="Times New Roman" w:hAnsi="Times New Roman"/>
          <w:sz w:val="28"/>
          <w:szCs w:val="28"/>
        </w:rPr>
        <w:t xml:space="preserve">Эти конституционные гарантии призваны создать условия, при которых труд становится не источником эксплуатации, а средством самореализации и благополучия.</w:t>
      </w:r>
      <w:r/>
    </w:p>
    <w:p>
      <w:pPr>
        <w:ind w:firstLine="709"/>
        <w:jc w:val="both"/>
        <w:spacing w:after="0"/>
        <w:outlineLvl w:val="5"/>
      </w:pPr>
      <w:r>
        <w:rPr>
          <w:rFonts w:ascii="Times New Roman" w:hAnsi="Times New Roman"/>
          <w:sz w:val="28"/>
          <w:szCs w:val="28"/>
        </w:rPr>
        <w:t xml:space="preserve">В современных экономических условиях вопросы защиты трудовых прав приобретают особую значимость.</w:t>
      </w:r>
      <w:r/>
    </w:p>
    <w:p>
      <w:pPr>
        <w:ind w:firstLine="709"/>
        <w:jc w:val="both"/>
        <w:spacing w:after="0"/>
        <w:outlineLvl w:val="5"/>
      </w:pPr>
      <w:r>
        <w:rPr>
          <w:rFonts w:ascii="Times New Roman" w:hAnsi="Times New Roman"/>
          <w:sz w:val="28"/>
          <w:szCs w:val="28"/>
        </w:rPr>
        <w:t xml:space="preserve"> Глобализация, </w:t>
      </w:r>
      <w:r>
        <w:rPr>
          <w:rFonts w:ascii="Times New Roman" w:hAnsi="Times New Roman"/>
          <w:sz w:val="28"/>
          <w:szCs w:val="28"/>
        </w:rPr>
        <w:t xml:space="preserve">цифровизация</w:t>
      </w:r>
      <w:r>
        <w:rPr>
          <w:rFonts w:ascii="Times New Roman" w:hAnsi="Times New Roman"/>
          <w:sz w:val="28"/>
          <w:szCs w:val="28"/>
        </w:rPr>
        <w:t xml:space="preserve">, развитие нестандартных форм занятости (</w:t>
      </w:r>
      <w:r>
        <w:rPr>
          <w:rFonts w:ascii="Times New Roman" w:hAnsi="Times New Roman"/>
          <w:sz w:val="28"/>
          <w:szCs w:val="28"/>
        </w:rPr>
        <w:t xml:space="preserve">фриланс</w:t>
      </w:r>
      <w:r>
        <w:rPr>
          <w:rFonts w:ascii="Times New Roman" w:hAnsi="Times New Roman"/>
          <w:sz w:val="28"/>
          <w:szCs w:val="28"/>
        </w:rPr>
        <w:t xml:space="preserve">, платформенная занятость, удаленная работа) создают новые вызовы для системы трудового права.</w:t>
      </w:r>
      <w:r/>
    </w:p>
    <w:p>
      <w:pPr>
        <w:ind w:firstLine="709"/>
        <w:jc w:val="both"/>
        <w:spacing w:after="0"/>
        <w:outlineLvl w:val="5"/>
      </w:pPr>
      <w:r>
        <w:rPr>
          <w:rFonts w:ascii="Times New Roman" w:hAnsi="Times New Roman"/>
          <w:sz w:val="28"/>
          <w:szCs w:val="28"/>
        </w:rPr>
        <w:t xml:space="preserve">Одновременно сохраняются и традиционные проблемы:</w:t>
      </w:r>
      <w:r/>
    </w:p>
    <w:p>
      <w:pPr>
        <w:pStyle w:val="1227"/>
        <w:numPr>
          <w:ilvl w:val="0"/>
          <w:numId w:val="149"/>
        </w:numPr>
        <w:ind w:left="0" w:firstLine="709"/>
        <w:jc w:val="both"/>
        <w:spacing w:line="276" w:lineRule="auto"/>
        <w:rPr>
          <w:lang w:val="ru-RU"/>
        </w:rPr>
        <w:outlineLvl w:val="5"/>
      </w:pPr>
      <w:r>
        <w:rPr>
          <w:rFonts w:ascii="Times New Roman" w:hAnsi="Times New Roman"/>
          <w:sz w:val="28"/>
          <w:szCs w:val="28"/>
          <w:lang w:val="ru-RU"/>
        </w:rPr>
        <w:t xml:space="preserve">задержки и невыплаты заработной платы;</w:t>
      </w:r>
      <w:r>
        <w:rPr>
          <w:lang w:val="ru-RU"/>
        </w:rPr>
      </w:r>
      <w:r>
        <w:rPr>
          <w:lang w:val="ru-RU"/>
        </w:rPr>
      </w:r>
    </w:p>
    <w:p>
      <w:pPr>
        <w:pStyle w:val="1227"/>
        <w:numPr>
          <w:ilvl w:val="0"/>
          <w:numId w:val="149"/>
        </w:numPr>
        <w:ind w:left="0" w:firstLine="709"/>
        <w:jc w:val="both"/>
        <w:spacing w:line="276" w:lineRule="auto"/>
        <w:rPr>
          <w:lang w:val="ru-RU"/>
        </w:rPr>
        <w:outlineLvl w:val="5"/>
      </w:pPr>
      <w:r>
        <w:rPr>
          <w:rFonts w:ascii="Times New Roman" w:hAnsi="Times New Roman"/>
          <w:sz w:val="28"/>
          <w:szCs w:val="28"/>
          <w:lang w:val="ru-RU"/>
        </w:rPr>
        <w:t xml:space="preserve">неформальная занятость и «серые» схемы оплаты труда;</w:t>
      </w:r>
      <w:r>
        <w:rPr>
          <w:lang w:val="ru-RU"/>
        </w:rPr>
      </w:r>
      <w:r>
        <w:rPr>
          <w:lang w:val="ru-RU"/>
        </w:rPr>
      </w:r>
    </w:p>
    <w:p>
      <w:pPr>
        <w:pStyle w:val="1227"/>
        <w:numPr>
          <w:ilvl w:val="0"/>
          <w:numId w:val="149"/>
        </w:numPr>
        <w:ind w:left="0" w:firstLine="709"/>
        <w:jc w:val="both"/>
        <w:spacing w:line="276" w:lineRule="auto"/>
        <w:outlineLvl w:val="5"/>
      </w:pPr>
      <w:r>
        <w:rPr>
          <w:rFonts w:ascii="Times New Roman" w:hAnsi="Times New Roman"/>
          <w:sz w:val="28"/>
          <w:szCs w:val="28"/>
        </w:rPr>
        <w:t xml:space="preserve">нарушения</w:t>
      </w:r>
      <w:r>
        <w:rPr>
          <w:rFonts w:ascii="Times New Roman" w:hAnsi="Times New Roman"/>
          <w:sz w:val="28"/>
          <w:szCs w:val="28"/>
        </w:rPr>
        <w:t xml:space="preserve"> </w:t>
      </w:r>
      <w:r>
        <w:rPr>
          <w:rFonts w:ascii="Times New Roman" w:hAnsi="Times New Roman"/>
          <w:sz w:val="28"/>
          <w:szCs w:val="28"/>
        </w:rPr>
        <w:t xml:space="preserve">условий</w:t>
      </w:r>
      <w:r>
        <w:rPr>
          <w:rFonts w:ascii="Times New Roman" w:hAnsi="Times New Roman"/>
          <w:sz w:val="28"/>
          <w:szCs w:val="28"/>
        </w:rPr>
        <w:t xml:space="preserve"> </w:t>
      </w:r>
      <w:r>
        <w:rPr>
          <w:rFonts w:ascii="Times New Roman" w:hAnsi="Times New Roman"/>
          <w:sz w:val="28"/>
          <w:szCs w:val="28"/>
        </w:rPr>
        <w:t xml:space="preserve">охраны</w:t>
      </w:r>
      <w:r>
        <w:rPr>
          <w:rFonts w:ascii="Times New Roman" w:hAnsi="Times New Roman"/>
          <w:sz w:val="28"/>
          <w:szCs w:val="28"/>
        </w:rPr>
        <w:t xml:space="preserve"> </w:t>
      </w:r>
      <w:r>
        <w:rPr>
          <w:rFonts w:ascii="Times New Roman" w:hAnsi="Times New Roman"/>
          <w:sz w:val="28"/>
          <w:szCs w:val="28"/>
        </w:rPr>
        <w:t xml:space="preserve">труда</w:t>
      </w:r>
      <w:r>
        <w:rPr>
          <w:rFonts w:ascii="Times New Roman" w:hAnsi="Times New Roman"/>
          <w:sz w:val="28"/>
          <w:szCs w:val="28"/>
        </w:rPr>
        <w:t xml:space="preserve">;</w:t>
      </w:r>
      <w:r/>
    </w:p>
    <w:p>
      <w:pPr>
        <w:pStyle w:val="1227"/>
        <w:numPr>
          <w:ilvl w:val="0"/>
          <w:numId w:val="149"/>
        </w:numPr>
        <w:ind w:left="0" w:firstLine="709"/>
        <w:jc w:val="both"/>
        <w:spacing w:line="276" w:lineRule="auto"/>
        <w:rPr>
          <w:lang w:val="ru-RU"/>
        </w:rPr>
        <w:outlineLvl w:val="5"/>
      </w:pPr>
      <w:r>
        <w:rPr>
          <w:rFonts w:ascii="Times New Roman" w:hAnsi="Times New Roman"/>
          <w:sz w:val="28"/>
          <w:szCs w:val="28"/>
          <w:lang w:val="ru-RU"/>
        </w:rPr>
        <w:t xml:space="preserve">дискриминация при приеме на работу и продвижении по службе;</w:t>
      </w:r>
      <w:r>
        <w:rPr>
          <w:lang w:val="ru-RU"/>
        </w:rPr>
      </w:r>
      <w:r>
        <w:rPr>
          <w:lang w:val="ru-RU"/>
        </w:rPr>
      </w:r>
    </w:p>
    <w:p>
      <w:pPr>
        <w:pStyle w:val="1227"/>
        <w:numPr>
          <w:ilvl w:val="0"/>
          <w:numId w:val="149"/>
        </w:numPr>
        <w:ind w:left="0" w:firstLine="709"/>
        <w:jc w:val="both"/>
        <w:spacing w:line="276" w:lineRule="auto"/>
        <w:outlineLvl w:val="5"/>
      </w:pPr>
      <w:r>
        <w:rPr>
          <w:rFonts w:ascii="Times New Roman" w:hAnsi="Times New Roman"/>
          <w:sz w:val="28"/>
          <w:szCs w:val="28"/>
        </w:rPr>
        <w:t xml:space="preserve">необоснованные</w:t>
      </w:r>
      <w:r>
        <w:rPr>
          <w:rFonts w:ascii="Times New Roman" w:hAnsi="Times New Roman"/>
          <w:sz w:val="28"/>
          <w:szCs w:val="28"/>
        </w:rPr>
        <w:t xml:space="preserve"> </w:t>
      </w:r>
      <w:r>
        <w:rPr>
          <w:rFonts w:ascii="Times New Roman" w:hAnsi="Times New Roman"/>
          <w:sz w:val="28"/>
          <w:szCs w:val="28"/>
        </w:rPr>
        <w:t xml:space="preserve">увольнения</w:t>
      </w:r>
      <w:r>
        <w:rPr>
          <w:rFonts w:ascii="Times New Roman" w:hAnsi="Times New Roman"/>
          <w:sz w:val="28"/>
          <w:szCs w:val="28"/>
        </w:rPr>
        <w:t xml:space="preserve">;</w:t>
      </w:r>
      <w:r/>
    </w:p>
    <w:p>
      <w:pPr>
        <w:pStyle w:val="1227"/>
        <w:numPr>
          <w:ilvl w:val="0"/>
          <w:numId w:val="149"/>
        </w:numPr>
        <w:ind w:left="0" w:firstLine="709"/>
        <w:jc w:val="both"/>
        <w:spacing w:line="276" w:lineRule="auto"/>
        <w:rPr>
          <w:lang w:val="ru-RU"/>
        </w:rPr>
        <w:outlineLvl w:val="5"/>
      </w:pPr>
      <w:r>
        <w:rPr>
          <w:rFonts w:ascii="Times New Roman" w:hAnsi="Times New Roman"/>
          <w:sz w:val="28"/>
          <w:szCs w:val="28"/>
          <w:lang w:val="ru-RU"/>
        </w:rPr>
        <w:t xml:space="preserve">несоблюдение режима рабочего времени и времени отдыха;</w:t>
      </w:r>
      <w:r>
        <w:rPr>
          <w:lang w:val="ru-RU"/>
        </w:rPr>
      </w:r>
      <w:r>
        <w:rPr>
          <w:lang w:val="ru-RU"/>
        </w:rPr>
      </w:r>
    </w:p>
    <w:p>
      <w:pPr>
        <w:pStyle w:val="1227"/>
        <w:numPr>
          <w:ilvl w:val="0"/>
          <w:numId w:val="149"/>
        </w:numPr>
        <w:ind w:left="0" w:firstLine="709"/>
        <w:jc w:val="both"/>
        <w:spacing w:line="276" w:lineRule="auto"/>
        <w:rPr>
          <w:lang w:val="ru-RU"/>
        </w:rPr>
        <w:outlineLvl w:val="5"/>
      </w:pPr>
      <w:r>
        <w:rPr>
          <w:rFonts w:ascii="Times New Roman" w:hAnsi="Times New Roman"/>
          <w:sz w:val="28"/>
          <w:szCs w:val="28"/>
          <w:lang w:val="ru-RU"/>
        </w:rPr>
        <w:t xml:space="preserve">отсутствие гарантий для работников на нестандартных формах занятости.</w:t>
      </w:r>
      <w:r>
        <w:rPr>
          <w:lang w:val="ru-RU"/>
        </w:rPr>
      </w:r>
      <w:r>
        <w:rPr>
          <w:lang w:val="ru-RU"/>
        </w:rPr>
      </w:r>
    </w:p>
    <w:p>
      <w:pPr>
        <w:ind w:firstLine="709"/>
        <w:jc w:val="both"/>
        <w:spacing w:after="0"/>
        <w:outlineLvl w:val="5"/>
      </w:pPr>
      <w:r>
        <w:rPr>
          <w:rFonts w:ascii="Times New Roman" w:hAnsi="Times New Roman"/>
          <w:sz w:val="28"/>
          <w:szCs w:val="28"/>
        </w:rPr>
        <w:t xml:space="preserve">За 2025 год к Уполномоченному поступило 81 обращение (13 </w:t>
      </w:r>
      <w:r>
        <w:rPr>
          <w:rFonts w:ascii="Times New Roman" w:hAnsi="Times New Roman"/>
          <w:sz w:val="28"/>
          <w:szCs w:val="28"/>
        </w:rPr>
        <w:t xml:space="preserve">письменных</w:t>
      </w:r>
      <w:r>
        <w:rPr>
          <w:rFonts w:ascii="Times New Roman" w:hAnsi="Times New Roman"/>
          <w:sz w:val="28"/>
          <w:szCs w:val="28"/>
        </w:rPr>
        <w:t xml:space="preserve"> и 68 устных), что на 3,8% больше в сравнении с 2024 годом. </w:t>
      </w:r>
      <w:r/>
    </w:p>
    <w:p>
      <w:pPr>
        <w:ind w:firstLine="709"/>
        <w:jc w:val="both"/>
        <w:spacing w:after="0"/>
        <w:outlineLvl w:val="5"/>
      </w:pPr>
      <w:r>
        <w:rPr>
          <w:rFonts w:ascii="Times New Roman" w:hAnsi="Times New Roman"/>
          <w:sz w:val="28"/>
          <w:szCs w:val="28"/>
        </w:rPr>
        <w:t xml:space="preserve">Для защиты трудовых прав граждан региональный омбудсмен взаимодействует с Государственной инспекцией труда в Ивановской области, Комитетом Ивановской области по труду, содействию занятости населения и трудовой миграции (Комитет) и профсоюзами.</w:t>
      </w:r>
      <w:r/>
    </w:p>
    <w:p>
      <w:pPr>
        <w:ind w:firstLine="709"/>
        <w:jc w:val="both"/>
        <w:spacing w:after="0"/>
        <w:outlineLvl w:val="5"/>
      </w:pPr>
      <w:r>
        <w:rPr>
          <w:rFonts w:ascii="Times New Roman" w:hAnsi="Times New Roman"/>
          <w:sz w:val="28"/>
          <w:szCs w:val="28"/>
        </w:rPr>
        <w:t xml:space="preserve">Так,  региональный омбудсмен совместно с  руководством </w:t>
      </w:r>
      <w:r>
        <w:rPr>
          <w:rFonts w:ascii="Times New Roman" w:hAnsi="Times New Roman"/>
          <w:sz w:val="28"/>
          <w:szCs w:val="28"/>
        </w:rPr>
        <w:t xml:space="preserve">Верхневолжской</w:t>
      </w:r>
      <w:r>
        <w:rPr>
          <w:rFonts w:ascii="Times New Roman" w:hAnsi="Times New Roman"/>
          <w:sz w:val="28"/>
          <w:szCs w:val="28"/>
        </w:rPr>
        <w:t xml:space="preserve"> межрегиональной территориальной ГИТ провели индивидуальный прием заявителей.</w:t>
      </w:r>
      <w:r/>
    </w:p>
    <w:p>
      <w:pPr>
        <w:ind w:firstLine="709"/>
        <w:jc w:val="both"/>
        <w:spacing w:after="0"/>
        <w:outlineLvl w:val="5"/>
      </w:pPr>
      <w:r>
        <w:rPr>
          <w:rFonts w:ascii="Times New Roman" w:hAnsi="Times New Roman"/>
          <w:sz w:val="28"/>
          <w:szCs w:val="28"/>
        </w:rPr>
        <w:t xml:space="preserve">При общении с одной заявительницей в ходе приема в индивидуальном режиме разобраны вопросы соблюдения трудового законодательства. Оказано содействие в разрешении сложных ситуаций по защите трудовых прав трудового коллектива. </w:t>
      </w:r>
      <w:r/>
    </w:p>
    <w:p>
      <w:pPr>
        <w:ind w:firstLine="709"/>
        <w:jc w:val="both"/>
        <w:spacing w:after="0"/>
        <w:outlineLvl w:val="5"/>
      </w:pPr>
      <w:r>
        <w:rPr>
          <w:rFonts w:ascii="Times New Roman" w:hAnsi="Times New Roman"/>
          <w:sz w:val="28"/>
          <w:szCs w:val="28"/>
        </w:rPr>
        <w:t xml:space="preserve">Особое внимание уделили вопросам оформления договора, выплаты зарплаты, соблюдению условий труда. Консультирование было  направлено на защиту прав сотрудников от недобросовестных работодателей. </w:t>
      </w:r>
      <w:r/>
    </w:p>
    <w:p>
      <w:pPr>
        <w:ind w:firstLine="709"/>
        <w:jc w:val="both"/>
        <w:spacing w:after="0"/>
        <w:outlineLvl w:val="5"/>
      </w:pPr>
      <w:r>
        <w:rPr>
          <w:rFonts w:ascii="Times New Roman" w:hAnsi="Times New Roman"/>
          <w:sz w:val="28"/>
          <w:szCs w:val="28"/>
        </w:rPr>
        <w:t xml:space="preserve">Кроме того, в апреле 2025 года в актовом зале Регионального союза «Ивановское областное объединение организаций профсоюзов» состоялась областная конференция, посвященная Всемирному дню охраны труда.</w:t>
      </w:r>
      <w:r/>
    </w:p>
    <w:p>
      <w:pPr>
        <w:ind w:firstLine="709"/>
        <w:jc w:val="both"/>
        <w:spacing w:after="0"/>
        <w:outlineLvl w:val="5"/>
      </w:pPr>
      <w:r>
        <w:rPr>
          <w:rFonts w:ascii="Times New Roman" w:hAnsi="Times New Roman"/>
          <w:sz w:val="28"/>
          <w:szCs w:val="28"/>
        </w:rPr>
        <w:t xml:space="preserve">Организатором мероприятия выступил комит</w:t>
      </w:r>
      <w:r>
        <w:rPr>
          <w:rFonts w:ascii="Times New Roman" w:hAnsi="Times New Roman"/>
          <w:sz w:val="28"/>
          <w:szCs w:val="28"/>
        </w:rPr>
        <w:t xml:space="preserve">ет Ивановской области по труду, содействию занятости населения и трудовой миграции, председатель которого сделал анализ в области предупреждения травматизма на производстве, рассказал о приоритетных направлениях регионального правительства по охране труда.</w:t>
      </w:r>
      <w:r/>
    </w:p>
    <w:p>
      <w:pPr>
        <w:ind w:firstLine="709"/>
        <w:jc w:val="both"/>
        <w:spacing w:after="0"/>
        <w:outlineLvl w:val="5"/>
      </w:pPr>
      <w:r>
        <w:rPr>
          <w:rFonts w:ascii="Times New Roman" w:hAnsi="Times New Roman"/>
          <w:sz w:val="28"/>
          <w:szCs w:val="28"/>
        </w:rPr>
        <w:t xml:space="preserve">Также на ко</w:t>
      </w:r>
      <w:r>
        <w:rPr>
          <w:rFonts w:ascii="Times New Roman" w:hAnsi="Times New Roman"/>
          <w:sz w:val="28"/>
          <w:szCs w:val="28"/>
        </w:rPr>
        <w:t xml:space="preserve">нференции были подведены итоги контрольно-надзорной деятельности за 2024 год, рассмотрены вопросы финансового обеспечения предупредительных мер по сокращению производственного травматизма и профессиональных заболеваний, диспансеризации работников по месту </w:t>
      </w:r>
      <w:r>
        <w:rPr>
          <w:rFonts w:ascii="Times New Roman" w:hAnsi="Times New Roman"/>
          <w:sz w:val="28"/>
          <w:szCs w:val="28"/>
        </w:rPr>
        <w:t xml:space="preserve">нахождения предприятия, о профилактике ВИЧ - инфекции в трудовых коллективах. </w:t>
      </w:r>
      <w:r/>
    </w:p>
    <w:p>
      <w:pPr>
        <w:ind w:firstLine="709"/>
        <w:jc w:val="both"/>
        <w:spacing w:after="0"/>
        <w:outlineLvl w:val="5"/>
      </w:pPr>
      <w:r>
        <w:rPr>
          <w:rFonts w:ascii="Times New Roman" w:hAnsi="Times New Roman"/>
          <w:sz w:val="28"/>
          <w:szCs w:val="28"/>
        </w:rPr>
        <w:t xml:space="preserve">Региональный омбудсмен высказалась по обсуждаемой теме, в частности осветила вопросы по созданию безопасных условий труда работников на производстве. Обратила особое внимание на правовое просвещение в области реализации и </w:t>
      </w:r>
      <w:r>
        <w:rPr>
          <w:rFonts w:ascii="Times New Roman" w:hAnsi="Times New Roman"/>
          <w:sz w:val="28"/>
          <w:szCs w:val="28"/>
        </w:rPr>
        <w:t xml:space="preserve">защиты</w:t>
      </w:r>
      <w:r>
        <w:rPr>
          <w:rFonts w:ascii="Times New Roman" w:hAnsi="Times New Roman"/>
          <w:sz w:val="28"/>
          <w:szCs w:val="28"/>
        </w:rPr>
        <w:t xml:space="preserve"> трудовых прав.</w:t>
      </w:r>
      <w:r/>
    </w:p>
    <w:p>
      <w:pPr>
        <w:ind w:firstLine="709"/>
        <w:jc w:val="both"/>
        <w:spacing w:after="0"/>
        <w:outlineLvl w:val="5"/>
      </w:pPr>
      <w:r>
        <w:rPr>
          <w:rFonts w:ascii="Times New Roman" w:hAnsi="Times New Roman"/>
          <w:sz w:val="28"/>
          <w:szCs w:val="28"/>
        </w:rPr>
        <w:t xml:space="preserve">Важно отметить, что ситуация на рынке труда Ивановской области в 2024 году продолжала демонстрировать положительные тенденции, сложившиеся годом ранее.</w:t>
      </w:r>
      <w:r/>
    </w:p>
    <w:p>
      <w:pPr>
        <w:ind w:firstLine="709"/>
        <w:jc w:val="both"/>
        <w:spacing w:after="0"/>
        <w:outlineLvl w:val="5"/>
      </w:pPr>
      <w:r>
        <w:rPr>
          <w:rFonts w:ascii="Times New Roman" w:hAnsi="Times New Roman"/>
          <w:sz w:val="28"/>
          <w:szCs w:val="28"/>
        </w:rPr>
        <w:t xml:space="preserve">Официальная безработица уменьшилась по сравнению с началом года  в 1,6 раза и к концу декабря  насчитывала  менее одной тысячи  человек.</w:t>
      </w:r>
      <w:r/>
    </w:p>
    <w:p>
      <w:pPr>
        <w:ind w:firstLine="709"/>
        <w:jc w:val="both"/>
        <w:spacing w:after="0"/>
        <w:outlineLvl w:val="5"/>
      </w:pPr>
      <w:r>
        <w:rPr>
          <w:rFonts w:ascii="Times New Roman" w:hAnsi="Times New Roman"/>
          <w:sz w:val="28"/>
          <w:szCs w:val="28"/>
        </w:rPr>
        <w:t xml:space="preserve"> Уровень зарегистрированной безработицы снизился до 0,2% от численности экономически активного населения.</w:t>
      </w:r>
      <w:r/>
    </w:p>
    <w:p>
      <w:pPr>
        <w:ind w:firstLine="709"/>
        <w:jc w:val="both"/>
        <w:spacing w:after="0"/>
        <w:outlineLvl w:val="5"/>
      </w:pPr>
      <w:r>
        <w:rPr>
          <w:rFonts w:ascii="Times New Roman" w:hAnsi="Times New Roman"/>
          <w:sz w:val="28"/>
          <w:szCs w:val="28"/>
        </w:rPr>
        <w:t xml:space="preserve">Коэффициент напряженности на рынке труда  в течение года не превышал 0,1 чел. в расчете на одно вакантное место.</w:t>
      </w:r>
      <w:r/>
    </w:p>
    <w:p>
      <w:pPr>
        <w:ind w:firstLine="709"/>
        <w:jc w:val="both"/>
        <w:spacing w:after="0"/>
        <w:outlineLvl w:val="5"/>
      </w:pPr>
      <w:r>
        <w:rPr>
          <w:rFonts w:ascii="Times New Roman" w:hAnsi="Times New Roman"/>
          <w:sz w:val="28"/>
          <w:szCs w:val="28"/>
        </w:rPr>
        <w:t xml:space="preserve">Сохранению стабильности  на рынке труда способствовала </w:t>
      </w:r>
      <w:r>
        <w:rPr>
          <w:rFonts w:ascii="Times New Roman" w:hAnsi="Times New Roman"/>
          <w:sz w:val="28"/>
          <w:szCs w:val="28"/>
        </w:rPr>
        <w:t xml:space="preserve">реализация программных мероприятий, направленных на вовлечение граждан в трудовую деятельность (организация ярмарок вакансий; профессиональное обучение по востребованным на рынке труда профессиям (с последующим  трудоустройством); содействие в организации </w:t>
      </w:r>
      <w:r>
        <w:rPr>
          <w:rFonts w:ascii="Times New Roman" w:hAnsi="Times New Roman"/>
          <w:sz w:val="28"/>
          <w:szCs w:val="28"/>
        </w:rPr>
        <w:t xml:space="preserve">самозанятости</w:t>
      </w:r>
      <w:r>
        <w:rPr>
          <w:rFonts w:ascii="Times New Roman" w:hAnsi="Times New Roman"/>
          <w:sz w:val="28"/>
          <w:szCs w:val="28"/>
        </w:rPr>
        <w:t xml:space="preserve">, включая финансовую помощь на открытие бизнеса; трудоустройство на оплачиваемые временные и общественные работы; стимулирование работодателей </w:t>
      </w:r>
      <w:r>
        <w:rPr>
          <w:rFonts w:ascii="Times New Roman" w:hAnsi="Times New Roman"/>
          <w:sz w:val="28"/>
          <w:szCs w:val="28"/>
        </w:rPr>
        <w:t xml:space="preserve">к найму на работу граждан из числа безработных  с компенсацией затрат на оплату</w:t>
      </w:r>
      <w:r>
        <w:rPr>
          <w:rFonts w:ascii="Times New Roman" w:hAnsi="Times New Roman"/>
          <w:sz w:val="28"/>
          <w:szCs w:val="28"/>
        </w:rPr>
        <w:t xml:space="preserve"> их труда и др.).</w:t>
      </w:r>
      <w:r/>
    </w:p>
    <w:p>
      <w:pPr>
        <w:ind w:firstLine="709"/>
        <w:jc w:val="both"/>
        <w:spacing w:after="0"/>
        <w:outlineLvl w:val="5"/>
      </w:pPr>
      <w:r>
        <w:rPr>
          <w:rFonts w:ascii="Times New Roman" w:hAnsi="Times New Roman"/>
          <w:sz w:val="28"/>
          <w:szCs w:val="28"/>
        </w:rPr>
        <w:t xml:space="preserve">От граждан </w:t>
      </w:r>
      <w:r>
        <w:rPr>
          <w:rFonts w:ascii="Times New Roman" w:hAnsi="Times New Roman"/>
          <w:sz w:val="28"/>
          <w:szCs w:val="28"/>
        </w:rPr>
        <w:t xml:space="preserve">предпенсионного</w:t>
      </w:r>
      <w:r>
        <w:rPr>
          <w:rFonts w:ascii="Times New Roman" w:hAnsi="Times New Roman"/>
          <w:sz w:val="28"/>
          <w:szCs w:val="28"/>
        </w:rPr>
        <w:t xml:space="preserve"> возраста, состоящих на регистрационном учете в целях поиска подходящей работы, ранее уволенных из организаций в связи с ликвидацие</w:t>
      </w:r>
      <w:r>
        <w:rPr>
          <w:rFonts w:ascii="Times New Roman" w:hAnsi="Times New Roman"/>
          <w:sz w:val="28"/>
          <w:szCs w:val="28"/>
        </w:rPr>
        <w:t xml:space="preserve">й организации, сокращением численности или штата работников, в отчетном году поступило 29 заявлений на назначение пенсии досрочно по предложению государственного учреждения службы занятости населения. По всем обращениям были приняты положительные решения. </w:t>
      </w:r>
      <w:r/>
    </w:p>
    <w:p>
      <w:pPr>
        <w:ind w:firstLine="709"/>
        <w:jc w:val="both"/>
        <w:spacing w:after="0"/>
        <w:outlineLvl w:val="5"/>
      </w:pPr>
      <w:r>
        <w:rPr>
          <w:rFonts w:ascii="Times New Roman" w:hAnsi="Times New Roman"/>
          <w:sz w:val="28"/>
          <w:szCs w:val="28"/>
        </w:rPr>
        <w:t xml:space="preserve">В отчетном периоде в органы службы занятости из учреждений медико-социальной экспертизы поступило 6359 выписок из индивидуальных программ реабилитации (</w:t>
      </w:r>
      <w:r>
        <w:rPr>
          <w:rFonts w:ascii="Times New Roman" w:hAnsi="Times New Roman"/>
          <w:sz w:val="28"/>
          <w:szCs w:val="28"/>
        </w:rPr>
        <w:t xml:space="preserve">абилитации</w:t>
      </w:r>
      <w:r>
        <w:rPr>
          <w:rFonts w:ascii="Times New Roman" w:hAnsi="Times New Roman"/>
          <w:sz w:val="28"/>
          <w:szCs w:val="28"/>
        </w:rPr>
        <w:t xml:space="preserve">) инвалидов. Проинформированы о положении на рынке труда и государственных услугах в области содействия занятости населения 1102 инвалида, давших свое согласие на обращение к ним органов службы занятости.</w:t>
      </w:r>
      <w:r/>
    </w:p>
    <w:p>
      <w:pPr>
        <w:ind w:firstLine="709"/>
        <w:jc w:val="both"/>
        <w:spacing w:after="0"/>
        <w:outlineLvl w:val="5"/>
      </w:pPr>
      <w:r>
        <w:rPr>
          <w:rFonts w:ascii="Times New Roman" w:hAnsi="Times New Roman"/>
          <w:sz w:val="28"/>
          <w:szCs w:val="28"/>
        </w:rPr>
        <w:t xml:space="preserve">Каждый третий из числа инвалидов, готовых приступить к трудовой деятельности, был трудоустроен (125 инвалидов из 303 чел., или 41,3%).</w:t>
      </w:r>
      <w:r/>
    </w:p>
    <w:p>
      <w:pPr>
        <w:ind w:firstLine="709"/>
        <w:jc w:val="both"/>
        <w:spacing w:after="0"/>
        <w:outlineLvl w:val="5"/>
      </w:pPr>
      <w:r>
        <w:rPr>
          <w:rFonts w:ascii="Times New Roman" w:hAnsi="Times New Roman"/>
          <w:sz w:val="28"/>
          <w:szCs w:val="28"/>
        </w:rPr>
        <w:t xml:space="preserve">На временные работы по профессиям диспетчер, охранник, цветочница, подсобный рабочий, почтальон, медицинский регистратор, мойщик посуды  были трудоустроены 11 инвалидов; </w:t>
      </w:r>
      <w:r>
        <w:rPr>
          <w:rFonts w:ascii="Times New Roman" w:hAnsi="Times New Roman"/>
          <w:sz w:val="28"/>
          <w:szCs w:val="28"/>
        </w:rPr>
        <w:t xml:space="preserve">профориентационными</w:t>
      </w:r>
      <w:r>
        <w:rPr>
          <w:rFonts w:ascii="Times New Roman" w:hAnsi="Times New Roman"/>
          <w:sz w:val="28"/>
          <w:szCs w:val="28"/>
        </w:rPr>
        <w:t xml:space="preserve"> услугами охвачены 125 инвалидов; 19 инвалидов приняли участие в обществ</w:t>
      </w:r>
      <w:r>
        <w:rPr>
          <w:rFonts w:ascii="Times New Roman" w:hAnsi="Times New Roman"/>
          <w:sz w:val="28"/>
          <w:szCs w:val="28"/>
        </w:rPr>
        <w:t xml:space="preserve">енных работах по профессиям: гладильщик, почтальон, уборщик территории, подсобный рабочий; консультации в рамках содействия началу осуществления предпринимательской деятельности получил 1 безработный гражданин, психологическая поддержка оказана 4 инвалидам</w:t>
      </w:r>
      <w:r/>
    </w:p>
    <w:p>
      <w:pPr>
        <w:ind w:firstLine="709"/>
        <w:jc w:val="both"/>
        <w:spacing w:after="0"/>
        <w:outlineLvl w:val="5"/>
      </w:pPr>
      <w:r>
        <w:rPr>
          <w:rFonts w:ascii="Times New Roman" w:hAnsi="Times New Roman"/>
          <w:sz w:val="28"/>
          <w:szCs w:val="28"/>
        </w:rPr>
        <w:t xml:space="preserve">Кроме того, специалисты службы занятости осуществляют полномочия в сфере  по организации сопровож</w:t>
      </w:r>
      <w:r>
        <w:rPr>
          <w:rFonts w:ascii="Times New Roman" w:hAnsi="Times New Roman"/>
          <w:sz w:val="28"/>
          <w:szCs w:val="28"/>
        </w:rPr>
        <w:t xml:space="preserve">дения при содействии занятости инвалидов.  В отчетном периоде вышеуказанную меру государственной поддержки получили 11 инвалидов, в том числе  I группы - 1 чел., II группы - 8 чел. По направлению органов службы занятости трудоустроены 11 инвалидов (100%). </w:t>
      </w:r>
      <w:r/>
    </w:p>
    <w:p>
      <w:pPr>
        <w:ind w:firstLine="709"/>
        <w:jc w:val="both"/>
        <w:spacing w:after="0"/>
        <w:outlineLvl w:val="5"/>
      </w:pPr>
      <w:r>
        <w:rPr>
          <w:rFonts w:ascii="Times New Roman" w:hAnsi="Times New Roman"/>
          <w:sz w:val="28"/>
          <w:szCs w:val="28"/>
        </w:rPr>
        <w:t xml:space="preserve">В 2025 году инвалиды с психическими расстройствами и расстройствами поведения (ментальными нарушениями) за содействием в поиске подходящей работы и получением мер государственной поддержки в органы службы занятости не обращались.</w:t>
      </w:r>
      <w:r/>
    </w:p>
    <w:p>
      <w:pPr>
        <w:ind w:firstLine="709"/>
        <w:jc w:val="both"/>
        <w:spacing w:after="0"/>
        <w:outlineLvl w:val="5"/>
      </w:pPr>
      <w:r>
        <w:rPr>
          <w:rFonts w:ascii="Times New Roman" w:hAnsi="Times New Roman"/>
          <w:sz w:val="28"/>
          <w:szCs w:val="28"/>
        </w:rPr>
        <w:t xml:space="preserve">В  2025  году Общество с ограниченной ответственностью «Кинешемское учебно-производственное предприятие» стало участ</w:t>
      </w:r>
      <w:r>
        <w:rPr>
          <w:rFonts w:ascii="Times New Roman" w:hAnsi="Times New Roman"/>
          <w:sz w:val="28"/>
          <w:szCs w:val="28"/>
        </w:rPr>
        <w:t xml:space="preserve">ником мероприятий федерального проекта «Активные меры содействия занятости» национального проекта «Кадры» в части частичного возмещения расходов  на оборудование рабочих мест для трудоустройства инвалидов I и II группы; ветеранов боевых действий, имеющих и</w:t>
      </w:r>
      <w:r>
        <w:rPr>
          <w:rFonts w:ascii="Times New Roman" w:hAnsi="Times New Roman"/>
          <w:sz w:val="28"/>
          <w:szCs w:val="28"/>
        </w:rPr>
        <w:t xml:space="preserve">нвалидность, ветеранов боевых действий, получивших инвалидность в ходе участия (содействия выполнению задач) в специальной военной операции, трудовой договор с которыми был возобновлен в соответствии со статьей 351.7 Трудового кодекса Российской Федерации.</w:t>
      </w:r>
      <w:r/>
    </w:p>
    <w:p>
      <w:pPr>
        <w:ind w:firstLine="709"/>
        <w:jc w:val="both"/>
        <w:spacing w:after="0"/>
        <w:outlineLvl w:val="5"/>
      </w:pPr>
      <w:r>
        <w:rPr>
          <w:rFonts w:ascii="Times New Roman" w:hAnsi="Times New Roman"/>
          <w:sz w:val="28"/>
          <w:szCs w:val="28"/>
        </w:rPr>
        <w:t xml:space="preserve">Предприятию возмещены расходы на оборудование двух рабочих мест для трудоустройства двух инвалидов I группы в размере 242,4 тыс. рублей.</w:t>
      </w:r>
      <w:r/>
    </w:p>
    <w:p>
      <w:pPr>
        <w:ind w:firstLine="709"/>
        <w:jc w:val="both"/>
        <w:spacing w:after="0"/>
        <w:outlineLvl w:val="5"/>
      </w:pPr>
      <w:r>
        <w:rPr>
          <w:rFonts w:ascii="Times New Roman" w:hAnsi="Times New Roman"/>
          <w:sz w:val="28"/>
          <w:szCs w:val="28"/>
        </w:rPr>
        <w:t xml:space="preserve">В 2025 го</w:t>
      </w:r>
      <w:r>
        <w:rPr>
          <w:rFonts w:ascii="Times New Roman" w:hAnsi="Times New Roman"/>
          <w:sz w:val="28"/>
          <w:szCs w:val="28"/>
        </w:rPr>
        <w:t xml:space="preserve">ду в органы службы занятости населения Ивановской области обратились 33 гражданина из числа освободившихся из мест лишения свободы и осужденных без изоляции от общества. Все они получили государственную услугу по информированию о положении на рынке труда. </w:t>
      </w:r>
      <w:r/>
    </w:p>
    <w:p>
      <w:pPr>
        <w:ind w:firstLine="709"/>
        <w:jc w:val="both"/>
        <w:spacing w:after="0"/>
        <w:outlineLvl w:val="5"/>
      </w:pPr>
      <w:r>
        <w:rPr>
          <w:rFonts w:ascii="Times New Roman" w:hAnsi="Times New Roman"/>
          <w:sz w:val="28"/>
          <w:szCs w:val="28"/>
        </w:rPr>
        <w:t xml:space="preserve">На постоянные и временные работы трудоустроены 10 человек, или 30,3% от общей численности обратившихся граждан данной категории. </w:t>
      </w:r>
      <w:r/>
    </w:p>
    <w:p>
      <w:pPr>
        <w:ind w:firstLine="709"/>
        <w:jc w:val="both"/>
        <w:spacing w:after="0"/>
        <w:outlineLvl w:val="5"/>
      </w:pPr>
      <w:r>
        <w:rPr>
          <w:rFonts w:ascii="Times New Roman" w:hAnsi="Times New Roman"/>
          <w:sz w:val="28"/>
          <w:szCs w:val="28"/>
        </w:rPr>
        <w:t xml:space="preserve">Профориентационные</w:t>
      </w:r>
      <w:r>
        <w:rPr>
          <w:rFonts w:ascii="Times New Roman" w:hAnsi="Times New Roman"/>
          <w:sz w:val="28"/>
          <w:szCs w:val="28"/>
        </w:rPr>
        <w:t xml:space="preserve"> услуги оказаны 2 гражданам, преступившим закон. </w:t>
      </w:r>
      <w:r/>
    </w:p>
    <w:p>
      <w:pPr>
        <w:ind w:firstLine="709"/>
        <w:jc w:val="both"/>
        <w:spacing w:after="0"/>
        <w:outlineLvl w:val="5"/>
      </w:pPr>
      <w:r>
        <w:rPr>
          <w:rFonts w:ascii="Times New Roman" w:hAnsi="Times New Roman"/>
          <w:sz w:val="28"/>
          <w:szCs w:val="28"/>
        </w:rPr>
        <w:t xml:space="preserve">Государственные услуги по социальной адаптации и психологической поддержке получили 13 граждан из числа освободившихся из мест лишения свободы.</w:t>
      </w:r>
      <w:r/>
    </w:p>
    <w:p>
      <w:pPr>
        <w:ind w:firstLine="709"/>
        <w:jc w:val="both"/>
        <w:spacing w:after="0"/>
        <w:outlineLvl w:val="5"/>
      </w:pPr>
      <w:r>
        <w:rPr>
          <w:rFonts w:ascii="Times New Roman" w:hAnsi="Times New Roman"/>
          <w:sz w:val="28"/>
          <w:szCs w:val="28"/>
        </w:rPr>
        <w:t xml:space="preserve">Из числа обратившихся 18 человек зарегистрированы в качестве безработных граждан с оказанием им социальной поддержки  путем выплаты пособий по безработице, стипендий и прочих выплат, предусмотренных действующим законодательством. </w:t>
      </w:r>
      <w:r/>
    </w:p>
    <w:p>
      <w:pPr>
        <w:ind w:firstLine="709"/>
        <w:jc w:val="both"/>
        <w:spacing w:after="0"/>
        <w:outlineLvl w:val="5"/>
      </w:pPr>
      <w:r>
        <w:rPr>
          <w:rFonts w:ascii="Times New Roman" w:hAnsi="Times New Roman"/>
          <w:sz w:val="28"/>
          <w:szCs w:val="28"/>
        </w:rPr>
        <w:t xml:space="preserve">Всего же в отчетном периоде в региональную службу занятости за содействием в поиске работы обратились 9,4 тыс. жителей региона, из них 2,8 тыс. чел. – подростки, желающие работать в свободное от учебы время.</w:t>
      </w:r>
      <w:r/>
    </w:p>
    <w:p>
      <w:pPr>
        <w:ind w:firstLine="709"/>
        <w:jc w:val="both"/>
        <w:spacing w:after="0"/>
        <w:rPr>
          <w:highlight w:val="none"/>
        </w:rPr>
        <w:outlineLvl w:val="5"/>
      </w:pPr>
      <w:r>
        <w:rPr>
          <w:rFonts w:ascii="Times New Roman" w:hAnsi="Times New Roman"/>
          <w:sz w:val="28"/>
          <w:szCs w:val="28"/>
        </w:rPr>
        <w:t xml:space="preserve">Получателями пособия по безработице стали 4,7 тыс. безработных граждан (с учетом численности безработных граждан, получающих выплаты на 01.01.2024). Социальные выплаты безработным гражданам осуществлены в полном объеме.</w:t>
      </w:r>
      <w:r>
        <w:rPr>
          <w:highlight w:val="none"/>
        </w:rPr>
      </w:r>
      <w:r>
        <w:rPr>
          <w:highlight w:val="none"/>
        </w:rPr>
      </w:r>
    </w:p>
    <w:p>
      <w:pPr>
        <w:ind w:firstLine="709"/>
        <w:jc w:val="both"/>
        <w:spacing w:after="0"/>
        <w:outlineLvl w:val="5"/>
      </w:pPr>
      <w:r>
        <w:rPr>
          <w:rFonts w:ascii="Times New Roman" w:hAnsi="Times New Roman"/>
          <w:sz w:val="28"/>
          <w:szCs w:val="28"/>
        </w:rPr>
        <w:t xml:space="preserve">В результате принятых мер:</w:t>
      </w:r>
      <w:r/>
    </w:p>
    <w:p>
      <w:pPr>
        <w:pStyle w:val="1227"/>
        <w:numPr>
          <w:ilvl w:val="0"/>
          <w:numId w:val="172"/>
        </w:numPr>
        <w:ind w:left="0" w:firstLine="709"/>
        <w:jc w:val="both"/>
        <w:spacing w:line="276" w:lineRule="auto"/>
        <w:rPr>
          <w:lang w:val="ru-RU"/>
        </w:rPr>
        <w:outlineLvl w:val="5"/>
      </w:pPr>
      <w:r>
        <w:rPr>
          <w:rFonts w:ascii="Times New Roman" w:hAnsi="Times New Roman"/>
          <w:sz w:val="28"/>
          <w:szCs w:val="28"/>
          <w:lang w:val="ru-RU"/>
        </w:rPr>
        <w:t xml:space="preserve"> при содействии службы занятости населения в категорию занятых перешли порядка 3,6 тыс. безработных граждан. Кроме того, для 2,8 тысяч подростков была организована временная занятость в свободное от учебы время;</w:t>
      </w:r>
      <w:r>
        <w:rPr>
          <w:lang w:val="ru-RU"/>
        </w:rPr>
      </w:r>
      <w:r>
        <w:rPr>
          <w:lang w:val="ru-RU"/>
        </w:rPr>
      </w:r>
    </w:p>
    <w:p>
      <w:pPr>
        <w:pStyle w:val="1227"/>
        <w:numPr>
          <w:ilvl w:val="0"/>
          <w:numId w:val="172"/>
        </w:numPr>
        <w:ind w:left="0" w:firstLine="709"/>
        <w:jc w:val="both"/>
        <w:spacing w:line="276" w:lineRule="auto"/>
        <w:rPr>
          <w:lang w:val="ru-RU"/>
        </w:rPr>
        <w:outlineLvl w:val="5"/>
      </w:pPr>
      <w:r>
        <w:rPr>
          <w:rFonts w:ascii="Times New Roman" w:hAnsi="Times New Roman"/>
          <w:sz w:val="28"/>
          <w:szCs w:val="28"/>
          <w:lang w:val="ru-RU"/>
        </w:rPr>
        <w:t xml:space="preserve"> уровень трудоустройства граждан, ищущих работу при содействии службы занятости населения, вырос с 66,6% в 2023 году до  67,5% - в 2024 году;</w:t>
      </w:r>
      <w:r>
        <w:rPr>
          <w:lang w:val="ru-RU"/>
        </w:rPr>
      </w:r>
      <w:r>
        <w:rPr>
          <w:lang w:val="ru-RU"/>
        </w:rPr>
      </w:r>
    </w:p>
    <w:p>
      <w:pPr>
        <w:pStyle w:val="1227"/>
        <w:numPr>
          <w:ilvl w:val="0"/>
          <w:numId w:val="172"/>
        </w:numPr>
        <w:ind w:left="0" w:firstLine="709"/>
        <w:jc w:val="both"/>
        <w:spacing w:line="276" w:lineRule="auto"/>
        <w:rPr>
          <w:lang w:val="ru-RU"/>
        </w:rPr>
        <w:outlineLvl w:val="5"/>
      </w:pPr>
      <w:r>
        <w:rPr>
          <w:rFonts w:ascii="Times New Roman" w:hAnsi="Times New Roman"/>
          <w:sz w:val="28"/>
          <w:szCs w:val="28"/>
          <w:lang w:val="ru-RU"/>
        </w:rPr>
        <w:t xml:space="preserve"> уровень безработицы (по методике МОТ)  снизился в сентябре – ноябре 2024 года до 2,3% (сентябрь - ноябрь 2023 – 3,0%).</w:t>
      </w:r>
      <w:r>
        <w:rPr>
          <w:lang w:val="ru-RU"/>
        </w:rPr>
      </w:r>
      <w:r>
        <w:rPr>
          <w:lang w:val="ru-RU"/>
        </w:rPr>
      </w:r>
    </w:p>
    <w:p>
      <w:pPr>
        <w:ind w:firstLine="709"/>
        <w:jc w:val="both"/>
        <w:spacing w:after="0"/>
        <w:outlineLvl w:val="5"/>
      </w:pPr>
      <w:r>
        <w:rPr>
          <w:rFonts w:ascii="Times New Roman" w:hAnsi="Times New Roman"/>
          <w:sz w:val="28"/>
          <w:szCs w:val="28"/>
        </w:rPr>
        <w:t xml:space="preserve">Отдельно считаем необходимо затронуть роль профсоюзов — одного из ключевых институтов гражданского общества, играющего незаменимую роль в защите трудовых прав и интересов работников.</w:t>
      </w:r>
      <w:r/>
    </w:p>
    <w:p>
      <w:pPr>
        <w:ind w:firstLine="709"/>
        <w:jc w:val="both"/>
        <w:spacing w:after="0"/>
        <w:outlineLvl w:val="5"/>
      </w:pPr>
      <w:r>
        <w:rPr>
          <w:rFonts w:ascii="Times New Roman" w:hAnsi="Times New Roman"/>
          <w:sz w:val="28"/>
          <w:szCs w:val="28"/>
        </w:rPr>
        <w:t xml:space="preserve"> Их деятельность направлена на обеспечение справедливых условий труда, предотвращение произвола работодателей и создание механизмов коллективного отстаивания прав.</w:t>
      </w:r>
      <w:r/>
    </w:p>
    <w:p>
      <w:pPr>
        <w:ind w:firstLine="709"/>
        <w:jc w:val="both"/>
        <w:spacing w:after="0"/>
        <w:outlineLvl w:val="5"/>
      </w:pPr>
      <w:r>
        <w:rPr>
          <w:rFonts w:ascii="Times New Roman" w:hAnsi="Times New Roman"/>
          <w:sz w:val="28"/>
          <w:szCs w:val="28"/>
        </w:rPr>
        <w:t xml:space="preserve">Профсоюзное движение возникло как ответ на эксплуатацию труда в период промышленной револ</w:t>
      </w:r>
      <w:r>
        <w:rPr>
          <w:rFonts w:ascii="Times New Roman" w:hAnsi="Times New Roman"/>
          <w:sz w:val="28"/>
          <w:szCs w:val="28"/>
        </w:rPr>
        <w:t xml:space="preserve">юции. Рабочие объединялись, чтобы противостоять низким зарплатам, чрезмерной продолжительности рабочего дня, опасным условиям труда и отсутствию социальных гарантий. Со временем профсоюзы стали неотъемлемой частью социально-трудовых отношений во всем мире.</w:t>
      </w:r>
      <w:r/>
    </w:p>
    <w:p>
      <w:pPr>
        <w:ind w:firstLine="709"/>
        <w:jc w:val="both"/>
        <w:spacing w:after="0"/>
        <w:outlineLvl w:val="5"/>
      </w:pPr>
      <w:r>
        <w:rPr>
          <w:rFonts w:ascii="Times New Roman" w:hAnsi="Times New Roman"/>
          <w:sz w:val="28"/>
          <w:szCs w:val="28"/>
        </w:rPr>
        <w:t xml:space="preserve">В 2025 году осуществилась реализация Соглашения по регулированию социально-трудовых и связанных с ними экономических отношений между Правительством Ивановской области, региональным союзом «Ивановское </w:t>
      </w:r>
      <w:r>
        <w:rPr>
          <w:rFonts w:ascii="Times New Roman" w:hAnsi="Times New Roman"/>
          <w:sz w:val="28"/>
          <w:szCs w:val="28"/>
        </w:rPr>
        <w:t xml:space="preserve">областное объединение организаций профсоюзов», Ивановским областным объединением работодателей «Союз промышленников и предпринимателей Ивановской области» на 2025 - 2027 годы.</w:t>
      </w:r>
      <w:r/>
    </w:p>
    <w:p>
      <w:pPr>
        <w:ind w:firstLine="709"/>
        <w:jc w:val="both"/>
        <w:spacing w:after="0"/>
        <w:outlineLvl w:val="5"/>
      </w:pPr>
      <w:r>
        <w:rPr>
          <w:rFonts w:ascii="Times New Roman" w:hAnsi="Times New Roman"/>
          <w:sz w:val="28"/>
          <w:szCs w:val="28"/>
        </w:rPr>
        <w:t xml:space="preserve">Соглашением предусмотрены обязательства об установлении окладной части в заработной плате работников бюджетных учреждений с учетом Единых рекомендаци</w:t>
      </w:r>
      <w:r>
        <w:rPr>
          <w:rFonts w:ascii="Times New Roman" w:hAnsi="Times New Roman"/>
          <w:sz w:val="28"/>
          <w:szCs w:val="28"/>
        </w:rPr>
        <w:t xml:space="preserve">й по установлению на федеральном, региональном и местном уровнях систем оплаты труда работников государственных и муниципальных учреждений, утвержденных Российской трехсторонней комиссией по регулированию социально-трудовых отношений от 50 до 70 процентов.</w:t>
      </w:r>
      <w:r/>
    </w:p>
    <w:p>
      <w:pPr>
        <w:ind w:firstLine="709"/>
        <w:jc w:val="both"/>
        <w:spacing w:after="0"/>
        <w:outlineLvl w:val="5"/>
      </w:pPr>
      <w:r>
        <w:rPr>
          <w:rFonts w:ascii="Times New Roman" w:hAnsi="Times New Roman"/>
          <w:sz w:val="28"/>
          <w:szCs w:val="28"/>
        </w:rPr>
        <w:t xml:space="preserve">Кроме того, в  2025 году реализовалось Региональное соглашение о минимальной заработной плате в Ивановской области на 2020 - 2025 годы.</w:t>
      </w:r>
      <w:r/>
    </w:p>
    <w:p>
      <w:pPr>
        <w:ind w:firstLine="709"/>
        <w:jc w:val="both"/>
        <w:spacing w:after="0"/>
        <w:outlineLvl w:val="5"/>
      </w:pPr>
      <w:r>
        <w:rPr>
          <w:rFonts w:ascii="Times New Roman" w:hAnsi="Times New Roman"/>
          <w:sz w:val="28"/>
          <w:szCs w:val="28"/>
        </w:rPr>
        <w:t xml:space="preserve">В апреле в него внесены изменения, расширяющие выплаты, которые выплачиваются сверх МРОТ, в частности, речь идет о компенсационных выплатах при выполнении работ различной квалификации, совмещении профессий (должностей), расширении зон обс</w:t>
      </w:r>
      <w:r>
        <w:rPr>
          <w:rFonts w:ascii="Times New Roman" w:hAnsi="Times New Roman"/>
          <w:sz w:val="28"/>
          <w:szCs w:val="28"/>
        </w:rPr>
        <w:t xml:space="preserve">луживания, увеличении объема работы или исполнении обязанностей временно отсутствующего работника без освобождения от работы, определенной трудовым договором, сверхурочной работе, работе в ночное время, выходные и нерабочие праздничные дни и при выполнении</w:t>
      </w:r>
      <w:r>
        <w:rPr>
          <w:rFonts w:ascii="Times New Roman" w:hAnsi="Times New Roman"/>
          <w:sz w:val="28"/>
          <w:szCs w:val="28"/>
        </w:rPr>
        <w:t xml:space="preserve"> </w:t>
      </w:r>
      <w:r>
        <w:rPr>
          <w:rFonts w:ascii="Times New Roman" w:hAnsi="Times New Roman"/>
          <w:sz w:val="28"/>
          <w:szCs w:val="28"/>
        </w:rPr>
        <w:t xml:space="preserve">работ в других условиях, отклоняющихся от нормальных), а также выплаты работникам, занятым на работах с вредными и (или) опасными условиями труда.</w:t>
      </w:r>
      <w:r>
        <w:rPr>
          <w:rFonts w:ascii="Times New Roman" w:hAnsi="Times New Roman"/>
          <w:sz w:val="28"/>
          <w:szCs w:val="28"/>
        </w:rPr>
        <w:t xml:space="preserve"> Также дополнительная оплата педагогическому работнику за выполнение с письменного согласия педагогическог</w:t>
      </w:r>
      <w:r>
        <w:rPr>
          <w:rFonts w:ascii="Times New Roman" w:hAnsi="Times New Roman"/>
          <w:sz w:val="28"/>
          <w:szCs w:val="28"/>
        </w:rPr>
        <w:t xml:space="preserve">о работника дополнительной работы, не входящей в его основные должностные обязанности в соответствии с квалификационными характеристиками по замещаемой им должности, и (или) учебной (преподавательской) работы сверх установленной нормы часов не включается. </w:t>
      </w:r>
      <w:r/>
    </w:p>
    <w:p>
      <w:pPr>
        <w:ind w:firstLine="709"/>
        <w:jc w:val="both"/>
        <w:spacing w:after="0"/>
        <w:outlineLvl w:val="5"/>
      </w:pPr>
      <w:r>
        <w:rPr>
          <w:rFonts w:ascii="Times New Roman" w:hAnsi="Times New Roman"/>
          <w:sz w:val="28"/>
          <w:szCs w:val="28"/>
        </w:rPr>
        <w:t xml:space="preserve">При внесении изменений учтены состоявшиеся постановления Конституционного Суда Российской Федерации.</w:t>
      </w:r>
      <w:r/>
    </w:p>
    <w:p>
      <w:pPr>
        <w:ind w:firstLine="709"/>
        <w:jc w:val="both"/>
        <w:spacing w:after="0"/>
        <w:outlineLvl w:val="5"/>
      </w:pPr>
      <w:r>
        <w:rPr>
          <w:rFonts w:ascii="Times New Roman" w:hAnsi="Times New Roman"/>
          <w:sz w:val="28"/>
          <w:szCs w:val="28"/>
        </w:rPr>
        <w:t xml:space="preserve">Ежеквартально проходили заседания областной трехсторонней комиссии по регулированию социально-трудовых отношений, в которой Региональный союз «Ивановское областное объединение организаций профсоюзов» (</w:t>
      </w:r>
      <w:r>
        <w:rPr>
          <w:rFonts w:ascii="Times New Roman" w:hAnsi="Times New Roman"/>
          <w:sz w:val="28"/>
          <w:szCs w:val="28"/>
        </w:rPr>
        <w:t xml:space="preserve">далее-ИОООП</w:t>
      </w:r>
      <w:r>
        <w:rPr>
          <w:rFonts w:ascii="Times New Roman" w:hAnsi="Times New Roman"/>
          <w:sz w:val="28"/>
          <w:szCs w:val="28"/>
        </w:rPr>
        <w:t xml:space="preserve">) выступает одной из трех сторон социального партнерства. Рассмотрены вопросы выполнения областного соглашения, оплаты труда, снижения уровня бедности, детского отдыха, исполнения трудового законодательства, инвестиционного климата, др.</w:t>
      </w:r>
      <w:r/>
    </w:p>
    <w:p>
      <w:pPr>
        <w:ind w:firstLine="709"/>
        <w:jc w:val="both"/>
        <w:spacing w:after="0"/>
        <w:outlineLvl w:val="5"/>
      </w:pPr>
      <w:r>
        <w:rPr>
          <w:rFonts w:ascii="Times New Roman" w:hAnsi="Times New Roman"/>
          <w:sz w:val="28"/>
          <w:szCs w:val="28"/>
        </w:rPr>
        <w:t xml:space="preserve">При рассмотрении в июне вопроса «О мерах по снижению уровня бедности» профсоюзами поднята для обсуждения проблема о том, что в </w:t>
      </w:r>
      <w:r>
        <w:rPr>
          <w:rFonts w:ascii="Times New Roman" w:hAnsi="Times New Roman"/>
          <w:sz w:val="28"/>
          <w:szCs w:val="28"/>
        </w:rPr>
        <w:t xml:space="preserve">Ивановской области с 2021 года прожиточный минимум устанавливается ниже границы бедности, опреде</w:t>
      </w:r>
      <w:r>
        <w:rPr>
          <w:rFonts w:ascii="Times New Roman" w:hAnsi="Times New Roman"/>
          <w:sz w:val="28"/>
          <w:szCs w:val="28"/>
        </w:rPr>
        <w:t xml:space="preserve">ляемой Росстатом по каждому региону. Для устранения расхождения требуются решения на федеральном уровне - необходимо изменить коэффициент региональной дифференциации, установленный для Ивановской области постановлением Правительства РФ от 26.06.2021 №1022.</w:t>
      </w:r>
      <w:r/>
    </w:p>
    <w:p>
      <w:pPr>
        <w:ind w:firstLine="709"/>
        <w:jc w:val="both"/>
        <w:spacing w:after="0"/>
        <w:outlineLvl w:val="5"/>
      </w:pPr>
      <w:r>
        <w:rPr>
          <w:rFonts w:ascii="Times New Roman" w:hAnsi="Times New Roman"/>
          <w:sz w:val="28"/>
          <w:szCs w:val="28"/>
        </w:rPr>
        <w:t xml:space="preserve">Областная комиссия пришла к мнению, что для Ивановской области необходим коэффициент не ниже 0,97, вместо </w:t>
      </w:r>
      <w:r>
        <w:rPr>
          <w:rFonts w:ascii="Times New Roman" w:hAnsi="Times New Roman"/>
          <w:sz w:val="28"/>
          <w:szCs w:val="28"/>
        </w:rPr>
        <w:t xml:space="preserve">действующего 0,94, и рекомендовала Комитету Ивановской области по труду, содействию занятости населения и трудовой миграции проработать вопрос о порядке и возможности увеличения коэффициента. К сожалению, решение вопроса до настоящего времени не наступило.</w:t>
      </w:r>
      <w:r/>
    </w:p>
    <w:p>
      <w:pPr>
        <w:ind w:firstLine="709"/>
        <w:jc w:val="both"/>
        <w:spacing w:after="0"/>
        <w:outlineLvl w:val="5"/>
      </w:pPr>
      <w:r>
        <w:rPr>
          <w:rFonts w:ascii="Times New Roman" w:hAnsi="Times New Roman"/>
          <w:sz w:val="28"/>
          <w:szCs w:val="28"/>
        </w:rPr>
        <w:t xml:space="preserve">Справедливо отметить важность отраслевых соглашений для регулирования трудовых отношений и значимость для зарплаты работников проявилась на примере МУП «Ивановский пассажирский транспорт» в Иванове. В январе Ленинский районный суд г</w:t>
      </w:r>
      <w:r>
        <w:rPr>
          <w:rFonts w:ascii="Times New Roman" w:hAnsi="Times New Roman"/>
          <w:sz w:val="28"/>
          <w:szCs w:val="28"/>
        </w:rPr>
        <w:t xml:space="preserve">.И</w:t>
      </w:r>
      <w:r>
        <w:rPr>
          <w:rFonts w:ascii="Times New Roman" w:hAnsi="Times New Roman"/>
          <w:sz w:val="28"/>
          <w:szCs w:val="28"/>
        </w:rPr>
        <w:t xml:space="preserve">ваново взыскал в пользу работника 427 тысяч рублей, в связи с тем, что МУП игнорировал отраслевое тарифное соглашение при начислении заработной плат</w:t>
      </w:r>
      <w:r>
        <w:rPr>
          <w:rFonts w:ascii="Times New Roman" w:hAnsi="Times New Roman"/>
          <w:sz w:val="28"/>
          <w:szCs w:val="28"/>
        </w:rPr>
        <w:t xml:space="preserve">ы, занизив часовую ставку у кондукторов и водителей почти в три раза меньше минимального часового МРОТ. Данное решение стало примером для других работников, которые тоже обратились в суд. Общая сумма по удовлетворенным исковым заявлениям составила более 1 </w:t>
      </w:r>
      <w:r>
        <w:rPr>
          <w:rFonts w:ascii="Times New Roman" w:hAnsi="Times New Roman"/>
          <w:sz w:val="28"/>
          <w:szCs w:val="28"/>
        </w:rPr>
        <w:t xml:space="preserve">млн</w:t>
      </w:r>
      <w:r>
        <w:rPr>
          <w:rFonts w:ascii="Times New Roman" w:hAnsi="Times New Roman"/>
          <w:sz w:val="28"/>
          <w:szCs w:val="28"/>
        </w:rPr>
        <w:t xml:space="preserve"> руб. История получила широкое освещение в СМИ.</w:t>
      </w:r>
      <w:r/>
    </w:p>
    <w:p>
      <w:pPr>
        <w:ind w:firstLine="709"/>
        <w:jc w:val="both"/>
        <w:spacing w:after="0"/>
        <w:outlineLvl w:val="5"/>
      </w:pPr>
      <w:r>
        <w:rPr>
          <w:rFonts w:ascii="Times New Roman" w:hAnsi="Times New Roman"/>
          <w:sz w:val="28"/>
          <w:szCs w:val="28"/>
        </w:rPr>
        <w:t xml:space="preserve">Однако проблема отсутствия на протяжении долгих лет областных отраслев</w:t>
      </w:r>
      <w:r>
        <w:rPr>
          <w:rFonts w:ascii="Times New Roman" w:hAnsi="Times New Roman"/>
          <w:sz w:val="28"/>
          <w:szCs w:val="28"/>
        </w:rPr>
        <w:t xml:space="preserve">ых соглашений по регулированию социально-трудовых отношений в ключевых для экономики региона отраслях: машиностроении, текстильной промышленности, строительстве, автомобильном транспорте, дорожном хозяйстве, решения в 2025 году, как и прежде, не получила. </w:t>
      </w:r>
      <w:r/>
    </w:p>
    <w:p>
      <w:pPr>
        <w:ind w:firstLine="709"/>
        <w:jc w:val="both"/>
        <w:spacing w:after="0"/>
        <w:outlineLvl w:val="5"/>
      </w:pPr>
      <w:r>
        <w:rPr>
          <w:rFonts w:ascii="Times New Roman" w:hAnsi="Times New Roman"/>
          <w:sz w:val="28"/>
          <w:szCs w:val="28"/>
        </w:rPr>
        <w:t xml:space="preserve">Технической и правовой инспекциями труда ИОООП в 2025 году по обращению обкомов профсоюзов были осуществлено 13 проверок соблюдения трудового законодательства по вопросам трудового законодательства РФ  и иных нормати</w:t>
      </w:r>
      <w:r>
        <w:rPr>
          <w:rFonts w:ascii="Times New Roman" w:hAnsi="Times New Roman"/>
          <w:sz w:val="28"/>
          <w:szCs w:val="28"/>
        </w:rPr>
        <w:t xml:space="preserve">вных правовых актов, содержащих нормы трудового права и охраны труда. По результатам проверок было выдано 13 представлений на устранение выявленных нарушений трудового законодательства и иных нормативных правовых актов, содержащих требования охраны труда. </w:t>
      </w:r>
      <w:r/>
    </w:p>
    <w:p>
      <w:pPr>
        <w:ind w:firstLine="709"/>
        <w:jc w:val="both"/>
        <w:spacing w:after="0"/>
        <w:outlineLvl w:val="5"/>
      </w:pPr>
      <w:r>
        <w:rPr>
          <w:rFonts w:ascii="Times New Roman" w:hAnsi="Times New Roman"/>
          <w:sz w:val="28"/>
          <w:szCs w:val="28"/>
        </w:rPr>
        <w:t xml:space="preserve">Практика показывает, что нарушения выявляются однотипные, наиболее часто встречаются следующие нарушения:</w:t>
      </w:r>
      <w:r/>
    </w:p>
    <w:p>
      <w:pPr>
        <w:pStyle w:val="1227"/>
        <w:numPr>
          <w:ilvl w:val="0"/>
          <w:numId w:val="150"/>
        </w:numPr>
        <w:ind w:left="0" w:firstLine="709"/>
        <w:jc w:val="both"/>
        <w:spacing w:line="276" w:lineRule="auto"/>
        <w:rPr>
          <w:lang w:val="ru-RU"/>
        </w:rPr>
        <w:outlineLvl w:val="5"/>
      </w:pPr>
      <w:r>
        <w:rPr>
          <w:rFonts w:ascii="Times New Roman" w:hAnsi="Times New Roman"/>
          <w:sz w:val="28"/>
          <w:szCs w:val="28"/>
          <w:lang w:val="ru-RU"/>
        </w:rPr>
        <w:t xml:space="preserve">локальные акты принимаются без учета мнения выборного органа первичной профсоюзной организации, </w:t>
      </w:r>
      <w:r>
        <w:rPr>
          <w:rFonts w:ascii="Times New Roman" w:hAnsi="Times New Roman"/>
          <w:sz w:val="28"/>
          <w:szCs w:val="28"/>
          <w:lang w:val="ru-RU"/>
        </w:rPr>
        <w:t xml:space="preserve">представляющий</w:t>
      </w:r>
      <w:r>
        <w:rPr>
          <w:rFonts w:ascii="Times New Roman" w:hAnsi="Times New Roman"/>
          <w:sz w:val="28"/>
          <w:szCs w:val="28"/>
          <w:lang w:val="ru-RU"/>
        </w:rPr>
        <w:t xml:space="preserve"> интересы всех или большинства работников; </w:t>
      </w:r>
      <w:r>
        <w:rPr>
          <w:lang w:val="ru-RU"/>
        </w:rPr>
      </w:r>
      <w:r>
        <w:rPr>
          <w:lang w:val="ru-RU"/>
        </w:rPr>
      </w:r>
    </w:p>
    <w:p>
      <w:pPr>
        <w:pStyle w:val="1227"/>
        <w:numPr>
          <w:ilvl w:val="0"/>
          <w:numId w:val="150"/>
        </w:numPr>
        <w:ind w:left="0" w:firstLine="709"/>
        <w:jc w:val="both"/>
        <w:spacing w:line="276" w:lineRule="auto"/>
        <w:rPr>
          <w:lang w:val="ru-RU"/>
        </w:rPr>
        <w:outlineLvl w:val="5"/>
      </w:pPr>
      <w:r>
        <w:rPr>
          <w:rFonts w:ascii="Times New Roman" w:hAnsi="Times New Roman"/>
          <w:sz w:val="28"/>
          <w:szCs w:val="28"/>
          <w:lang w:val="ru-RU"/>
        </w:rPr>
        <w:t xml:space="preserve">принятыми локальными актами работодателя работников не знакомят под роспись; </w:t>
      </w:r>
      <w:r>
        <w:rPr>
          <w:lang w:val="ru-RU"/>
        </w:rPr>
      </w:r>
      <w:r>
        <w:rPr>
          <w:lang w:val="ru-RU"/>
        </w:rPr>
      </w:r>
    </w:p>
    <w:p>
      <w:pPr>
        <w:pStyle w:val="1227"/>
        <w:numPr>
          <w:ilvl w:val="0"/>
          <w:numId w:val="150"/>
        </w:numPr>
        <w:ind w:left="0" w:firstLine="709"/>
        <w:jc w:val="both"/>
        <w:spacing w:line="276" w:lineRule="auto"/>
        <w:rPr>
          <w:lang w:val="ru-RU"/>
        </w:rPr>
        <w:outlineLvl w:val="5"/>
      </w:pPr>
      <w:r>
        <w:rPr>
          <w:rFonts w:ascii="Times New Roman" w:hAnsi="Times New Roman"/>
          <w:sz w:val="28"/>
          <w:szCs w:val="28"/>
          <w:lang w:val="ru-RU"/>
        </w:rPr>
        <w:t xml:space="preserve">нарушаются сроки выплаты заработной платы при предоставлении оплаченного отпуска и при увольнении; </w:t>
      </w:r>
      <w:r>
        <w:rPr>
          <w:lang w:val="ru-RU"/>
        </w:rPr>
      </w:r>
      <w:r>
        <w:rPr>
          <w:lang w:val="ru-RU"/>
        </w:rPr>
      </w:r>
    </w:p>
    <w:p>
      <w:pPr>
        <w:pStyle w:val="1227"/>
        <w:numPr>
          <w:ilvl w:val="0"/>
          <w:numId w:val="150"/>
        </w:numPr>
        <w:ind w:left="0" w:firstLine="709"/>
        <w:jc w:val="both"/>
        <w:spacing w:line="276" w:lineRule="auto"/>
        <w:rPr>
          <w:lang w:val="ru-RU"/>
        </w:rPr>
        <w:outlineLvl w:val="5"/>
      </w:pPr>
      <w:r>
        <w:rPr>
          <w:rFonts w:ascii="Times New Roman" w:hAnsi="Times New Roman"/>
          <w:sz w:val="28"/>
          <w:szCs w:val="28"/>
          <w:lang w:val="ru-RU"/>
        </w:rPr>
        <w:t xml:space="preserve">не начисляется денежная компенсация за задержку выплаты заработной платы и других выплат, причитающихся работнику;</w:t>
      </w:r>
      <w:r>
        <w:rPr>
          <w:lang w:val="ru-RU"/>
        </w:rPr>
      </w:r>
      <w:r>
        <w:rPr>
          <w:lang w:val="ru-RU"/>
        </w:rPr>
      </w:r>
    </w:p>
    <w:p>
      <w:pPr>
        <w:pStyle w:val="1227"/>
        <w:numPr>
          <w:ilvl w:val="0"/>
          <w:numId w:val="150"/>
        </w:numPr>
        <w:ind w:left="0" w:firstLine="709"/>
        <w:jc w:val="both"/>
        <w:spacing w:line="276" w:lineRule="auto"/>
        <w:rPr>
          <w:lang w:val="ru-RU"/>
        </w:rPr>
        <w:outlineLvl w:val="5"/>
      </w:pPr>
      <w:r>
        <w:rPr>
          <w:rFonts w:ascii="Times New Roman" w:hAnsi="Times New Roman"/>
          <w:sz w:val="28"/>
          <w:szCs w:val="28"/>
          <w:lang w:val="ru-RU"/>
        </w:rPr>
        <w:t xml:space="preserve">не производится оплата в повышенном размере за работу в ночное время;</w:t>
      </w:r>
      <w:r>
        <w:rPr>
          <w:lang w:val="ru-RU"/>
        </w:rPr>
      </w:r>
      <w:r>
        <w:rPr>
          <w:lang w:val="ru-RU"/>
        </w:rPr>
      </w:r>
    </w:p>
    <w:p>
      <w:pPr>
        <w:pStyle w:val="1227"/>
        <w:numPr>
          <w:ilvl w:val="0"/>
          <w:numId w:val="150"/>
        </w:numPr>
        <w:ind w:left="0" w:firstLine="709"/>
        <w:jc w:val="both"/>
        <w:spacing w:line="276" w:lineRule="auto"/>
        <w:rPr>
          <w:lang w:val="ru-RU"/>
        </w:rPr>
        <w:outlineLvl w:val="5"/>
      </w:pPr>
      <w:r>
        <w:rPr>
          <w:rFonts w:ascii="Times New Roman" w:hAnsi="Times New Roman"/>
          <w:sz w:val="28"/>
          <w:szCs w:val="28"/>
          <w:lang w:val="ru-RU"/>
        </w:rPr>
        <w:t xml:space="preserve">п</w:t>
      </w:r>
      <w:r>
        <w:rPr>
          <w:rFonts w:ascii="Times New Roman" w:hAnsi="Times New Roman"/>
          <w:sz w:val="28"/>
          <w:szCs w:val="28"/>
          <w:lang w:val="ru-RU"/>
        </w:rPr>
        <w:t xml:space="preserve">ри заключении трудовых договоров, в том числе и с работниками по совместительству, не включаются обязательными для включения в трудовой договор условия (условия труда на рабочем месте, режим рабочего времени и времени отдыха, оплата труда в полном объеме);</w:t>
      </w:r>
      <w:r>
        <w:rPr>
          <w:lang w:val="ru-RU"/>
        </w:rPr>
      </w:r>
      <w:r>
        <w:rPr>
          <w:lang w:val="ru-RU"/>
        </w:rPr>
      </w:r>
    </w:p>
    <w:p>
      <w:pPr>
        <w:pStyle w:val="1227"/>
        <w:numPr>
          <w:ilvl w:val="0"/>
          <w:numId w:val="150"/>
        </w:numPr>
        <w:ind w:left="0" w:firstLine="709"/>
        <w:jc w:val="both"/>
        <w:spacing w:line="276" w:lineRule="auto"/>
        <w:rPr>
          <w:lang w:val="ru-RU"/>
        </w:rPr>
        <w:outlineLvl w:val="5"/>
      </w:pPr>
      <w:r>
        <w:rPr>
          <w:rFonts w:ascii="Times New Roman" w:hAnsi="Times New Roman"/>
          <w:sz w:val="28"/>
          <w:szCs w:val="28"/>
          <w:lang w:val="ru-RU"/>
        </w:rPr>
        <w:t xml:space="preserve">не обеспечивается функционирование системы управления охраной труда, не проводятся системные мероприятия по управлению профессиональными рисками на рабочих местах, связанные с выявлением опасностей, оценкой и снижением уровней профессиональных рисков;</w:t>
      </w:r>
      <w:r>
        <w:rPr>
          <w:lang w:val="ru-RU"/>
        </w:rPr>
      </w:r>
      <w:r>
        <w:rPr>
          <w:lang w:val="ru-RU"/>
        </w:rPr>
      </w:r>
    </w:p>
    <w:p>
      <w:pPr>
        <w:pStyle w:val="1227"/>
        <w:numPr>
          <w:ilvl w:val="0"/>
          <w:numId w:val="150"/>
        </w:numPr>
        <w:ind w:left="0" w:firstLine="709"/>
        <w:jc w:val="both"/>
        <w:spacing w:line="276" w:lineRule="auto"/>
        <w:rPr>
          <w:lang w:val="ru-RU"/>
        </w:rPr>
        <w:outlineLvl w:val="5"/>
      </w:pPr>
      <w:r>
        <w:rPr>
          <w:rFonts w:ascii="Times New Roman" w:hAnsi="Times New Roman"/>
          <w:sz w:val="28"/>
          <w:szCs w:val="28"/>
          <w:lang w:val="ru-RU"/>
        </w:rPr>
        <w:t xml:space="preserve">не пересматриваются своевременно в связи с изменением законодательства локальные акты по охране </w:t>
      </w:r>
      <w:r>
        <w:rPr>
          <w:rFonts w:ascii="Times New Roman" w:hAnsi="Times New Roman"/>
          <w:sz w:val="28"/>
          <w:szCs w:val="28"/>
          <w:lang w:val="ru-RU"/>
        </w:rPr>
        <w:t xml:space="preserve">труда</w:t>
      </w:r>
      <w:r>
        <w:rPr>
          <w:rFonts w:ascii="Times New Roman" w:hAnsi="Times New Roman"/>
          <w:sz w:val="28"/>
          <w:szCs w:val="28"/>
          <w:lang w:val="ru-RU"/>
        </w:rPr>
        <w:t xml:space="preserve"> в том числе инструкции по охране труда;  </w:t>
      </w:r>
      <w:r>
        <w:rPr>
          <w:lang w:val="ru-RU"/>
        </w:rPr>
      </w:r>
      <w:r>
        <w:rPr>
          <w:lang w:val="ru-RU"/>
        </w:rPr>
      </w:r>
    </w:p>
    <w:p>
      <w:pPr>
        <w:pStyle w:val="1227"/>
        <w:numPr>
          <w:ilvl w:val="0"/>
          <w:numId w:val="150"/>
        </w:numPr>
        <w:ind w:left="0" w:firstLine="709"/>
        <w:jc w:val="both"/>
        <w:spacing w:line="276" w:lineRule="auto"/>
        <w:rPr>
          <w:lang w:val="ru-RU"/>
        </w:rPr>
        <w:outlineLvl w:val="5"/>
      </w:pPr>
      <w:r>
        <w:rPr>
          <w:rFonts w:ascii="Times New Roman" w:hAnsi="Times New Roman"/>
          <w:sz w:val="28"/>
          <w:szCs w:val="28"/>
          <w:lang w:val="ru-RU"/>
        </w:rPr>
        <w:t xml:space="preserve">нарушаются сроки и порядок регистрации поведения инструктажей по охране труда;</w:t>
      </w:r>
      <w:r>
        <w:rPr>
          <w:lang w:val="ru-RU"/>
        </w:rPr>
      </w:r>
      <w:r>
        <w:rPr>
          <w:lang w:val="ru-RU"/>
        </w:rPr>
      </w:r>
    </w:p>
    <w:p>
      <w:pPr>
        <w:pStyle w:val="1227"/>
        <w:numPr>
          <w:ilvl w:val="0"/>
          <w:numId w:val="150"/>
        </w:numPr>
        <w:ind w:left="0" w:firstLine="709"/>
        <w:jc w:val="both"/>
        <w:spacing w:line="276" w:lineRule="auto"/>
        <w:rPr>
          <w:lang w:val="ru-RU"/>
        </w:rPr>
        <w:outlineLvl w:val="5"/>
      </w:pPr>
      <w:r>
        <w:rPr>
          <w:rFonts w:ascii="Times New Roman" w:hAnsi="Times New Roman"/>
          <w:sz w:val="28"/>
          <w:szCs w:val="28"/>
          <w:lang w:val="ru-RU"/>
        </w:rPr>
        <w:t xml:space="preserve">нарушается порядок допуска работников к выполнению работ, нарушаются сроки </w:t>
      </w:r>
      <w:r>
        <w:rPr>
          <w:rFonts w:ascii="Times New Roman" w:hAnsi="Times New Roman"/>
          <w:sz w:val="28"/>
          <w:szCs w:val="28"/>
          <w:lang w:val="ru-RU"/>
        </w:rPr>
        <w:t xml:space="preserve">обучения по охране</w:t>
      </w:r>
      <w:r>
        <w:rPr>
          <w:rFonts w:ascii="Times New Roman" w:hAnsi="Times New Roman"/>
          <w:sz w:val="28"/>
          <w:szCs w:val="28"/>
          <w:lang w:val="ru-RU"/>
        </w:rPr>
        <w:t xml:space="preserve"> труда, обучения по оказанию первой помощи пострадавшим на производстве, обязательных медицинских осмотров, обязательных психиатрических освидетельствований.</w:t>
      </w:r>
      <w:r>
        <w:rPr>
          <w:lang w:val="ru-RU"/>
        </w:rPr>
      </w:r>
      <w:r>
        <w:rPr>
          <w:lang w:val="ru-RU"/>
        </w:rPr>
      </w:r>
    </w:p>
    <w:p>
      <w:pPr>
        <w:ind w:firstLine="709"/>
        <w:jc w:val="both"/>
        <w:spacing w:after="0"/>
        <w:outlineLvl w:val="5"/>
      </w:pPr>
      <w:r>
        <w:rPr>
          <w:rFonts w:ascii="Times New Roman" w:hAnsi="Times New Roman"/>
          <w:sz w:val="28"/>
          <w:szCs w:val="28"/>
        </w:rPr>
        <w:t xml:space="preserve">Кроме того, в 2025году в ИОООП поступило 56 извещений о несчастных случаях, произошедших в области, среди которых смертельные, тяжелые и групповые. ИОООП направляло представителей в составы комиссий по расследованию. Сохраняются в</w:t>
      </w:r>
      <w:r>
        <w:rPr>
          <w:rFonts w:ascii="Times New Roman" w:hAnsi="Times New Roman"/>
          <w:sz w:val="28"/>
          <w:szCs w:val="28"/>
        </w:rPr>
        <w:t xml:space="preserve">ысокие показатели смертей работников на рабочих местах по причинам, не связанным с производством. Связанными с производством признано 4 смертельных и 15 тяжелых случаев, от общих заболеваний на работе умерло 18 человек. Несколько случаев еще расследуются. </w:t>
      </w:r>
      <w:r/>
    </w:p>
    <w:p>
      <w:pPr>
        <w:ind w:firstLine="709"/>
        <w:jc w:val="both"/>
        <w:spacing w:after="0"/>
        <w:outlineLvl w:val="5"/>
      </w:pPr>
      <w:r>
        <w:rPr>
          <w:rFonts w:ascii="Times New Roman" w:hAnsi="Times New Roman"/>
          <w:sz w:val="28"/>
          <w:szCs w:val="28"/>
        </w:rPr>
        <w:t xml:space="preserve">По предложению ИОООП, областная межведомственная комиссия по охране при рассмотрении 17.06.2025 вопроса «О повышении качества обязательных медицинских осмотров и участии работодателей в организации </w:t>
      </w:r>
      <w:r>
        <w:rPr>
          <w:rFonts w:ascii="Times New Roman" w:hAnsi="Times New Roman"/>
          <w:sz w:val="28"/>
          <w:szCs w:val="28"/>
        </w:rPr>
        <w:t xml:space="preserve">диспансеризации работников внесла» внесла в протокол заседания рекомендацию в адрес органов государс</w:t>
      </w:r>
      <w:r>
        <w:rPr>
          <w:rFonts w:ascii="Times New Roman" w:hAnsi="Times New Roman"/>
          <w:sz w:val="28"/>
          <w:szCs w:val="28"/>
        </w:rPr>
        <w:t xml:space="preserve">твенной власти и местного самоуправления, проработать вопрос об установлении для руководителей государственных учреждений Ивановской области критерия оценки эффективности деятельности «Организация прохождения работниками учреждения диспансеризации по месту</w:t>
      </w:r>
      <w:r>
        <w:rPr>
          <w:rFonts w:ascii="Times New Roman" w:hAnsi="Times New Roman"/>
          <w:sz w:val="28"/>
          <w:szCs w:val="28"/>
        </w:rPr>
        <w:t xml:space="preserve"> работы». </w:t>
      </w:r>
      <w:r/>
    </w:p>
    <w:p>
      <w:pPr>
        <w:jc w:val="both"/>
        <w:spacing w:after="0"/>
        <w:rPr>
          <w:rFonts w:ascii="Times New Roman" w:hAnsi="Times New Roman"/>
          <w:i/>
          <w:sz w:val="28"/>
          <w:szCs w:val="28"/>
        </w:rPr>
        <w:outlineLvl w:val="5"/>
      </w:pPr>
      <w:r>
        <w:rPr>
          <w:rFonts w:ascii="Times New Roman" w:hAnsi="Times New Roman"/>
          <w:i/>
          <w:sz w:val="28"/>
          <w:szCs w:val="28"/>
        </w:rPr>
      </w:r>
      <w:r>
        <w:rPr>
          <w:rFonts w:ascii="Times New Roman" w:hAnsi="Times New Roman"/>
          <w:i/>
          <w:sz w:val="28"/>
          <w:szCs w:val="28"/>
        </w:rPr>
      </w:r>
      <w:r>
        <w:rPr>
          <w:rFonts w:ascii="Times New Roman" w:hAnsi="Times New Roman"/>
          <w:i/>
          <w:sz w:val="28"/>
          <w:szCs w:val="28"/>
        </w:rPr>
      </w:r>
    </w:p>
    <w:p>
      <w:pPr>
        <w:pStyle w:val="1226"/>
        <w:rPr>
          <w:rFonts w:ascii="Times New Roman" w:hAnsi="Times New Roman" w:eastAsia="Times New Roman"/>
          <w:b/>
          <w:bCs/>
          <w:sz w:val="28"/>
          <w:szCs w:val="28"/>
        </w:rPr>
      </w:pPr>
      <w:r/>
      <w:bookmarkStart w:id="50" w:name="_Toc28"/>
      <w:r>
        <w:rPr>
          <w:rStyle w:val="1252"/>
          <w:rFonts w:ascii="Times New Roman" w:hAnsi="Times New Roman" w:eastAsia="Times New Roman" w:cs="Times New Roman"/>
          <w:color w:val="000000" w:themeColor="text1"/>
          <w:sz w:val="28"/>
          <w:szCs w:val="28"/>
        </w:rPr>
        <w:t xml:space="preserve">Уполномоченный рекомендует</w:t>
      </w:r>
      <w:r>
        <w:rPr>
          <w:rFonts w:ascii="Times New Roman" w:hAnsi="Times New Roman" w:eastAsia="Times New Roman"/>
          <w:b/>
          <w:bCs/>
          <w:sz w:val="28"/>
          <w:szCs w:val="28"/>
        </w:rPr>
        <w:t xml:space="preserve">: </w:t>
      </w:r>
      <w:r>
        <w:rPr>
          <w:rFonts w:ascii="Times New Roman" w:hAnsi="Times New Roman" w:eastAsia="Times New Roman"/>
          <w:b/>
          <w:bCs/>
          <w:sz w:val="28"/>
          <w:szCs w:val="28"/>
        </w:rPr>
      </w:r>
      <w:bookmarkEnd w:id="50"/>
      <w:r>
        <w:rPr>
          <w:rFonts w:ascii="Times New Roman" w:hAnsi="Times New Roman" w:eastAsia="Times New Roman"/>
          <w:b/>
          <w:bCs/>
          <w:sz w:val="28"/>
          <w:szCs w:val="28"/>
        </w:rPr>
      </w:r>
      <w:r>
        <w:rPr>
          <w:rFonts w:ascii="Times New Roman" w:hAnsi="Times New Roman" w:eastAsia="Times New Roman"/>
          <w:b/>
          <w:bCs/>
          <w:sz w:val="28"/>
          <w:szCs w:val="28"/>
        </w:rPr>
      </w:r>
    </w:p>
    <w:p>
      <w:pPr>
        <w:jc w:val="both"/>
        <w:spacing w:after="0"/>
        <w:rPr>
          <w:rFonts w:ascii="Times New Roman" w:hAnsi="Times New Roman"/>
          <w:b/>
          <w:bCs/>
          <w:sz w:val="28"/>
          <w:szCs w:val="28"/>
        </w:rPr>
      </w:pPr>
      <w:r>
        <w:rPr>
          <w:rFonts w:ascii="Times New Roman" w:hAnsi="Times New Roman"/>
          <w:b/>
          <w:bCs/>
          <w:sz w:val="28"/>
          <w:szCs w:val="28"/>
        </w:rPr>
      </w:r>
      <w:r>
        <w:rPr>
          <w:rFonts w:ascii="Times New Roman" w:hAnsi="Times New Roman"/>
          <w:b/>
          <w:bCs/>
          <w:sz w:val="28"/>
          <w:szCs w:val="28"/>
        </w:rPr>
      </w:r>
      <w:r>
        <w:rPr>
          <w:rFonts w:ascii="Times New Roman" w:hAnsi="Times New Roman"/>
          <w:b/>
          <w:bCs/>
          <w:sz w:val="28"/>
          <w:szCs w:val="28"/>
        </w:rPr>
      </w:r>
    </w:p>
    <w:p>
      <w:pPr>
        <w:ind w:firstLine="709"/>
        <w:jc w:val="both"/>
        <w:spacing w:after="0"/>
        <w:shd w:val="clear" w:color="auto" w:fill="ffffff"/>
        <w:rPr>
          <w:rFonts w:ascii="Times New Roman" w:hAnsi="Times New Roman"/>
          <w:b/>
          <w:i/>
          <w:sz w:val="28"/>
          <w:szCs w:val="28"/>
        </w:rPr>
      </w:pPr>
      <w:r>
        <w:rPr>
          <w:rFonts w:ascii="Times New Roman" w:hAnsi="Times New Roman" w:eastAsia="Times New Roman"/>
          <w:b/>
          <w:i/>
          <w:sz w:val="28"/>
          <w:szCs w:val="28"/>
        </w:rPr>
        <w:t xml:space="preserve">Правительству Ивановской области:</w:t>
      </w:r>
      <w:r>
        <w:rPr>
          <w:rFonts w:ascii="Times New Roman" w:hAnsi="Times New Roman"/>
          <w:b/>
          <w:i/>
          <w:sz w:val="28"/>
          <w:szCs w:val="28"/>
        </w:rPr>
      </w:r>
      <w:r>
        <w:rPr>
          <w:rFonts w:ascii="Times New Roman" w:hAnsi="Times New Roman"/>
          <w:b/>
          <w:i/>
          <w:sz w:val="28"/>
          <w:szCs w:val="28"/>
        </w:rPr>
      </w:r>
    </w:p>
    <w:p>
      <w:pPr>
        <w:pStyle w:val="1227"/>
        <w:numPr>
          <w:ilvl w:val="0"/>
          <w:numId w:val="151"/>
        </w:numPr>
        <w:ind w:left="0" w:firstLine="709"/>
        <w:jc w:val="both"/>
        <w:spacing w:line="276" w:lineRule="auto"/>
        <w:shd w:val="clear" w:color="auto" w:fill="ffffff"/>
        <w:rPr>
          <w:rFonts w:ascii="Times New Roman" w:hAnsi="Times New Roman"/>
          <w:sz w:val="28"/>
          <w:szCs w:val="28"/>
          <w:lang w:val="ru-RU"/>
        </w:rPr>
      </w:pPr>
      <w:r>
        <w:rPr>
          <w:rFonts w:ascii="Times New Roman" w:hAnsi="Times New Roman" w:eastAsia="Times New Roman"/>
          <w:bCs/>
          <w:sz w:val="28"/>
          <w:szCs w:val="28"/>
          <w:lang w:val="ru-RU"/>
        </w:rPr>
        <w:t xml:space="preserve">продолжить работу с Правительством Рос</w:t>
      </w:r>
      <w:r>
        <w:rPr>
          <w:rFonts w:ascii="Times New Roman" w:hAnsi="Times New Roman" w:eastAsia="Times New Roman"/>
          <w:bCs/>
          <w:sz w:val="28"/>
          <w:szCs w:val="28"/>
          <w:lang w:val="ru-RU"/>
        </w:rPr>
        <w:t xml:space="preserve">сийской Федерации по изменению коэффициента региональной дифференциации, применяемого при установлении величины прожиточного минимума в Ивановской области, с учетом предложений областной трехсторонней комиссии по регулированию социально-трудовых отношений;</w:t>
      </w:r>
      <w:r>
        <w:rPr>
          <w:rFonts w:ascii="Times New Roman" w:hAnsi="Times New Roman"/>
          <w:sz w:val="28"/>
          <w:szCs w:val="28"/>
          <w:lang w:val="ru-RU"/>
        </w:rPr>
      </w:r>
      <w:r>
        <w:rPr>
          <w:rFonts w:ascii="Times New Roman" w:hAnsi="Times New Roman"/>
          <w:sz w:val="28"/>
          <w:szCs w:val="28"/>
          <w:lang w:val="ru-RU"/>
        </w:rPr>
      </w:r>
    </w:p>
    <w:p>
      <w:pPr>
        <w:pStyle w:val="1227"/>
        <w:numPr>
          <w:ilvl w:val="0"/>
          <w:numId w:val="151"/>
        </w:numPr>
        <w:ind w:left="0" w:firstLine="709"/>
        <w:jc w:val="both"/>
        <w:spacing w:line="276" w:lineRule="auto"/>
        <w:shd w:val="clear" w:color="auto" w:fill="ffffff"/>
        <w:rPr>
          <w:rFonts w:ascii="Times New Roman" w:hAnsi="Times New Roman" w:eastAsia="Times New Roman"/>
          <w:sz w:val="28"/>
          <w:szCs w:val="28"/>
          <w:lang w:val="ru-RU"/>
        </w:rPr>
      </w:pPr>
      <w:r>
        <w:rPr>
          <w:rFonts w:ascii="Times New Roman" w:hAnsi="Times New Roman" w:eastAsia="Times New Roman"/>
          <w:bCs/>
          <w:sz w:val="28"/>
          <w:szCs w:val="28"/>
          <w:lang w:val="ru-RU"/>
        </w:rPr>
        <w:t xml:space="preserve">принять нормативный правовой акт, регулирующий труд наставников в государственных учреждениях Ивановской области.</w:t>
      </w:r>
      <w:r>
        <w:rPr>
          <w:rFonts w:ascii="Times New Roman" w:hAnsi="Times New Roman" w:eastAsia="Times New Roman"/>
          <w:sz w:val="28"/>
          <w:szCs w:val="28"/>
          <w:lang w:val="ru-RU"/>
        </w:rPr>
      </w:r>
      <w:r>
        <w:rPr>
          <w:rFonts w:ascii="Times New Roman" w:hAnsi="Times New Roman" w:eastAsia="Times New Roman"/>
          <w:sz w:val="28"/>
          <w:szCs w:val="28"/>
          <w:lang w:val="ru-RU"/>
        </w:rPr>
      </w:r>
    </w:p>
    <w:p>
      <w:pPr>
        <w:ind w:firstLine="709"/>
        <w:jc w:val="both"/>
        <w:spacing w:after="0"/>
        <w:shd w:val="clear" w:color="auto" w:fill="ffffff"/>
        <w:rPr>
          <w:rFonts w:ascii="Times New Roman" w:hAnsi="Times New Roman"/>
          <w:sz w:val="28"/>
          <w:szCs w:val="28"/>
        </w:rPr>
      </w:pPr>
      <w:r>
        <w:rPr>
          <w:rFonts w:ascii="Times New Roman" w:hAnsi="Times New Roman"/>
          <w:sz w:val="28"/>
          <w:szCs w:val="28"/>
        </w:rPr>
      </w:r>
      <w:r>
        <w:rPr>
          <w:rFonts w:ascii="Times New Roman" w:hAnsi="Times New Roman"/>
          <w:sz w:val="28"/>
          <w:szCs w:val="28"/>
        </w:rPr>
      </w:r>
      <w:r>
        <w:rPr>
          <w:rFonts w:ascii="Times New Roman" w:hAnsi="Times New Roman"/>
          <w:sz w:val="28"/>
          <w:szCs w:val="28"/>
        </w:rPr>
      </w:r>
    </w:p>
    <w:p>
      <w:pPr>
        <w:ind w:firstLine="709"/>
        <w:jc w:val="both"/>
        <w:spacing w:after="0"/>
        <w:shd w:val="clear" w:color="auto" w:fill="ffffff"/>
        <w:rPr>
          <w:rFonts w:ascii="Times New Roman" w:hAnsi="Times New Roman"/>
          <w:b/>
          <w:bCs/>
          <w:i/>
          <w:sz w:val="28"/>
          <w:szCs w:val="28"/>
        </w:rPr>
      </w:pPr>
      <w:r>
        <w:rPr>
          <w:rFonts w:ascii="Times New Roman" w:hAnsi="Times New Roman" w:eastAsia="Times New Roman"/>
          <w:b/>
          <w:bCs/>
          <w:i/>
          <w:sz w:val="28"/>
          <w:szCs w:val="28"/>
        </w:rPr>
        <w:t xml:space="preserve">Департаменту здравоохранения Ивановской области, Департаменту экономического развития и торговли Ивановской области:</w:t>
      </w:r>
      <w:r>
        <w:rPr>
          <w:rFonts w:ascii="Times New Roman" w:hAnsi="Times New Roman"/>
          <w:b/>
          <w:bCs/>
          <w:i/>
          <w:sz w:val="28"/>
          <w:szCs w:val="28"/>
        </w:rPr>
      </w:r>
      <w:r>
        <w:rPr>
          <w:rFonts w:ascii="Times New Roman" w:hAnsi="Times New Roman"/>
          <w:b/>
          <w:bCs/>
          <w:i/>
          <w:sz w:val="28"/>
          <w:szCs w:val="28"/>
        </w:rPr>
      </w:r>
    </w:p>
    <w:p>
      <w:pPr>
        <w:pStyle w:val="1227"/>
        <w:numPr>
          <w:ilvl w:val="0"/>
          <w:numId w:val="152"/>
        </w:numPr>
        <w:ind w:left="0" w:firstLine="709"/>
        <w:jc w:val="both"/>
        <w:shd w:val="clear" w:color="auto" w:fill="ffffff"/>
        <w:rPr>
          <w:rFonts w:ascii="Times New Roman" w:hAnsi="Times New Roman" w:eastAsia="Times New Roman"/>
          <w:sz w:val="28"/>
          <w:szCs w:val="28"/>
          <w:lang w:val="ru-RU"/>
        </w:rPr>
      </w:pPr>
      <w:r>
        <w:rPr>
          <w:rFonts w:ascii="Times New Roman" w:hAnsi="Times New Roman" w:eastAsia="Times New Roman"/>
          <w:sz w:val="28"/>
          <w:szCs w:val="28"/>
          <w:lang w:val="ru-RU"/>
        </w:rPr>
        <w:t xml:space="preserve">совместными усилиями продолжить работу по активизации участия предприятий и учреждений в организации диспансеризации работников по месту работы, с учетом рекомендаций областной межведомственной комиссии по охране труда.</w:t>
      </w:r>
      <w:r>
        <w:rPr>
          <w:rFonts w:ascii="Times New Roman" w:hAnsi="Times New Roman" w:eastAsia="Times New Roman"/>
          <w:sz w:val="28"/>
          <w:szCs w:val="28"/>
          <w:lang w:val="ru-RU"/>
        </w:rPr>
      </w:r>
      <w:r>
        <w:rPr>
          <w:rFonts w:ascii="Times New Roman" w:hAnsi="Times New Roman" w:eastAsia="Times New Roman"/>
          <w:sz w:val="28"/>
          <w:szCs w:val="28"/>
          <w:lang w:val="ru-RU"/>
        </w:rPr>
      </w:r>
    </w:p>
    <w:p>
      <w:pPr>
        <w:jc w:val="both"/>
        <w:spacing w:after="0"/>
        <w:rPr>
          <w:rFonts w:ascii="Times New Roman" w:hAnsi="Times New Roman"/>
          <w:b/>
          <w:i/>
          <w:sz w:val="28"/>
          <w:szCs w:val="28"/>
        </w:rPr>
      </w:pPr>
      <w:r>
        <w:rPr>
          <w:rFonts w:ascii="Times New Roman" w:hAnsi="Times New Roman"/>
          <w:b/>
          <w:i/>
          <w:sz w:val="28"/>
          <w:szCs w:val="28"/>
        </w:rPr>
      </w:r>
      <w:r>
        <w:rPr>
          <w:rFonts w:ascii="Times New Roman" w:hAnsi="Times New Roman"/>
          <w:b/>
          <w:i/>
          <w:sz w:val="28"/>
          <w:szCs w:val="28"/>
        </w:rPr>
      </w:r>
      <w:r>
        <w:rPr>
          <w:rFonts w:ascii="Times New Roman" w:hAnsi="Times New Roman"/>
          <w:b/>
          <w:i/>
          <w:sz w:val="28"/>
          <w:szCs w:val="28"/>
        </w:rPr>
      </w:r>
    </w:p>
    <w:p>
      <w:pPr>
        <w:pStyle w:val="1226"/>
        <w:jc w:val="center"/>
        <w:spacing w:before="0"/>
        <w:rPr>
          <w:rFonts w:ascii="Times New Roman" w:hAnsi="Times New Roman" w:cs="Times New Roman"/>
          <w:color w:val="auto"/>
          <w:sz w:val="28"/>
          <w:szCs w:val="28"/>
        </w:rPr>
      </w:pPr>
      <w:r/>
      <w:bookmarkStart w:id="51" w:name="_Toc29"/>
      <w:r>
        <w:rPr>
          <w:rFonts w:ascii="Times New Roman" w:hAnsi="Times New Roman" w:cs="Times New Roman"/>
          <w:b/>
          <w:bCs/>
          <w:color w:val="auto"/>
          <w:sz w:val="28"/>
          <w:szCs w:val="28"/>
        </w:rPr>
        <w:t xml:space="preserve">РАЗДЕЛ 10. ПРАВА ГРАЖДАН В СФЕРЕ ТРАНСПОРТА, БЕЗОПАСНОСТЬ ДОРОЖНОГО ДВИЖЕНИЯ</w:t>
      </w:r>
      <w:r>
        <w:rPr>
          <w:rFonts w:ascii="Times New Roman" w:hAnsi="Times New Roman" w:cs="Times New Roman"/>
          <w:b/>
          <w:bCs/>
          <w:color w:val="auto"/>
          <w:sz w:val="28"/>
          <w:szCs w:val="28"/>
        </w:rPr>
      </w:r>
      <w:bookmarkEnd w:id="51"/>
      <w:r>
        <w:rPr>
          <w:rFonts w:ascii="Times New Roman" w:hAnsi="Times New Roman" w:cs="Times New Roman"/>
          <w:color w:val="auto"/>
          <w:sz w:val="28"/>
          <w:szCs w:val="28"/>
        </w:rPr>
      </w:r>
      <w:r>
        <w:rPr>
          <w:rFonts w:ascii="Times New Roman" w:hAnsi="Times New Roman" w:cs="Times New Roman"/>
          <w:color w:val="auto"/>
          <w:sz w:val="28"/>
          <w:szCs w:val="28"/>
        </w:rPr>
      </w:r>
    </w:p>
    <w:p>
      <w:pPr>
        <w:spacing w:after="0"/>
        <w:rPr>
          <w:b/>
          <w:bCs/>
        </w:rPr>
      </w:pPr>
      <w:r>
        <w:rPr>
          <w:b/>
          <w:bCs/>
        </w:rPr>
      </w:r>
      <w:r>
        <w:rPr>
          <w:b/>
          <w:bCs/>
        </w:rPr>
      </w:r>
      <w:r>
        <w:rPr>
          <w:b/>
          <w:bCs/>
        </w:rPr>
      </w:r>
    </w:p>
    <w:p>
      <w:pPr>
        <w:ind w:firstLine="709"/>
        <w:jc w:val="both"/>
        <w:spacing w:after="0"/>
        <w:rPr>
          <w:rFonts w:ascii="Times New Roman" w:hAnsi="Times New Roman" w:eastAsia="Times New Roman"/>
          <w:sz w:val="28"/>
          <w:szCs w:val="28"/>
        </w:rPr>
      </w:pPr>
      <w:r>
        <w:rPr>
          <w:rFonts w:ascii="Times New Roman" w:hAnsi="Times New Roman" w:eastAsia="Times New Roman"/>
          <w:sz w:val="28"/>
          <w:szCs w:val="28"/>
        </w:rPr>
        <w:t xml:space="preserve">Право на свободу передвижения, закрепленное в Конституции Российской Федерации, является одним из фундаментальных прав человека. </w:t>
      </w:r>
      <w:r>
        <w:rPr>
          <w:rFonts w:ascii="Times New Roman" w:hAnsi="Times New Roman" w:eastAsia="Times New Roman"/>
          <w:sz w:val="28"/>
          <w:szCs w:val="28"/>
        </w:rPr>
      </w:r>
      <w:r>
        <w:rPr>
          <w:rFonts w:ascii="Times New Roman" w:hAnsi="Times New Roman" w:eastAsia="Times New Roman"/>
          <w:sz w:val="28"/>
          <w:szCs w:val="28"/>
        </w:rPr>
      </w:r>
    </w:p>
    <w:p>
      <w:pPr>
        <w:ind w:firstLine="709"/>
        <w:jc w:val="both"/>
        <w:spacing w:after="0"/>
        <w:rPr>
          <w:rFonts w:ascii="Times New Roman" w:hAnsi="Times New Roman"/>
          <w:sz w:val="28"/>
          <w:szCs w:val="28"/>
        </w:rPr>
      </w:pPr>
      <w:r>
        <w:rPr>
          <w:rFonts w:ascii="Times New Roman" w:hAnsi="Times New Roman" w:eastAsia="Times New Roman"/>
          <w:sz w:val="28"/>
          <w:szCs w:val="28"/>
        </w:rPr>
        <w:t xml:space="preserve">Транспортная доступность — ключевой фактор его реализации. В последние годы в Ивановской области наблюдается рост числа обращений граждан, связанных с проблемами в сфере общественной инфраструктуры. </w:t>
      </w:r>
      <w:r>
        <w:rPr>
          <w:rFonts w:ascii="Times New Roman" w:hAnsi="Times New Roman"/>
          <w:sz w:val="28"/>
          <w:szCs w:val="28"/>
        </w:rPr>
      </w:r>
      <w:r>
        <w:rPr>
          <w:rFonts w:ascii="Times New Roman" w:hAnsi="Times New Roman"/>
          <w:sz w:val="28"/>
          <w:szCs w:val="28"/>
        </w:rPr>
      </w:r>
    </w:p>
    <w:p>
      <w:pPr>
        <w:ind w:firstLine="709"/>
        <w:jc w:val="both"/>
        <w:spacing w:after="0"/>
        <w:rPr>
          <w:rFonts w:ascii="Times New Roman" w:hAnsi="Times New Roman" w:eastAsia="Times New Roman"/>
          <w:sz w:val="28"/>
          <w:szCs w:val="28"/>
        </w:rPr>
      </w:pPr>
      <w:r>
        <w:rPr>
          <w:rFonts w:ascii="Times New Roman" w:hAnsi="Times New Roman" w:eastAsia="Times New Roman"/>
          <w:sz w:val="28"/>
          <w:szCs w:val="28"/>
        </w:rPr>
        <w:t xml:space="preserve">Важно понимать, что транспортная доступность — не просто вопрос комфорта или экономического развития. Это баз</w:t>
      </w:r>
      <w:r>
        <w:rPr>
          <w:rFonts w:ascii="Times New Roman" w:hAnsi="Times New Roman" w:eastAsia="Times New Roman"/>
          <w:sz w:val="28"/>
          <w:szCs w:val="28"/>
        </w:rPr>
        <w:t xml:space="preserve">овое условие соблюдения прав человека, которое обеспечивает равенство возможностей для жителей разных территорий, способствует социальной интеграции и предотвращению изоляции отдельных групп населения, создает предпосылки для устойчивого развития регионов.</w:t>
      </w:r>
      <w:r>
        <w:rPr>
          <w:rFonts w:ascii="Times New Roman" w:hAnsi="Times New Roman" w:eastAsia="Times New Roman"/>
          <w:sz w:val="28"/>
          <w:szCs w:val="28"/>
        </w:rPr>
      </w:r>
      <w:r>
        <w:rPr>
          <w:rFonts w:ascii="Times New Roman" w:hAnsi="Times New Roman" w:eastAsia="Times New Roman"/>
          <w:sz w:val="28"/>
          <w:szCs w:val="28"/>
        </w:rPr>
      </w:r>
    </w:p>
    <w:p>
      <w:pPr>
        <w:ind w:firstLine="708"/>
        <w:jc w:val="both"/>
        <w:spacing w:after="0" w:line="300" w:lineRule="atLeast"/>
        <w:rPr>
          <w:rFonts w:ascii="Times New Roman" w:hAnsi="Times New Roman" w:eastAsia="Liberation Sans"/>
          <w:sz w:val="28"/>
          <w:szCs w:val="28"/>
        </w:rPr>
        <w:pBdr>
          <w:top w:val="none" w:color="000000" w:sz="4" w:space="0"/>
          <w:left w:val="none" w:color="000000" w:sz="4" w:space="0"/>
          <w:bottom w:val="none" w:color="000000" w:sz="4" w:space="0"/>
          <w:right w:val="none" w:color="000000" w:sz="4" w:space="0"/>
        </w:pBdr>
      </w:pPr>
      <w:r>
        <w:rPr>
          <w:rFonts w:ascii="Times New Roman" w:hAnsi="Times New Roman" w:eastAsia="Times New Roman"/>
          <w:sz w:val="28"/>
          <w:szCs w:val="28"/>
        </w:rPr>
        <w:t xml:space="preserve">В 2025 году в правозащитную службу поступило 140 обращений по вопросам безопасного дорожного движения. Сюда входят и качество дорожного полотна, и перебои в графике движения автобусов, и некорректное поведение водителей и много другое. </w:t>
      </w:r>
      <w:r>
        <w:rPr>
          <w:rFonts w:ascii="Times New Roman" w:hAnsi="Times New Roman" w:eastAsia="Liberation Sans"/>
          <w:sz w:val="28"/>
          <w:szCs w:val="28"/>
        </w:rPr>
      </w:r>
      <w:r>
        <w:rPr>
          <w:rFonts w:ascii="Times New Roman" w:hAnsi="Times New Roman" w:eastAsia="Liberation Sans"/>
          <w:sz w:val="28"/>
          <w:szCs w:val="28"/>
        </w:rPr>
      </w:r>
    </w:p>
    <w:p>
      <w:pPr>
        <w:ind w:firstLine="709"/>
        <w:jc w:val="both"/>
        <w:spacing w:after="0"/>
        <w:rPr>
          <w:rFonts w:ascii="Times New Roman" w:hAnsi="Times New Roman" w:eastAsia="Times New Roman"/>
          <w:sz w:val="28"/>
          <w:szCs w:val="28"/>
        </w:rPr>
      </w:pPr>
      <w:r>
        <w:rPr>
          <w:rFonts w:ascii="Times New Roman" w:hAnsi="Times New Roman" w:eastAsia="Times New Roman"/>
          <w:sz w:val="28"/>
          <w:szCs w:val="28"/>
        </w:rPr>
        <w:t xml:space="preserve">Ведомство, с которым Уполномоченный по правам человека в Ивановской области взаимодействует по вопросам транспортного сообщения и состояния дорожного полотна – Департамент дорожного хозяйства и транспорта Ивановской области (далее — Департамент).</w:t>
      </w:r>
      <w:r>
        <w:rPr>
          <w:rFonts w:ascii="Times New Roman" w:hAnsi="Times New Roman" w:eastAsia="Times New Roman"/>
          <w:sz w:val="28"/>
          <w:szCs w:val="28"/>
        </w:rPr>
      </w:r>
      <w:r>
        <w:rPr>
          <w:rFonts w:ascii="Times New Roman" w:hAnsi="Times New Roman" w:eastAsia="Times New Roman"/>
          <w:sz w:val="28"/>
          <w:szCs w:val="28"/>
        </w:rPr>
      </w:r>
    </w:p>
    <w:p>
      <w:pPr>
        <w:ind w:firstLine="709"/>
        <w:jc w:val="both"/>
        <w:spacing w:after="0"/>
        <w:rPr>
          <w:rFonts w:ascii="Times New Roman" w:hAnsi="Times New Roman"/>
          <w:sz w:val="28"/>
          <w:szCs w:val="28"/>
        </w:rPr>
      </w:pPr>
      <w:r>
        <w:rPr>
          <w:rFonts w:ascii="Times New Roman" w:hAnsi="Times New Roman" w:eastAsia="Times New Roman"/>
          <w:sz w:val="28"/>
          <w:szCs w:val="28"/>
        </w:rPr>
        <w:t xml:space="preserve">Доля пассажирских перевозок автомобильным транспортом на территории Ивановской области остается ключевой и составляет более 9094 от общего объема пассажирских перевозок. Общая маршрутная сеть региона состо</w:t>
      </w:r>
      <w:r>
        <w:rPr>
          <w:rFonts w:ascii="Times New Roman" w:hAnsi="Times New Roman" w:eastAsia="Times New Roman"/>
          <w:sz w:val="28"/>
          <w:szCs w:val="28"/>
        </w:rPr>
        <w:t xml:space="preserve">ит из 362 регулярных автобусных маршрутов, 159 из которых являются межмуниципальными и 203 муниципальными. Действующая сеть межмуниципальных маршрутов обеспечивает транспортную доступность со всеми муниципальными центрами и большинством населенных пунктов.</w:t>
      </w:r>
      <w:r>
        <w:rPr>
          <w:rFonts w:ascii="Times New Roman" w:hAnsi="Times New Roman"/>
          <w:sz w:val="28"/>
          <w:szCs w:val="28"/>
        </w:rPr>
      </w:r>
      <w:r>
        <w:rPr>
          <w:rFonts w:ascii="Times New Roman" w:hAnsi="Times New Roman"/>
          <w:sz w:val="28"/>
          <w:szCs w:val="28"/>
        </w:rPr>
      </w:r>
    </w:p>
    <w:p>
      <w:pPr>
        <w:ind w:firstLine="709"/>
        <w:jc w:val="both"/>
        <w:spacing w:after="0"/>
        <w:rPr>
          <w:rFonts w:ascii="Times New Roman" w:hAnsi="Times New Roman"/>
          <w:sz w:val="28"/>
          <w:szCs w:val="28"/>
        </w:rPr>
      </w:pPr>
      <w:r>
        <w:rPr>
          <w:rFonts w:ascii="Times New Roman" w:hAnsi="Times New Roman" w:eastAsia="Times New Roman"/>
          <w:sz w:val="28"/>
          <w:szCs w:val="28"/>
        </w:rPr>
        <w:t xml:space="preserve">Общая численность подвижного состава автомобильного пассажирского транспорта, работающего на регулярных маршрутах, 1240 единицы (418 из которых на межмуниципальных маршрутах).</w:t>
      </w:r>
      <w:r>
        <w:rPr>
          <w:rFonts w:ascii="Times New Roman" w:hAnsi="Times New Roman"/>
          <w:sz w:val="28"/>
          <w:szCs w:val="28"/>
        </w:rPr>
      </w:r>
      <w:r>
        <w:rPr>
          <w:rFonts w:ascii="Times New Roman" w:hAnsi="Times New Roman"/>
          <w:sz w:val="28"/>
          <w:szCs w:val="28"/>
        </w:rPr>
      </w:r>
    </w:p>
    <w:p>
      <w:pPr>
        <w:ind w:firstLine="709"/>
        <w:jc w:val="both"/>
        <w:spacing w:after="0"/>
        <w:rPr>
          <w:rFonts w:ascii="Times New Roman" w:hAnsi="Times New Roman"/>
          <w:sz w:val="28"/>
          <w:szCs w:val="28"/>
        </w:rPr>
      </w:pPr>
      <w:r>
        <w:rPr>
          <w:rFonts w:ascii="Times New Roman" w:hAnsi="Times New Roman" w:eastAsia="Times New Roman"/>
          <w:sz w:val="28"/>
          <w:szCs w:val="28"/>
        </w:rPr>
        <w:t xml:space="preserve">В 2025 году в пр</w:t>
      </w:r>
      <w:r>
        <w:rPr>
          <w:rFonts w:ascii="Times New Roman" w:hAnsi="Times New Roman" w:eastAsia="Times New Roman"/>
          <w:sz w:val="28"/>
          <w:szCs w:val="28"/>
        </w:rPr>
        <w:t xml:space="preserve">ограмме по льготному лизингу колесных транспортных средств, реализуемой Министерством промышленности и торговли Российской Федерации, приняли участие два перевозчика, осуществляющих регулярные перевозки пассажиров и багажа на территории Ивановской области:</w:t>
      </w:r>
      <w:r>
        <w:rPr>
          <w:rFonts w:ascii="Times New Roman" w:hAnsi="Times New Roman"/>
          <w:sz w:val="28"/>
          <w:szCs w:val="28"/>
        </w:rPr>
      </w:r>
      <w:r>
        <w:rPr>
          <w:rFonts w:ascii="Times New Roman" w:hAnsi="Times New Roman"/>
          <w:sz w:val="28"/>
          <w:szCs w:val="28"/>
        </w:rPr>
      </w:r>
    </w:p>
    <w:p>
      <w:pPr>
        <w:pStyle w:val="1227"/>
        <w:numPr>
          <w:ilvl w:val="0"/>
          <w:numId w:val="153"/>
        </w:numPr>
        <w:ind w:left="0" w:firstLine="709"/>
        <w:jc w:val="both"/>
        <w:rPr>
          <w:rFonts w:ascii="Times New Roman" w:hAnsi="Times New Roman"/>
          <w:sz w:val="28"/>
          <w:szCs w:val="28"/>
          <w:lang w:val="ru-RU"/>
        </w:rPr>
      </w:pPr>
      <w:r>
        <w:rPr>
          <w:rFonts w:ascii="Times New Roman" w:hAnsi="Times New Roman" w:eastAsia="Times New Roman"/>
          <w:sz w:val="28"/>
          <w:szCs w:val="28"/>
          <w:lang w:val="ru-RU"/>
        </w:rPr>
        <w:t xml:space="preserve">ООО «Автотрест» приобретено 8 автобусов среднего класса марки ПАЗ «Вектор»;</w:t>
      </w:r>
      <w:r>
        <w:rPr>
          <w:rFonts w:ascii="Times New Roman" w:hAnsi="Times New Roman"/>
          <w:sz w:val="28"/>
          <w:szCs w:val="28"/>
          <w:lang w:val="ru-RU"/>
        </w:rPr>
      </w:r>
      <w:r>
        <w:rPr>
          <w:rFonts w:ascii="Times New Roman" w:hAnsi="Times New Roman"/>
          <w:sz w:val="28"/>
          <w:szCs w:val="28"/>
          <w:lang w:val="ru-RU"/>
        </w:rPr>
      </w:r>
    </w:p>
    <w:p>
      <w:pPr>
        <w:pStyle w:val="1227"/>
        <w:numPr>
          <w:ilvl w:val="0"/>
          <w:numId w:val="153"/>
        </w:numPr>
        <w:ind w:left="0" w:firstLine="709"/>
        <w:jc w:val="both"/>
        <w:rPr>
          <w:rFonts w:ascii="Times New Roman" w:hAnsi="Times New Roman"/>
          <w:sz w:val="28"/>
          <w:szCs w:val="28"/>
          <w:lang w:val="ru-RU"/>
        </w:rPr>
      </w:pPr>
      <w:r>
        <w:rPr>
          <w:rFonts w:ascii="Times New Roman" w:hAnsi="Times New Roman" w:eastAsia="Times New Roman"/>
          <w:sz w:val="28"/>
          <w:szCs w:val="28"/>
          <w:lang w:val="ru-RU"/>
        </w:rPr>
        <w:t xml:space="preserve">ООО «</w:t>
      </w:r>
      <w:r>
        <w:rPr>
          <w:rFonts w:ascii="Times New Roman" w:hAnsi="Times New Roman" w:eastAsia="Times New Roman"/>
          <w:sz w:val="28"/>
          <w:szCs w:val="28"/>
          <w:lang w:val="ru-RU"/>
        </w:rPr>
        <w:t xml:space="preserve">Ивгортранс</w:t>
      </w:r>
      <w:r>
        <w:rPr>
          <w:rFonts w:ascii="Times New Roman" w:hAnsi="Times New Roman" w:eastAsia="Times New Roman"/>
          <w:sz w:val="28"/>
          <w:szCs w:val="28"/>
          <w:lang w:val="ru-RU"/>
        </w:rPr>
        <w:t xml:space="preserve">» приобретено 9 автобусов малого класса марки ГАЗ «Газель-Сити».</w:t>
      </w:r>
      <w:r>
        <w:rPr>
          <w:rFonts w:ascii="Times New Roman" w:hAnsi="Times New Roman"/>
          <w:sz w:val="28"/>
          <w:szCs w:val="28"/>
          <w:lang w:val="ru-RU"/>
        </w:rPr>
      </w:r>
      <w:r>
        <w:rPr>
          <w:rFonts w:ascii="Times New Roman" w:hAnsi="Times New Roman"/>
          <w:sz w:val="28"/>
          <w:szCs w:val="28"/>
          <w:lang w:val="ru-RU"/>
        </w:rPr>
      </w:r>
    </w:p>
    <w:p>
      <w:pPr>
        <w:pStyle w:val="1227"/>
        <w:numPr>
          <w:ilvl w:val="0"/>
          <w:numId w:val="153"/>
        </w:numPr>
        <w:ind w:left="0" w:firstLine="709"/>
        <w:jc w:val="both"/>
        <w:rPr>
          <w:rFonts w:ascii="Times New Roman" w:hAnsi="Times New Roman"/>
          <w:sz w:val="28"/>
          <w:szCs w:val="28"/>
          <w:lang w:val="ru-RU"/>
        </w:rPr>
      </w:pPr>
      <w:r>
        <w:rPr>
          <w:rFonts w:ascii="Times New Roman" w:hAnsi="Times New Roman" w:eastAsia="Times New Roman"/>
          <w:sz w:val="28"/>
          <w:szCs w:val="28"/>
          <w:lang w:val="ru-RU"/>
        </w:rPr>
        <w:t xml:space="preserve">Кроме того, за счет собственных средств перевозчиками:</w:t>
      </w:r>
      <w:r>
        <w:rPr>
          <w:rFonts w:ascii="Times New Roman" w:hAnsi="Times New Roman"/>
          <w:sz w:val="28"/>
          <w:szCs w:val="28"/>
          <w:lang w:val="ru-RU"/>
        </w:rPr>
      </w:r>
      <w:r>
        <w:rPr>
          <w:rFonts w:ascii="Times New Roman" w:hAnsi="Times New Roman"/>
          <w:sz w:val="28"/>
          <w:szCs w:val="28"/>
          <w:lang w:val="ru-RU"/>
        </w:rPr>
      </w:r>
    </w:p>
    <w:p>
      <w:pPr>
        <w:pStyle w:val="1227"/>
        <w:numPr>
          <w:ilvl w:val="0"/>
          <w:numId w:val="153"/>
        </w:numPr>
        <w:ind w:left="0" w:firstLine="709"/>
        <w:jc w:val="both"/>
        <w:rPr>
          <w:rFonts w:ascii="Times New Roman" w:hAnsi="Times New Roman"/>
          <w:sz w:val="28"/>
          <w:szCs w:val="28"/>
          <w:lang w:val="ru-RU"/>
        </w:rPr>
      </w:pPr>
      <w:r>
        <w:rPr>
          <w:rFonts w:ascii="Times New Roman" w:hAnsi="Times New Roman" w:eastAsia="Times New Roman"/>
          <w:sz w:val="28"/>
          <w:szCs w:val="28"/>
          <w:lang w:val="ru-RU"/>
        </w:rPr>
        <w:t xml:space="preserve">ООО «Автотракт» приобретено 7 автобусов малого класса марки ГАЗ «</w:t>
      </w:r>
      <w:r>
        <w:rPr>
          <w:rFonts w:ascii="Times New Roman" w:hAnsi="Times New Roman" w:eastAsia="Times New Roman"/>
          <w:sz w:val="28"/>
          <w:szCs w:val="28"/>
          <w:lang w:val="ru-RU"/>
        </w:rPr>
        <w:t xml:space="preserve">ГазельСити</w:t>
      </w:r>
      <w:r>
        <w:rPr>
          <w:rFonts w:ascii="Times New Roman" w:hAnsi="Times New Roman" w:eastAsia="Times New Roman"/>
          <w:sz w:val="28"/>
          <w:szCs w:val="28"/>
          <w:lang w:val="ru-RU"/>
        </w:rPr>
        <w:t xml:space="preserve">»;</w:t>
      </w:r>
      <w:r>
        <w:rPr>
          <w:rFonts w:ascii="Times New Roman" w:hAnsi="Times New Roman"/>
          <w:sz w:val="28"/>
          <w:szCs w:val="28"/>
          <w:lang w:val="ru-RU"/>
        </w:rPr>
      </w:r>
      <w:r>
        <w:rPr>
          <w:rFonts w:ascii="Times New Roman" w:hAnsi="Times New Roman"/>
          <w:sz w:val="28"/>
          <w:szCs w:val="28"/>
          <w:lang w:val="ru-RU"/>
        </w:rPr>
      </w:r>
    </w:p>
    <w:p>
      <w:pPr>
        <w:pStyle w:val="1227"/>
        <w:numPr>
          <w:ilvl w:val="0"/>
          <w:numId w:val="153"/>
        </w:numPr>
        <w:ind w:left="0" w:firstLine="709"/>
        <w:jc w:val="both"/>
        <w:rPr>
          <w:rFonts w:ascii="Times New Roman" w:hAnsi="Times New Roman"/>
          <w:sz w:val="28"/>
          <w:szCs w:val="28"/>
          <w:lang w:val="ru-RU"/>
        </w:rPr>
      </w:pPr>
      <w:r>
        <w:rPr>
          <w:rFonts w:ascii="Times New Roman" w:hAnsi="Times New Roman" w:eastAsia="Times New Roman"/>
          <w:sz w:val="28"/>
          <w:szCs w:val="28"/>
          <w:lang w:val="ru-RU"/>
        </w:rPr>
        <w:t xml:space="preserve">ООО «Новая транспортная компания» приобретено 2 автобуса малого класса марки ГАЗ «Газель-Сити».</w:t>
      </w:r>
      <w:r>
        <w:rPr>
          <w:rFonts w:ascii="Times New Roman" w:hAnsi="Times New Roman"/>
          <w:sz w:val="28"/>
          <w:szCs w:val="28"/>
          <w:lang w:val="ru-RU"/>
        </w:rPr>
      </w:r>
      <w:r>
        <w:rPr>
          <w:rFonts w:ascii="Times New Roman" w:hAnsi="Times New Roman"/>
          <w:sz w:val="28"/>
          <w:szCs w:val="28"/>
          <w:lang w:val="ru-RU"/>
        </w:rPr>
      </w:r>
    </w:p>
    <w:p>
      <w:pPr>
        <w:ind w:firstLine="709"/>
        <w:jc w:val="both"/>
        <w:spacing w:after="0"/>
        <w:rPr>
          <w:rFonts w:ascii="Times New Roman" w:hAnsi="Times New Roman"/>
          <w:sz w:val="28"/>
          <w:szCs w:val="28"/>
        </w:rPr>
      </w:pPr>
      <w:r>
        <w:rPr>
          <w:rFonts w:ascii="Times New Roman" w:hAnsi="Times New Roman" w:eastAsia="Times New Roman"/>
          <w:sz w:val="28"/>
          <w:szCs w:val="28"/>
        </w:rPr>
        <w:t xml:space="preserve">Все приобретенные транспортные средства имеют низкий уровень пола, с оборудованием места для размещения детских колясок и </w:t>
      </w:r>
      <w:r>
        <w:rPr>
          <w:rFonts w:ascii="Times New Roman" w:hAnsi="Times New Roman" w:eastAsia="Times New Roman"/>
          <w:sz w:val="28"/>
          <w:szCs w:val="28"/>
        </w:rPr>
        <w:t xml:space="preserve">маломобильных</w:t>
      </w:r>
      <w:r>
        <w:rPr>
          <w:rFonts w:ascii="Times New Roman" w:hAnsi="Times New Roman" w:eastAsia="Times New Roman"/>
          <w:sz w:val="28"/>
          <w:szCs w:val="28"/>
        </w:rPr>
        <w:t xml:space="preserve"> граждан.</w:t>
      </w:r>
      <w:r>
        <w:rPr>
          <w:rFonts w:ascii="Times New Roman" w:hAnsi="Times New Roman"/>
          <w:sz w:val="28"/>
          <w:szCs w:val="28"/>
        </w:rPr>
      </w:r>
      <w:r>
        <w:rPr>
          <w:rFonts w:ascii="Times New Roman" w:hAnsi="Times New Roman"/>
          <w:sz w:val="28"/>
          <w:szCs w:val="28"/>
        </w:rPr>
      </w:r>
    </w:p>
    <w:p>
      <w:pPr>
        <w:ind w:firstLine="709"/>
        <w:jc w:val="both"/>
        <w:spacing w:after="0"/>
        <w:rPr>
          <w:rFonts w:ascii="Times New Roman" w:hAnsi="Times New Roman"/>
          <w:sz w:val="28"/>
          <w:szCs w:val="28"/>
        </w:rPr>
      </w:pPr>
      <w:r>
        <w:rPr>
          <w:rFonts w:ascii="Times New Roman" w:hAnsi="Times New Roman" w:eastAsia="Times New Roman"/>
          <w:sz w:val="28"/>
          <w:szCs w:val="28"/>
        </w:rPr>
        <w:t xml:space="preserve">В 2023 году запущен с</w:t>
      </w:r>
      <w:r>
        <w:rPr>
          <w:rFonts w:ascii="Times New Roman" w:hAnsi="Times New Roman" w:eastAsia="Times New Roman"/>
          <w:sz w:val="28"/>
          <w:szCs w:val="28"/>
        </w:rPr>
        <w:t xml:space="preserve">коростной поезд «Ласточка» Нижний Новгород Иваново, время в пути между городами сократилось до 3 часов 10 минут. С начала эксплуатации по декабрь 2025 года по маршруту было перевезено 232,223 тыс. пассажиров (в 2025 году перевезено 93,884 тыс. пассажиров).</w:t>
      </w:r>
      <w:r>
        <w:rPr>
          <w:rFonts w:ascii="Times New Roman" w:hAnsi="Times New Roman"/>
          <w:sz w:val="28"/>
          <w:szCs w:val="28"/>
        </w:rPr>
      </w:r>
      <w:r>
        <w:rPr>
          <w:rFonts w:ascii="Times New Roman" w:hAnsi="Times New Roman"/>
          <w:sz w:val="28"/>
          <w:szCs w:val="28"/>
        </w:rPr>
      </w:r>
    </w:p>
    <w:p>
      <w:pPr>
        <w:ind w:firstLine="709"/>
        <w:jc w:val="both"/>
        <w:spacing w:after="0"/>
        <w:rPr>
          <w:rFonts w:ascii="Times New Roman" w:hAnsi="Times New Roman"/>
          <w:sz w:val="28"/>
          <w:szCs w:val="28"/>
        </w:rPr>
      </w:pPr>
      <w:r>
        <w:rPr>
          <w:rFonts w:ascii="Times New Roman" w:hAnsi="Times New Roman" w:eastAsia="Times New Roman"/>
          <w:sz w:val="28"/>
          <w:szCs w:val="28"/>
        </w:rPr>
        <w:t xml:space="preserve">С момента запуска скоростного поезда «Ласточка» Москва-Иваново по декабрь 2025 года по маршруту перевезено 6 322,435 тыс. пассажиров (в 2025 году перевезено 818,591 тыс. пассажиров).</w:t>
      </w:r>
      <w:r>
        <w:rPr>
          <w:rFonts w:ascii="Times New Roman" w:hAnsi="Times New Roman"/>
          <w:sz w:val="28"/>
          <w:szCs w:val="28"/>
        </w:rPr>
      </w:r>
      <w:r>
        <w:rPr>
          <w:rFonts w:ascii="Times New Roman" w:hAnsi="Times New Roman"/>
          <w:sz w:val="28"/>
          <w:szCs w:val="28"/>
        </w:rPr>
      </w:r>
    </w:p>
    <w:p>
      <w:pPr>
        <w:ind w:firstLine="709"/>
        <w:jc w:val="both"/>
        <w:spacing w:after="0"/>
        <w:rPr>
          <w:rFonts w:ascii="Times New Roman" w:hAnsi="Times New Roman"/>
          <w:sz w:val="28"/>
          <w:szCs w:val="28"/>
        </w:rPr>
      </w:pPr>
      <w:r>
        <w:rPr>
          <w:rFonts w:ascii="Times New Roman" w:hAnsi="Times New Roman" w:eastAsia="Times New Roman"/>
          <w:sz w:val="28"/>
          <w:szCs w:val="28"/>
        </w:rPr>
        <w:t xml:space="preserve">За 2025 год пригородные пассажирские перевозки «Орланами» перевезли 1 318 311 чел., что выше уровня прошлого года на 2,7 % (2024 год - 1 282 324 чел.).</w:t>
      </w:r>
      <w:r>
        <w:rPr>
          <w:rFonts w:ascii="Times New Roman" w:hAnsi="Times New Roman"/>
          <w:sz w:val="28"/>
          <w:szCs w:val="28"/>
        </w:rPr>
      </w:r>
      <w:r>
        <w:rPr>
          <w:rFonts w:ascii="Times New Roman" w:hAnsi="Times New Roman"/>
          <w:sz w:val="28"/>
          <w:szCs w:val="28"/>
        </w:rPr>
      </w:r>
    </w:p>
    <w:p>
      <w:pPr>
        <w:ind w:firstLine="709"/>
        <w:jc w:val="both"/>
        <w:spacing w:after="0"/>
        <w:rPr>
          <w:rFonts w:ascii="Times New Roman" w:hAnsi="Times New Roman"/>
          <w:sz w:val="28"/>
          <w:szCs w:val="28"/>
        </w:rPr>
      </w:pPr>
      <w:r>
        <w:rPr>
          <w:rFonts w:ascii="Times New Roman" w:hAnsi="Times New Roman" w:eastAsia="Times New Roman"/>
          <w:sz w:val="28"/>
          <w:szCs w:val="28"/>
        </w:rPr>
        <w:t xml:space="preserve">Пассажирские авиаперевозки в регионе осуществляются по пяти направлениям: установлено регулярное авиасообщение с городами Санкт-Петербург, Сочи, Калининград, Минеральные Воды, Махачкала (в летний период).</w:t>
      </w:r>
      <w:r>
        <w:rPr>
          <w:rFonts w:ascii="Times New Roman" w:hAnsi="Times New Roman"/>
          <w:sz w:val="28"/>
          <w:szCs w:val="28"/>
        </w:rPr>
      </w:r>
      <w:r>
        <w:rPr>
          <w:rFonts w:ascii="Times New Roman" w:hAnsi="Times New Roman"/>
          <w:sz w:val="28"/>
          <w:szCs w:val="28"/>
        </w:rPr>
      </w:r>
    </w:p>
    <w:p>
      <w:pPr>
        <w:ind w:firstLine="709"/>
        <w:jc w:val="both"/>
        <w:spacing w:after="0"/>
        <w:rPr>
          <w:rFonts w:ascii="Times New Roman" w:hAnsi="Times New Roman"/>
          <w:sz w:val="28"/>
          <w:szCs w:val="28"/>
        </w:rPr>
      </w:pPr>
      <w:r>
        <w:rPr>
          <w:rFonts w:ascii="Times New Roman" w:hAnsi="Times New Roman" w:eastAsia="Times New Roman"/>
          <w:sz w:val="28"/>
          <w:szCs w:val="28"/>
        </w:rPr>
        <w:t xml:space="preserve">В 2025 году через аэропорт «Иваново» перевезено 126,447 тыс. пассажиров, рост пассажиров к 2024 году составил почти 1 % (125,242 тыс. пассажиров).</w:t>
      </w:r>
      <w:r>
        <w:rPr>
          <w:rFonts w:ascii="Times New Roman" w:hAnsi="Times New Roman"/>
          <w:sz w:val="28"/>
          <w:szCs w:val="28"/>
        </w:rPr>
      </w:r>
      <w:r>
        <w:rPr>
          <w:rFonts w:ascii="Times New Roman" w:hAnsi="Times New Roman"/>
          <w:sz w:val="28"/>
          <w:szCs w:val="28"/>
        </w:rPr>
      </w:r>
    </w:p>
    <w:p>
      <w:pPr>
        <w:ind w:firstLine="709"/>
        <w:jc w:val="both"/>
        <w:spacing w:after="0"/>
        <w:rPr>
          <w:rFonts w:ascii="Times New Roman" w:hAnsi="Times New Roman" w:eastAsia="Times New Roman"/>
          <w:sz w:val="28"/>
          <w:szCs w:val="28"/>
        </w:rPr>
      </w:pPr>
      <w:r>
        <w:rPr>
          <w:rFonts w:ascii="Times New Roman" w:hAnsi="Times New Roman" w:eastAsia="Times New Roman"/>
          <w:sz w:val="28"/>
          <w:szCs w:val="28"/>
        </w:rPr>
        <w:t xml:space="preserve">В период водной навигации 2025 года по маршрутам «Кинешма — Плес», «Кинешма — </w:t>
      </w:r>
      <w:r>
        <w:rPr>
          <w:rFonts w:ascii="Times New Roman" w:hAnsi="Times New Roman" w:eastAsia="Times New Roman"/>
          <w:sz w:val="28"/>
          <w:szCs w:val="28"/>
        </w:rPr>
        <w:t xml:space="preserve">Жажлево</w:t>
      </w:r>
      <w:r>
        <w:rPr>
          <w:rFonts w:ascii="Times New Roman" w:hAnsi="Times New Roman" w:eastAsia="Times New Roman"/>
          <w:sz w:val="28"/>
          <w:szCs w:val="28"/>
        </w:rPr>
        <w:t xml:space="preserve"> — Решма» выполнено 146 рейсов водным транспортом, перевезено — 10 756 пассажиров.</w:t>
      </w:r>
      <w:r>
        <w:rPr>
          <w:rFonts w:ascii="Times New Roman" w:hAnsi="Times New Roman" w:eastAsia="Times New Roman"/>
          <w:sz w:val="28"/>
          <w:szCs w:val="28"/>
        </w:rPr>
      </w:r>
      <w:r>
        <w:rPr>
          <w:rFonts w:ascii="Times New Roman" w:hAnsi="Times New Roman" w:eastAsia="Times New Roman"/>
          <w:sz w:val="28"/>
          <w:szCs w:val="28"/>
        </w:rPr>
      </w:r>
    </w:p>
    <w:p>
      <w:pPr>
        <w:ind w:firstLine="709"/>
        <w:jc w:val="both"/>
        <w:spacing w:after="0"/>
        <w:shd w:val="clear" w:color="ffffff" w:fill="ffffff"/>
        <w:rPr>
          <w:rFonts w:ascii="Times New Roman" w:hAnsi="Times New Roman"/>
          <w:sz w:val="28"/>
          <w:szCs w:val="28"/>
        </w:rPr>
        <w:pBdr>
          <w:top w:val="none" w:color="000000" w:sz="4" w:space="0"/>
          <w:left w:val="none" w:color="000000" w:sz="4" w:space="0"/>
          <w:bottom w:val="none" w:color="000000" w:sz="4" w:space="0"/>
          <w:right w:val="none" w:color="000000" w:sz="4" w:space="0"/>
        </w:pBdr>
      </w:pPr>
      <w:r>
        <w:rPr>
          <w:rFonts w:ascii="Times New Roman" w:hAnsi="Times New Roman" w:eastAsia="Times New Roman"/>
          <w:color w:val="000000"/>
          <w:sz w:val="28"/>
          <w:szCs w:val="28"/>
        </w:rPr>
        <w:t xml:space="preserve">Также важно осветить момент, </w:t>
      </w:r>
      <w:r>
        <w:rPr>
          <w:rFonts w:ascii="Times New Roman" w:hAnsi="Times New Roman" w:eastAsia="Times New Roman"/>
          <w:color w:val="000000"/>
          <w:sz w:val="28"/>
          <w:szCs w:val="28"/>
        </w:rPr>
        <w:t xml:space="preserve">что</w:t>
      </w:r>
      <w:r>
        <w:rPr>
          <w:rFonts w:ascii="Times New Roman" w:hAnsi="Times New Roman" w:eastAsia="Times New Roman"/>
          <w:color w:val="000000"/>
          <w:sz w:val="28"/>
          <w:szCs w:val="28"/>
        </w:rPr>
        <w:t xml:space="preserve"> несмотря на Фе</w:t>
      </w:r>
      <w:r>
        <w:rPr>
          <w:rFonts w:ascii="Times New Roman" w:hAnsi="Times New Roman" w:eastAsia="Times New Roman"/>
          <w:color w:val="000000"/>
          <w:sz w:val="28"/>
          <w:szCs w:val="28"/>
        </w:rPr>
        <w:t xml:space="preserve">деральный закон от 20.04.2021 № 98-ФЗ «О внесении изменений в Кодекс Российской Федерации об административных правонарушения», который строго запрещает высаживать несовершеннолетних безбилетников, некоторые водители продолжают оставаться «принципиальными».</w:t>
      </w:r>
      <w:r>
        <w:rPr>
          <w:rFonts w:ascii="Times New Roman" w:hAnsi="Times New Roman"/>
          <w:sz w:val="28"/>
          <w:szCs w:val="28"/>
        </w:rPr>
      </w:r>
      <w:r>
        <w:rPr>
          <w:rFonts w:ascii="Times New Roman" w:hAnsi="Times New Roman"/>
          <w:sz w:val="28"/>
          <w:szCs w:val="28"/>
        </w:rPr>
      </w:r>
    </w:p>
    <w:p>
      <w:pPr>
        <w:ind w:firstLine="709"/>
        <w:jc w:val="both"/>
        <w:spacing w:after="0"/>
        <w:shd w:val="clear" w:color="ffffff" w:fill="ffffff"/>
        <w:rPr>
          <w:rFonts w:ascii="Times New Roman" w:hAnsi="Times New Roman"/>
          <w:i/>
          <w:iCs/>
          <w:sz w:val="28"/>
          <w:szCs w:val="28"/>
        </w:rPr>
        <w:pBdr>
          <w:top w:val="none" w:color="000000" w:sz="4" w:space="0"/>
          <w:left w:val="none" w:color="000000" w:sz="4" w:space="0"/>
          <w:bottom w:val="none" w:color="000000" w:sz="4" w:space="0"/>
          <w:right w:val="none" w:color="000000" w:sz="4" w:space="0"/>
        </w:pBdr>
      </w:pPr>
      <w:r>
        <w:rPr>
          <w:rFonts w:ascii="Times New Roman" w:hAnsi="Times New Roman" w:eastAsia="Times New Roman"/>
          <w:i/>
          <w:iCs/>
          <w:color w:val="000000"/>
          <w:sz w:val="28"/>
          <w:szCs w:val="28"/>
        </w:rPr>
        <w:t xml:space="preserve">Так, в адрес Уполномоченного по правам человека в Ивановской области </w:t>
      </w:r>
      <w:r>
        <w:rPr>
          <w:rFonts w:ascii="Times New Roman" w:hAnsi="Times New Roman" w:eastAsia="Times New Roman"/>
          <w:i/>
          <w:iCs/>
          <w:color w:val="000000"/>
          <w:sz w:val="28"/>
          <w:szCs w:val="28"/>
        </w:rPr>
        <w:t xml:space="preserve">обратился гражданин К. В своей жалобе мужчина сообщал</w:t>
      </w:r>
      <w:r>
        <w:rPr>
          <w:rFonts w:ascii="Times New Roman" w:hAnsi="Times New Roman" w:eastAsia="Times New Roman"/>
          <w:i/>
          <w:iCs/>
          <w:color w:val="000000"/>
          <w:sz w:val="28"/>
          <w:szCs w:val="28"/>
        </w:rPr>
        <w:t xml:space="preserve"> о случившемся правонарушении. С его слов, его несовершеннолетний сын был выставлен из салона автобуса из-за неоплаченного проезда. Хотя денежные средства с карты были сняты. </w:t>
      </w:r>
      <w:r>
        <w:rPr>
          <w:rFonts w:ascii="Times New Roman" w:hAnsi="Times New Roman"/>
          <w:i/>
          <w:iCs/>
          <w:sz w:val="28"/>
          <w:szCs w:val="28"/>
        </w:rPr>
      </w:r>
      <w:r>
        <w:rPr>
          <w:rFonts w:ascii="Times New Roman" w:hAnsi="Times New Roman"/>
          <w:i/>
          <w:iCs/>
          <w:sz w:val="28"/>
          <w:szCs w:val="28"/>
        </w:rPr>
      </w:r>
    </w:p>
    <w:p>
      <w:pPr>
        <w:ind w:firstLine="709"/>
        <w:jc w:val="both"/>
        <w:spacing w:after="0"/>
        <w:shd w:val="clear" w:color="ffffff" w:fill="ffffff"/>
        <w:rPr>
          <w:rFonts w:ascii="Times New Roman" w:hAnsi="Times New Roman"/>
          <w:i/>
          <w:iCs/>
          <w:sz w:val="28"/>
          <w:szCs w:val="28"/>
        </w:rPr>
        <w:pBdr>
          <w:top w:val="none" w:color="000000" w:sz="4" w:space="0"/>
          <w:left w:val="none" w:color="000000" w:sz="4" w:space="0"/>
          <w:bottom w:val="none" w:color="000000" w:sz="4" w:space="0"/>
          <w:right w:val="none" w:color="000000" w:sz="4" w:space="0"/>
        </w:pBdr>
      </w:pPr>
      <w:r>
        <w:rPr>
          <w:rFonts w:ascii="Times New Roman" w:hAnsi="Times New Roman" w:eastAsia="Times New Roman"/>
          <w:i/>
          <w:iCs/>
          <w:color w:val="000000"/>
          <w:sz w:val="28"/>
          <w:szCs w:val="28"/>
        </w:rPr>
        <w:t xml:space="preserve">Региональный омбудсмен обратилась к руководству ТОГАДН по Ивановской области МТУ </w:t>
      </w:r>
      <w:r>
        <w:rPr>
          <w:rFonts w:ascii="Times New Roman" w:hAnsi="Times New Roman" w:eastAsia="Times New Roman"/>
          <w:i/>
          <w:iCs/>
          <w:color w:val="000000"/>
          <w:sz w:val="28"/>
          <w:szCs w:val="28"/>
        </w:rPr>
        <w:t xml:space="preserve">Ространснадзора</w:t>
      </w:r>
      <w:r>
        <w:rPr>
          <w:rFonts w:ascii="Times New Roman" w:hAnsi="Times New Roman" w:eastAsia="Times New Roman"/>
          <w:i/>
          <w:iCs/>
          <w:color w:val="000000"/>
          <w:sz w:val="28"/>
          <w:szCs w:val="28"/>
        </w:rPr>
        <w:t xml:space="preserve"> по ЦФО с ходатайством проведения проверки. </w:t>
      </w:r>
      <w:r>
        <w:rPr>
          <w:rFonts w:ascii="Times New Roman" w:hAnsi="Times New Roman"/>
          <w:i/>
          <w:iCs/>
          <w:sz w:val="28"/>
          <w:szCs w:val="28"/>
        </w:rPr>
      </w:r>
      <w:r>
        <w:rPr>
          <w:rFonts w:ascii="Times New Roman" w:hAnsi="Times New Roman"/>
          <w:i/>
          <w:iCs/>
          <w:sz w:val="28"/>
          <w:szCs w:val="28"/>
        </w:rPr>
      </w:r>
    </w:p>
    <w:p>
      <w:pPr>
        <w:ind w:firstLine="709"/>
        <w:jc w:val="both"/>
        <w:spacing w:after="0"/>
        <w:shd w:val="clear" w:color="ffffff" w:fill="ffffff"/>
        <w:rPr>
          <w:rFonts w:ascii="Times New Roman" w:hAnsi="Times New Roman"/>
          <w:i/>
          <w:iCs/>
          <w:sz w:val="28"/>
          <w:szCs w:val="28"/>
        </w:rPr>
        <w:pBdr>
          <w:top w:val="none" w:color="000000" w:sz="4" w:space="0"/>
          <w:left w:val="none" w:color="000000" w:sz="4" w:space="0"/>
          <w:bottom w:val="none" w:color="000000" w:sz="4" w:space="0"/>
          <w:right w:val="none" w:color="000000" w:sz="4" w:space="0"/>
        </w:pBdr>
      </w:pPr>
      <w:r>
        <w:rPr>
          <w:rFonts w:ascii="Times New Roman" w:hAnsi="Times New Roman" w:eastAsia="Times New Roman"/>
          <w:i/>
          <w:iCs/>
          <w:color w:val="000000"/>
          <w:sz w:val="28"/>
          <w:szCs w:val="28"/>
        </w:rPr>
        <w:t xml:space="preserve">Надзорной службой коммерческой организации были объявлены предостережения о недопустимости нарушений требований Федерального закона, в части запрета принудительной высадки детей, не подтвердивших оплату проезда.</w:t>
      </w:r>
      <w:r>
        <w:rPr>
          <w:rFonts w:ascii="Times New Roman" w:hAnsi="Times New Roman"/>
          <w:i/>
          <w:iCs/>
          <w:sz w:val="28"/>
          <w:szCs w:val="28"/>
        </w:rPr>
      </w:r>
      <w:r>
        <w:rPr>
          <w:rFonts w:ascii="Times New Roman" w:hAnsi="Times New Roman"/>
          <w:i/>
          <w:iCs/>
          <w:sz w:val="28"/>
          <w:szCs w:val="28"/>
        </w:rPr>
      </w:r>
    </w:p>
    <w:p>
      <w:pPr>
        <w:ind w:firstLine="709"/>
        <w:jc w:val="both"/>
        <w:spacing w:after="0"/>
        <w:shd w:val="clear" w:color="ffffff" w:fill="ffffff"/>
        <w:rPr>
          <w:rFonts w:ascii="Times New Roman" w:hAnsi="Times New Roman"/>
          <w:i/>
          <w:iCs/>
          <w:sz w:val="28"/>
          <w:szCs w:val="28"/>
        </w:rPr>
        <w:pBdr>
          <w:top w:val="none" w:color="000000" w:sz="4" w:space="0"/>
          <w:left w:val="none" w:color="000000" w:sz="4" w:space="0"/>
          <w:bottom w:val="none" w:color="000000" w:sz="4" w:space="0"/>
          <w:right w:val="none" w:color="000000" w:sz="4" w:space="0"/>
        </w:pBdr>
      </w:pPr>
      <w:r>
        <w:rPr>
          <w:rFonts w:ascii="Times New Roman" w:hAnsi="Times New Roman" w:eastAsia="Times New Roman"/>
          <w:color w:val="000000"/>
          <w:sz w:val="28"/>
          <w:szCs w:val="28"/>
        </w:rPr>
        <w:t xml:space="preserve">Кроме того, </w:t>
      </w:r>
      <w:r>
        <w:rPr>
          <w:rFonts w:ascii="Times New Roman" w:hAnsi="Times New Roman" w:eastAsia="Times New Roman"/>
          <w:i/>
          <w:iCs/>
          <w:color w:val="000000"/>
          <w:sz w:val="28"/>
          <w:szCs w:val="28"/>
        </w:rPr>
        <w:t xml:space="preserve">в адрес регионального омбудсмена поступило обращение на противозаконные действия и неэтичное отношение перевозчика к 13-летнему ребенку.</w:t>
      </w:r>
      <w:r>
        <w:rPr>
          <w:rFonts w:ascii="Times New Roman" w:hAnsi="Times New Roman"/>
          <w:i/>
          <w:iCs/>
          <w:sz w:val="28"/>
          <w:szCs w:val="28"/>
        </w:rPr>
      </w:r>
      <w:r>
        <w:rPr>
          <w:rFonts w:ascii="Times New Roman" w:hAnsi="Times New Roman"/>
          <w:i/>
          <w:iCs/>
          <w:sz w:val="28"/>
          <w:szCs w:val="28"/>
        </w:rPr>
      </w:r>
    </w:p>
    <w:p>
      <w:pPr>
        <w:ind w:firstLine="709"/>
        <w:jc w:val="both"/>
        <w:spacing w:after="0"/>
        <w:shd w:val="clear" w:color="ffffff" w:fill="ffffff"/>
        <w:rPr>
          <w:rFonts w:ascii="Times New Roman" w:hAnsi="Times New Roman"/>
          <w:i/>
          <w:iCs/>
          <w:sz w:val="28"/>
          <w:szCs w:val="28"/>
        </w:rPr>
        <w:pBdr>
          <w:top w:val="none" w:color="000000" w:sz="4" w:space="0"/>
          <w:left w:val="none" w:color="000000" w:sz="4" w:space="0"/>
          <w:bottom w:val="none" w:color="000000" w:sz="4" w:space="0"/>
          <w:right w:val="none" w:color="000000" w:sz="4" w:space="0"/>
        </w:pBdr>
      </w:pPr>
      <w:r>
        <w:rPr>
          <w:rFonts w:ascii="Times New Roman" w:hAnsi="Times New Roman" w:eastAsia="Times New Roman"/>
          <w:i/>
          <w:iCs/>
          <w:color w:val="000000"/>
          <w:sz w:val="28"/>
          <w:szCs w:val="28"/>
        </w:rPr>
        <w:t xml:space="preserve">В вечернее время мальчик сел в маршрутное такси, не уклонялся от оплаты проезда, достал банковскую карту для приобретения билета.</w:t>
      </w:r>
      <w:r>
        <w:rPr>
          <w:rFonts w:ascii="Times New Roman" w:hAnsi="Times New Roman"/>
          <w:i/>
          <w:iCs/>
          <w:sz w:val="28"/>
          <w:szCs w:val="28"/>
        </w:rPr>
      </w:r>
      <w:r>
        <w:rPr>
          <w:rFonts w:ascii="Times New Roman" w:hAnsi="Times New Roman"/>
          <w:i/>
          <w:iCs/>
          <w:sz w:val="28"/>
          <w:szCs w:val="28"/>
        </w:rPr>
      </w:r>
    </w:p>
    <w:p>
      <w:pPr>
        <w:ind w:firstLine="709"/>
        <w:jc w:val="both"/>
        <w:spacing w:after="0"/>
        <w:shd w:val="clear" w:color="ffffff" w:fill="ffffff"/>
        <w:rPr>
          <w:rFonts w:ascii="Times New Roman" w:hAnsi="Times New Roman"/>
          <w:i/>
          <w:iCs/>
          <w:sz w:val="28"/>
          <w:szCs w:val="28"/>
        </w:rPr>
        <w:pBdr>
          <w:top w:val="none" w:color="000000" w:sz="4" w:space="0"/>
          <w:left w:val="none" w:color="000000" w:sz="4" w:space="0"/>
          <w:bottom w:val="none" w:color="000000" w:sz="4" w:space="0"/>
          <w:right w:val="none" w:color="000000" w:sz="4" w:space="0"/>
        </w:pBdr>
      </w:pPr>
      <w:r>
        <w:rPr>
          <w:rFonts w:ascii="Times New Roman" w:hAnsi="Times New Roman" w:eastAsia="Times New Roman"/>
          <w:i/>
          <w:iCs/>
          <w:color w:val="000000"/>
          <w:sz w:val="28"/>
          <w:szCs w:val="28"/>
        </w:rPr>
        <w:t xml:space="preserve">Однако водитель настаивал оплатить проезд посредством перевода денежных средств через </w:t>
      </w:r>
      <w:r>
        <w:rPr>
          <w:rFonts w:ascii="Times New Roman" w:hAnsi="Times New Roman" w:eastAsia="Times New Roman"/>
          <w:i/>
          <w:iCs/>
          <w:color w:val="000000"/>
          <w:sz w:val="28"/>
          <w:szCs w:val="28"/>
        </w:rPr>
        <w:t xml:space="preserve">онлайн-банк</w:t>
      </w:r>
      <w:r>
        <w:rPr>
          <w:rFonts w:ascii="Times New Roman" w:hAnsi="Times New Roman" w:eastAsia="Times New Roman"/>
          <w:i/>
          <w:iCs/>
          <w:color w:val="000000"/>
          <w:sz w:val="28"/>
          <w:szCs w:val="28"/>
        </w:rPr>
        <w:t xml:space="preserve">. Такой возможности у несовершеннолетнего пассажира не оказалось. Возник конфликт. Водитель потребовал от ребенка покинуть салон автомобиля. В результате подросток был высажен далеко от нужной ему точки.</w:t>
      </w:r>
      <w:r>
        <w:rPr>
          <w:rFonts w:ascii="Times New Roman" w:hAnsi="Times New Roman"/>
          <w:i/>
          <w:iCs/>
          <w:sz w:val="28"/>
          <w:szCs w:val="28"/>
        </w:rPr>
      </w:r>
      <w:r>
        <w:rPr>
          <w:rFonts w:ascii="Times New Roman" w:hAnsi="Times New Roman"/>
          <w:i/>
          <w:iCs/>
          <w:sz w:val="28"/>
          <w:szCs w:val="28"/>
        </w:rPr>
      </w:r>
    </w:p>
    <w:p>
      <w:pPr>
        <w:ind w:firstLine="709"/>
        <w:jc w:val="both"/>
        <w:spacing w:after="0"/>
        <w:shd w:val="clear" w:color="ffffff" w:fill="ffffff"/>
        <w:rPr>
          <w:rFonts w:ascii="Times New Roman" w:hAnsi="Times New Roman"/>
          <w:i/>
          <w:iCs/>
          <w:sz w:val="28"/>
          <w:szCs w:val="28"/>
        </w:rPr>
        <w:pBdr>
          <w:top w:val="none" w:color="000000" w:sz="4" w:space="0"/>
          <w:left w:val="none" w:color="000000" w:sz="4" w:space="0"/>
          <w:bottom w:val="none" w:color="000000" w:sz="4" w:space="0"/>
          <w:right w:val="none" w:color="000000" w:sz="4" w:space="0"/>
        </w:pBdr>
      </w:pPr>
      <w:r>
        <w:rPr>
          <w:rFonts w:ascii="Times New Roman" w:hAnsi="Times New Roman" w:eastAsia="Times New Roman"/>
          <w:i/>
          <w:iCs/>
          <w:color w:val="000000"/>
          <w:sz w:val="28"/>
          <w:szCs w:val="28"/>
        </w:rPr>
        <w:t xml:space="preserve">Для разбора проблемной ситуации, затр</w:t>
      </w:r>
      <w:r>
        <w:rPr>
          <w:rFonts w:ascii="Times New Roman" w:hAnsi="Times New Roman" w:eastAsia="Times New Roman"/>
          <w:i/>
          <w:iCs/>
          <w:color w:val="000000"/>
          <w:sz w:val="28"/>
          <w:szCs w:val="28"/>
        </w:rPr>
        <w:t xml:space="preserve">агивающей интересы юного пассажира, было направлено письмо в адрес руководства регионального Департамента дорожного хозяйства и транспорта с просьбой проведения незамедлительной проверки по данному факту и принятия соответствующих мер в отношении водителя.</w:t>
      </w:r>
      <w:r>
        <w:rPr>
          <w:rFonts w:ascii="Times New Roman" w:hAnsi="Times New Roman"/>
          <w:i/>
          <w:iCs/>
          <w:sz w:val="28"/>
          <w:szCs w:val="28"/>
        </w:rPr>
      </w:r>
      <w:r>
        <w:rPr>
          <w:rFonts w:ascii="Times New Roman" w:hAnsi="Times New Roman"/>
          <w:i/>
          <w:iCs/>
          <w:sz w:val="28"/>
          <w:szCs w:val="28"/>
        </w:rPr>
      </w:r>
    </w:p>
    <w:p>
      <w:pPr>
        <w:ind w:firstLine="709"/>
        <w:jc w:val="both"/>
        <w:spacing w:after="0"/>
        <w:shd w:val="clear" w:color="ffffff" w:fill="ffffff"/>
        <w:rPr>
          <w:rFonts w:ascii="Times New Roman" w:hAnsi="Times New Roman"/>
          <w:sz w:val="28"/>
          <w:szCs w:val="28"/>
        </w:rPr>
        <w:pBdr>
          <w:top w:val="none" w:color="000000" w:sz="4" w:space="0"/>
          <w:left w:val="none" w:color="000000" w:sz="4" w:space="0"/>
          <w:bottom w:val="none" w:color="000000" w:sz="4" w:space="0"/>
          <w:right w:val="none" w:color="000000" w:sz="4" w:space="0"/>
        </w:pBdr>
      </w:pPr>
      <w:r>
        <w:rPr>
          <w:rFonts w:ascii="Times New Roman" w:hAnsi="Times New Roman" w:eastAsia="Times New Roman"/>
          <w:i/>
          <w:iCs/>
          <w:color w:val="000000"/>
          <w:sz w:val="28"/>
          <w:szCs w:val="28"/>
        </w:rPr>
        <w:t xml:space="preserve">Итог справедлив. По данному факту перевозчик привлечен к административной ответственности. Кроме того, сотрудниками ТОГАДН по Ивановской области МТУ </w:t>
      </w:r>
      <w:r>
        <w:rPr>
          <w:rFonts w:ascii="Times New Roman" w:hAnsi="Times New Roman" w:eastAsia="Times New Roman"/>
          <w:i/>
          <w:iCs/>
          <w:color w:val="000000"/>
          <w:sz w:val="28"/>
          <w:szCs w:val="28"/>
        </w:rPr>
        <w:t xml:space="preserve">Ространснадзора</w:t>
      </w:r>
      <w:r>
        <w:rPr>
          <w:rFonts w:ascii="Times New Roman" w:hAnsi="Times New Roman" w:eastAsia="Times New Roman"/>
          <w:i/>
          <w:iCs/>
          <w:color w:val="000000"/>
          <w:sz w:val="28"/>
          <w:szCs w:val="28"/>
        </w:rPr>
        <w:t xml:space="preserve"> по ЦФО принято решение проводить постоянные рейды по </w:t>
      </w:r>
      <w:r>
        <w:rPr>
          <w:rFonts w:ascii="Times New Roman" w:hAnsi="Times New Roman" w:eastAsia="Times New Roman"/>
          <w:i/>
          <w:iCs/>
          <w:color w:val="000000"/>
          <w:sz w:val="28"/>
          <w:szCs w:val="28"/>
        </w:rPr>
        <w:t xml:space="preserve">контролю за</w:t>
      </w:r>
      <w:r>
        <w:rPr>
          <w:rFonts w:ascii="Times New Roman" w:hAnsi="Times New Roman" w:eastAsia="Times New Roman"/>
          <w:i/>
          <w:iCs/>
          <w:color w:val="000000"/>
          <w:sz w:val="28"/>
          <w:szCs w:val="28"/>
        </w:rPr>
        <w:t xml:space="preserve"> работой водителей автобусов.</w:t>
      </w:r>
      <w:r>
        <w:rPr>
          <w:rFonts w:ascii="Times New Roman" w:hAnsi="Times New Roman"/>
          <w:sz w:val="28"/>
          <w:szCs w:val="28"/>
        </w:rPr>
      </w:r>
      <w:r>
        <w:rPr>
          <w:rFonts w:ascii="Times New Roman" w:hAnsi="Times New Roman"/>
          <w:sz w:val="28"/>
          <w:szCs w:val="28"/>
        </w:rPr>
      </w:r>
    </w:p>
    <w:p>
      <w:pPr>
        <w:ind w:firstLine="709"/>
        <w:jc w:val="both"/>
        <w:spacing w:after="0"/>
        <w:rPr>
          <w:rFonts w:ascii="Times New Roman" w:hAnsi="Times New Roman"/>
          <w:sz w:val="28"/>
          <w:szCs w:val="28"/>
        </w:rPr>
      </w:pPr>
      <w:r>
        <w:rPr>
          <w:rFonts w:ascii="Times New Roman" w:hAnsi="Times New Roman" w:eastAsia="Times New Roman"/>
          <w:color w:val="000000"/>
          <w:sz w:val="28"/>
          <w:szCs w:val="28"/>
          <w:highlight w:val="white"/>
        </w:rPr>
        <w:t xml:space="preserve">В 4 квартале </w:t>
      </w:r>
      <w:r>
        <w:rPr>
          <w:rFonts w:ascii="Times New Roman" w:hAnsi="Times New Roman" w:eastAsia="Times New Roman"/>
          <w:color w:val="000000"/>
          <w:sz w:val="28"/>
          <w:szCs w:val="28"/>
          <w:highlight w:val="white"/>
        </w:rPr>
        <w:t xml:space="preserve">прошлого года</w:t>
      </w:r>
      <w:r>
        <w:rPr>
          <w:rFonts w:ascii="Times New Roman" w:hAnsi="Times New Roman" w:eastAsia="Times New Roman"/>
          <w:color w:val="000000"/>
          <w:sz w:val="28"/>
          <w:szCs w:val="28"/>
          <w:highlight w:val="white"/>
        </w:rPr>
        <w:t xml:space="preserve"> жители Ивановского региона стали массово жаловаться на сбои в работе общественного транспорта: десятки автобусных рейсов отменяются, а интервалы между автобусами значительно увеличились.</w:t>
      </w:r>
      <w:r>
        <w:rPr>
          <w:rFonts w:ascii="Times New Roman" w:hAnsi="Times New Roman"/>
          <w:sz w:val="28"/>
          <w:szCs w:val="28"/>
        </w:rPr>
      </w:r>
      <w:r>
        <w:rPr>
          <w:rFonts w:ascii="Times New Roman" w:hAnsi="Times New Roman"/>
          <w:sz w:val="28"/>
          <w:szCs w:val="28"/>
        </w:rPr>
      </w:r>
    </w:p>
    <w:p>
      <w:pPr>
        <w:ind w:firstLine="709"/>
        <w:jc w:val="both"/>
        <w:spacing w:after="0"/>
        <w:rPr>
          <w:rFonts w:ascii="Times New Roman" w:hAnsi="Times New Roman" w:eastAsia="Times New Roman"/>
          <w:sz w:val="28"/>
          <w:szCs w:val="28"/>
        </w:rPr>
      </w:pPr>
      <w:r>
        <w:rPr>
          <w:rFonts w:ascii="Times New Roman" w:hAnsi="Times New Roman" w:eastAsia="Times New Roman"/>
          <w:color w:val="000000"/>
          <w:sz w:val="28"/>
          <w:szCs w:val="28"/>
          <w:highlight w:val="white"/>
        </w:rPr>
        <w:t xml:space="preserve">Пассажиры сообщали, что интервалы между автобусами увеличивались в 2–3 раза, а некоторые рейсы полностью отменены без предварительного уведомления.</w:t>
      </w:r>
      <w:r>
        <w:rPr>
          <w:rFonts w:ascii="Times New Roman" w:hAnsi="Times New Roman" w:eastAsia="Times New Roman"/>
          <w:sz w:val="28"/>
          <w:szCs w:val="28"/>
        </w:rPr>
      </w:r>
      <w:r>
        <w:rPr>
          <w:rFonts w:ascii="Times New Roman" w:hAnsi="Times New Roman" w:eastAsia="Times New Roman"/>
          <w:sz w:val="28"/>
          <w:szCs w:val="28"/>
        </w:rPr>
      </w:r>
    </w:p>
    <w:p>
      <w:pPr>
        <w:ind w:firstLine="709"/>
        <w:jc w:val="both"/>
        <w:spacing w:after="0"/>
        <w:rPr>
          <w:rFonts w:ascii="Times New Roman" w:hAnsi="Times New Roman" w:eastAsia="Times New Roman"/>
          <w:sz w:val="28"/>
          <w:szCs w:val="28"/>
        </w:rPr>
      </w:pPr>
      <w:r>
        <w:rPr>
          <w:rFonts w:ascii="Times New Roman" w:hAnsi="Times New Roman" w:eastAsia="Times New Roman"/>
          <w:sz w:val="28"/>
          <w:szCs w:val="28"/>
        </w:rPr>
        <w:t xml:space="preserve">В связи с критической ситуацией, региональный омбудсмен приняла решение в 2026 году провести заседание Экспертного совета при Уполномоченном по правам человека в Ивановской области с привлечением компетентных органов и заинтересованных лиц.</w:t>
      </w:r>
      <w:r>
        <w:rPr>
          <w:rFonts w:ascii="Times New Roman" w:hAnsi="Times New Roman" w:eastAsia="Times New Roman"/>
          <w:sz w:val="28"/>
          <w:szCs w:val="28"/>
        </w:rPr>
      </w:r>
      <w:r>
        <w:rPr>
          <w:rFonts w:ascii="Times New Roman" w:hAnsi="Times New Roman" w:eastAsia="Times New Roman"/>
          <w:sz w:val="28"/>
          <w:szCs w:val="28"/>
        </w:rPr>
      </w:r>
    </w:p>
    <w:p>
      <w:pPr>
        <w:ind w:firstLine="709"/>
        <w:jc w:val="both"/>
        <w:spacing w:after="0"/>
        <w:shd w:val="clear" w:color="ffffff" w:fill="ffffff"/>
        <w:rPr>
          <w:rFonts w:ascii="Times New Roman" w:hAnsi="Times New Roman" w:eastAsia="Times New Roman"/>
          <w:color w:val="000000"/>
          <w:sz w:val="28"/>
          <w:szCs w:val="28"/>
        </w:rPr>
        <w:pBdr>
          <w:top w:val="none" w:color="000000" w:sz="4" w:space="0"/>
          <w:left w:val="none" w:color="000000" w:sz="4" w:space="0"/>
          <w:bottom w:val="none" w:color="000000" w:sz="4" w:space="0"/>
          <w:right w:val="none" w:color="000000" w:sz="4" w:space="0"/>
        </w:pBdr>
      </w:pPr>
      <w:r>
        <w:rPr>
          <w:rFonts w:ascii="Times New Roman" w:hAnsi="Times New Roman" w:eastAsia="Times New Roman"/>
          <w:color w:val="000000"/>
          <w:sz w:val="28"/>
          <w:szCs w:val="28"/>
        </w:rPr>
        <w:t xml:space="preserve">Охрана жизни, здоровья и имущества граждан, защита их прав и </w:t>
      </w:r>
      <w:r>
        <w:rPr>
          <w:rFonts w:ascii="Times New Roman" w:hAnsi="Times New Roman" w:eastAsia="Times New Roman"/>
          <w:color w:val="000000"/>
          <w:sz w:val="28"/>
          <w:szCs w:val="28"/>
        </w:rPr>
        <w:t xml:space="preserve">законных интересов, а также забота об интересах общества и государства путем предупреждения дорожно-транспортных происшествий, снижения тяжести их последствий являются задачами Федерального закона от 10.12.1995 Nº196-Ф3 «О безопасности дорожного движения».</w:t>
      </w:r>
      <w:r>
        <w:rPr>
          <w:rFonts w:ascii="Times New Roman" w:hAnsi="Times New Roman" w:eastAsia="Times New Roman"/>
          <w:color w:val="000000"/>
          <w:sz w:val="28"/>
          <w:szCs w:val="28"/>
        </w:rPr>
      </w:r>
      <w:r>
        <w:rPr>
          <w:rFonts w:ascii="Times New Roman" w:hAnsi="Times New Roman" w:eastAsia="Times New Roman"/>
          <w:color w:val="000000"/>
          <w:sz w:val="28"/>
          <w:szCs w:val="28"/>
        </w:rPr>
      </w:r>
    </w:p>
    <w:p>
      <w:pPr>
        <w:ind w:firstLine="709"/>
        <w:jc w:val="both"/>
        <w:spacing w:after="0"/>
        <w:shd w:val="clear" w:color="ffffff" w:fill="ffffff"/>
        <w:rPr>
          <w:rFonts w:ascii="Times New Roman" w:hAnsi="Times New Roman"/>
          <w:sz w:val="28"/>
          <w:szCs w:val="28"/>
        </w:rPr>
        <w:pBdr>
          <w:top w:val="none" w:color="000000" w:sz="4" w:space="0"/>
          <w:left w:val="none" w:color="000000" w:sz="4" w:space="0"/>
          <w:bottom w:val="none" w:color="000000" w:sz="4" w:space="0"/>
          <w:right w:val="none" w:color="000000" w:sz="4" w:space="0"/>
        </w:pBdr>
      </w:pPr>
      <w:r>
        <w:rPr>
          <w:rFonts w:ascii="Times New Roman" w:hAnsi="Times New Roman" w:eastAsia="Times New Roman"/>
          <w:color w:val="000000"/>
          <w:sz w:val="28"/>
          <w:szCs w:val="28"/>
        </w:rPr>
        <w:t xml:space="preserve">В соответствии со статьей 24 данного Федерального закона п</w:t>
      </w:r>
      <w:r>
        <w:rPr>
          <w:rFonts w:ascii="Times New Roman" w:hAnsi="Times New Roman" w:eastAsia="Times New Roman"/>
          <w:color w:val="000000"/>
          <w:sz w:val="28"/>
          <w:szCs w:val="28"/>
        </w:rPr>
        <w:t xml:space="preserve">рава граждан на безопасные условия движения по дорогам Российской Федерации гарантируются государством и обеспечиваются путем выполнения законодательства Российской Федерации о безопасности дорожного движения и международных договоров Российской Федерации.</w:t>
      </w:r>
      <w:r>
        <w:rPr>
          <w:rFonts w:ascii="Times New Roman" w:hAnsi="Times New Roman"/>
          <w:sz w:val="28"/>
          <w:szCs w:val="28"/>
        </w:rPr>
      </w:r>
      <w:r>
        <w:rPr>
          <w:rFonts w:ascii="Times New Roman" w:hAnsi="Times New Roman"/>
          <w:sz w:val="28"/>
          <w:szCs w:val="28"/>
        </w:rPr>
      </w:r>
    </w:p>
    <w:p>
      <w:pPr>
        <w:ind w:firstLine="709"/>
        <w:jc w:val="both"/>
        <w:spacing w:after="0"/>
        <w:rPr>
          <w:rFonts w:ascii="Times New Roman" w:hAnsi="Times New Roman"/>
          <w:sz w:val="28"/>
          <w:szCs w:val="28"/>
        </w:rPr>
      </w:pPr>
      <w:r>
        <w:rPr>
          <w:rFonts w:ascii="Times New Roman" w:hAnsi="Times New Roman" w:eastAsia="Times New Roman"/>
          <w:color w:val="000000"/>
          <w:sz w:val="28"/>
          <w:szCs w:val="28"/>
        </w:rPr>
        <w:t xml:space="preserve">Состояние автомобильных дорог является одним из важнейших факторов, влияющих на безопасность дорожного движения. </w:t>
      </w:r>
      <w:r>
        <w:rPr>
          <w:rFonts w:ascii="Times New Roman" w:hAnsi="Times New Roman"/>
          <w:sz w:val="28"/>
          <w:szCs w:val="28"/>
        </w:rPr>
      </w:r>
      <w:r>
        <w:rPr>
          <w:rFonts w:ascii="Times New Roman" w:hAnsi="Times New Roman"/>
          <w:sz w:val="28"/>
          <w:szCs w:val="28"/>
        </w:rPr>
      </w:r>
    </w:p>
    <w:p>
      <w:pPr>
        <w:ind w:firstLine="709"/>
        <w:jc w:val="both"/>
        <w:spacing w:after="0"/>
        <w:rPr>
          <w:rFonts w:ascii="Times New Roman" w:hAnsi="Times New Roman"/>
          <w:sz w:val="28"/>
          <w:szCs w:val="28"/>
        </w:rPr>
      </w:pPr>
      <w:r>
        <w:rPr>
          <w:rFonts w:ascii="Times New Roman" w:hAnsi="Times New Roman" w:eastAsia="Times New Roman"/>
          <w:sz w:val="28"/>
          <w:szCs w:val="28"/>
        </w:rPr>
        <w:t xml:space="preserve">Протяженность автомобильных дорог общего пользования в Ивановской области составляет более 11,6 тыс. км, в том числе 118 км - федерального значения, более 3,5 тыс. км - регионального и межмуниципального значения, более 8,16 тыс. км - местного значения.</w:t>
      </w:r>
      <w:r>
        <w:rPr>
          <w:rFonts w:ascii="Times New Roman" w:hAnsi="Times New Roman"/>
          <w:sz w:val="28"/>
          <w:szCs w:val="28"/>
        </w:rPr>
      </w:r>
      <w:r>
        <w:rPr>
          <w:rFonts w:ascii="Times New Roman" w:hAnsi="Times New Roman"/>
          <w:sz w:val="28"/>
          <w:szCs w:val="28"/>
        </w:rPr>
      </w:r>
    </w:p>
    <w:p>
      <w:pPr>
        <w:ind w:firstLine="709"/>
        <w:jc w:val="both"/>
        <w:spacing w:after="0"/>
        <w:rPr>
          <w:rFonts w:ascii="Times New Roman" w:hAnsi="Times New Roman"/>
          <w:sz w:val="28"/>
          <w:szCs w:val="28"/>
        </w:rPr>
      </w:pPr>
      <w:r>
        <w:rPr>
          <w:rFonts w:ascii="Times New Roman" w:hAnsi="Times New Roman" w:eastAsia="Times New Roman"/>
          <w:sz w:val="28"/>
          <w:szCs w:val="28"/>
        </w:rPr>
        <w:t xml:space="preserve">В 2025 году на</w:t>
      </w:r>
      <w:r>
        <w:rPr>
          <w:rFonts w:ascii="Times New Roman" w:hAnsi="Times New Roman" w:eastAsia="Times New Roman"/>
          <w:sz w:val="28"/>
          <w:szCs w:val="28"/>
        </w:rPr>
        <w:t xml:space="preserve"> региональной дорожной сети отремонтировано 18 объектов в различных районах протяженностью более 142,9 км. На местной дорожной сети выполнены работы почти на 200 участках дорог протяженностью более 140 км. 40 км из них — сельские дороги в селах и деревнях.</w:t>
      </w:r>
      <w:r>
        <w:rPr>
          <w:rFonts w:ascii="Times New Roman" w:hAnsi="Times New Roman"/>
          <w:sz w:val="28"/>
          <w:szCs w:val="28"/>
        </w:rPr>
      </w:r>
      <w:r>
        <w:rPr>
          <w:rFonts w:ascii="Times New Roman" w:hAnsi="Times New Roman"/>
          <w:sz w:val="28"/>
          <w:szCs w:val="28"/>
        </w:rPr>
      </w:r>
    </w:p>
    <w:p>
      <w:pPr>
        <w:ind w:firstLine="709"/>
        <w:jc w:val="both"/>
        <w:spacing w:after="0"/>
        <w:rPr>
          <w:rFonts w:ascii="Times New Roman" w:hAnsi="Times New Roman"/>
          <w:sz w:val="28"/>
          <w:szCs w:val="28"/>
        </w:rPr>
      </w:pPr>
      <w:r>
        <w:rPr>
          <w:rFonts w:ascii="Times New Roman" w:hAnsi="Times New Roman" w:eastAsia="Times New Roman"/>
          <w:sz w:val="28"/>
          <w:szCs w:val="28"/>
        </w:rPr>
        <w:t xml:space="preserve">По поручению губернатора СС. Воскресенского в 2025 году основные ресурсы направлены на приведение в нормативное состояние дорог к малым и отдаленным сельским населенным пунктам, которые не ремонтировались десятилетиями. Опережающими темпами в </w:t>
      </w:r>
      <w:r>
        <w:rPr>
          <w:rFonts w:ascii="Times New Roman" w:hAnsi="Times New Roman" w:eastAsia="Times New Roman"/>
          <w:sz w:val="28"/>
          <w:szCs w:val="28"/>
        </w:rPr>
        <w:t xml:space="preserve">Тейковском</w:t>
      </w:r>
      <w:r>
        <w:rPr>
          <w:rFonts w:ascii="Times New Roman" w:hAnsi="Times New Roman" w:eastAsia="Times New Roman"/>
          <w:sz w:val="28"/>
          <w:szCs w:val="28"/>
        </w:rPr>
        <w:t xml:space="preserve"> районе завершили ремонт дороги Двойная </w:t>
      </w:r>
      <w:r>
        <w:rPr>
          <w:rFonts w:ascii="Times New Roman" w:hAnsi="Times New Roman" w:eastAsia="Times New Roman"/>
          <w:sz w:val="28"/>
          <w:szCs w:val="28"/>
        </w:rPr>
        <w:t xml:space="preserve">Сторожка</w:t>
      </w:r>
      <w:r>
        <w:rPr>
          <w:rFonts w:ascii="Times New Roman" w:hAnsi="Times New Roman" w:eastAsia="Times New Roman"/>
          <w:sz w:val="28"/>
          <w:szCs w:val="28"/>
        </w:rPr>
        <w:t xml:space="preserve"> - </w:t>
      </w:r>
      <w:r>
        <w:rPr>
          <w:rFonts w:ascii="Times New Roman" w:hAnsi="Times New Roman" w:eastAsia="Times New Roman"/>
          <w:sz w:val="28"/>
          <w:szCs w:val="28"/>
        </w:rPr>
        <w:t xml:space="preserve">Сахтыш</w:t>
      </w:r>
      <w:r>
        <w:rPr>
          <w:rFonts w:ascii="Times New Roman" w:hAnsi="Times New Roman" w:eastAsia="Times New Roman"/>
          <w:sz w:val="28"/>
          <w:szCs w:val="28"/>
        </w:rPr>
        <w:t xml:space="preserve"> - </w:t>
      </w:r>
      <w:r>
        <w:rPr>
          <w:rFonts w:ascii="Times New Roman" w:hAnsi="Times New Roman" w:eastAsia="Times New Roman"/>
          <w:sz w:val="28"/>
          <w:szCs w:val="28"/>
        </w:rPr>
        <w:t xml:space="preserve">Нельша</w:t>
      </w:r>
      <w:r>
        <w:rPr>
          <w:rFonts w:ascii="Times New Roman" w:hAnsi="Times New Roman" w:eastAsia="Times New Roman"/>
          <w:sz w:val="28"/>
          <w:szCs w:val="28"/>
        </w:rPr>
        <w:t xml:space="preserve"> протяженностью 24,4 км; в </w:t>
      </w:r>
      <w:r>
        <w:rPr>
          <w:rFonts w:ascii="Times New Roman" w:hAnsi="Times New Roman" w:eastAsia="Times New Roman"/>
          <w:sz w:val="28"/>
          <w:szCs w:val="28"/>
        </w:rPr>
        <w:t xml:space="preserve">Гаврилово-Посадском</w:t>
      </w:r>
      <w:r>
        <w:rPr>
          <w:rFonts w:ascii="Times New Roman" w:hAnsi="Times New Roman" w:eastAsia="Times New Roman"/>
          <w:sz w:val="28"/>
          <w:szCs w:val="28"/>
        </w:rPr>
        <w:t xml:space="preserve"> районе — дороги Гаврилов Посад — </w:t>
      </w:r>
      <w:r>
        <w:rPr>
          <w:rFonts w:ascii="Times New Roman" w:hAnsi="Times New Roman" w:eastAsia="Times New Roman"/>
          <w:sz w:val="28"/>
          <w:szCs w:val="28"/>
        </w:rPr>
        <w:t xml:space="preserve">Лычево</w:t>
      </w:r>
      <w:r>
        <w:rPr>
          <w:rFonts w:ascii="Times New Roman" w:hAnsi="Times New Roman" w:eastAsia="Times New Roman"/>
          <w:sz w:val="28"/>
          <w:szCs w:val="28"/>
        </w:rPr>
        <w:t xml:space="preserve"> длиной 6,7 км, в Родниковском районе - подъезд к д. </w:t>
      </w:r>
      <w:r>
        <w:rPr>
          <w:rFonts w:ascii="Times New Roman" w:hAnsi="Times New Roman" w:eastAsia="Times New Roman"/>
          <w:sz w:val="28"/>
          <w:szCs w:val="28"/>
        </w:rPr>
        <w:t xml:space="preserve">Куделино</w:t>
      </w:r>
      <w:r>
        <w:rPr>
          <w:rFonts w:ascii="Times New Roman" w:hAnsi="Times New Roman" w:eastAsia="Times New Roman"/>
          <w:sz w:val="28"/>
          <w:szCs w:val="28"/>
        </w:rPr>
        <w:t xml:space="preserve"> — 3,6 км. Также обеспечен проезд по дорогам </w:t>
      </w:r>
      <w:r>
        <w:rPr>
          <w:rFonts w:ascii="Times New Roman" w:hAnsi="Times New Roman" w:eastAsia="Times New Roman"/>
          <w:sz w:val="28"/>
          <w:szCs w:val="28"/>
        </w:rPr>
        <w:t xml:space="preserve">Быстри</w:t>
      </w:r>
      <w:r>
        <w:rPr>
          <w:rFonts w:ascii="Times New Roman" w:hAnsi="Times New Roman" w:eastAsia="Times New Roman"/>
          <w:sz w:val="28"/>
          <w:szCs w:val="28"/>
        </w:rPr>
        <w:t xml:space="preserve"> — Семигорье в </w:t>
      </w:r>
      <w:r>
        <w:rPr>
          <w:rFonts w:ascii="Times New Roman" w:hAnsi="Times New Roman" w:eastAsia="Times New Roman"/>
          <w:sz w:val="28"/>
          <w:szCs w:val="28"/>
        </w:rPr>
        <w:t xml:space="preserve">Вичугском</w:t>
      </w:r>
      <w:r>
        <w:rPr>
          <w:rFonts w:ascii="Times New Roman" w:hAnsi="Times New Roman" w:eastAsia="Times New Roman"/>
          <w:sz w:val="28"/>
          <w:szCs w:val="28"/>
        </w:rPr>
        <w:t xml:space="preserve"> районе — 13,6 км, Заволжск — Заречный в Заволжском районе 7,9 км, Шуя — </w:t>
      </w:r>
      <w:r>
        <w:rPr>
          <w:rFonts w:ascii="Times New Roman" w:hAnsi="Times New Roman" w:eastAsia="Times New Roman"/>
          <w:sz w:val="28"/>
          <w:szCs w:val="28"/>
        </w:rPr>
        <w:t xml:space="preserve">Котюрево</w:t>
      </w:r>
      <w:r>
        <w:rPr>
          <w:rFonts w:ascii="Times New Roman" w:hAnsi="Times New Roman" w:eastAsia="Times New Roman"/>
          <w:sz w:val="28"/>
          <w:szCs w:val="28"/>
        </w:rPr>
        <w:t xml:space="preserve"> — </w:t>
      </w:r>
      <w:r>
        <w:rPr>
          <w:rFonts w:ascii="Times New Roman" w:hAnsi="Times New Roman" w:eastAsia="Times New Roman"/>
          <w:sz w:val="28"/>
          <w:szCs w:val="28"/>
        </w:rPr>
        <w:t xml:space="preserve">Реньково</w:t>
      </w:r>
      <w:r>
        <w:rPr>
          <w:rFonts w:ascii="Times New Roman" w:hAnsi="Times New Roman" w:eastAsia="Times New Roman"/>
          <w:sz w:val="28"/>
          <w:szCs w:val="28"/>
        </w:rPr>
        <w:t xml:space="preserve"> в </w:t>
      </w:r>
      <w:r>
        <w:rPr>
          <w:rFonts w:ascii="Times New Roman" w:hAnsi="Times New Roman" w:eastAsia="Times New Roman"/>
          <w:sz w:val="28"/>
          <w:szCs w:val="28"/>
        </w:rPr>
        <w:t xml:space="preserve">Фурмановском</w:t>
      </w:r>
      <w:r>
        <w:rPr>
          <w:rFonts w:ascii="Times New Roman" w:hAnsi="Times New Roman" w:eastAsia="Times New Roman"/>
          <w:sz w:val="28"/>
          <w:szCs w:val="28"/>
        </w:rPr>
        <w:t xml:space="preserve"> и Ивановском районах —14,9 км.</w:t>
      </w:r>
      <w:r>
        <w:rPr>
          <w:rFonts w:ascii="Times New Roman" w:hAnsi="Times New Roman"/>
          <w:sz w:val="28"/>
          <w:szCs w:val="28"/>
        </w:rPr>
      </w:r>
      <w:r>
        <w:rPr>
          <w:rFonts w:ascii="Times New Roman" w:hAnsi="Times New Roman"/>
          <w:sz w:val="28"/>
          <w:szCs w:val="28"/>
        </w:rPr>
      </w:r>
    </w:p>
    <w:p>
      <w:pPr>
        <w:ind w:firstLine="709"/>
        <w:jc w:val="both"/>
        <w:spacing w:after="0"/>
        <w:rPr>
          <w:rFonts w:ascii="Times New Roman" w:hAnsi="Times New Roman"/>
          <w:sz w:val="28"/>
          <w:szCs w:val="28"/>
        </w:rPr>
      </w:pPr>
      <w:r>
        <w:rPr>
          <w:rFonts w:ascii="Times New Roman" w:hAnsi="Times New Roman" w:eastAsia="Times New Roman"/>
          <w:sz w:val="28"/>
          <w:szCs w:val="28"/>
        </w:rPr>
        <w:t xml:space="preserve">В 2025 году по госпрограмме Минсельхоза России «Комплексное развитие сельских территорий» в Ивановской области отремонтировано четыре автомобильные дороги в </w:t>
      </w:r>
      <w:r>
        <w:rPr>
          <w:rFonts w:ascii="Times New Roman" w:hAnsi="Times New Roman" w:eastAsia="Times New Roman"/>
          <w:sz w:val="28"/>
          <w:szCs w:val="28"/>
        </w:rPr>
        <w:t xml:space="preserve">Гаврилово-Посадском</w:t>
      </w:r>
      <w:r>
        <w:rPr>
          <w:rFonts w:ascii="Times New Roman" w:hAnsi="Times New Roman" w:eastAsia="Times New Roman"/>
          <w:sz w:val="28"/>
          <w:szCs w:val="28"/>
        </w:rPr>
        <w:t xml:space="preserve">, Заволжском и Родниковском районах общей протяженностью более 4,5 км.</w:t>
      </w:r>
      <w:r>
        <w:rPr>
          <w:rFonts w:ascii="Times New Roman" w:hAnsi="Times New Roman"/>
          <w:sz w:val="28"/>
          <w:szCs w:val="28"/>
        </w:rPr>
      </w:r>
      <w:r>
        <w:rPr>
          <w:rFonts w:ascii="Times New Roman" w:hAnsi="Times New Roman"/>
          <w:sz w:val="28"/>
          <w:szCs w:val="28"/>
        </w:rPr>
      </w:r>
    </w:p>
    <w:p>
      <w:pPr>
        <w:ind w:firstLine="709"/>
        <w:jc w:val="both"/>
        <w:spacing w:after="0"/>
        <w:rPr>
          <w:rFonts w:ascii="Times New Roman" w:hAnsi="Times New Roman"/>
          <w:sz w:val="28"/>
          <w:szCs w:val="28"/>
        </w:rPr>
      </w:pPr>
      <w:r>
        <w:rPr>
          <w:rFonts w:ascii="Times New Roman" w:hAnsi="Times New Roman" w:eastAsia="Times New Roman"/>
          <w:sz w:val="28"/>
          <w:szCs w:val="28"/>
        </w:rPr>
        <w:t xml:space="preserve">В селе Заречный Заволжского района по программе «Комплексное развитие сельских территорий» произведен капиталь</w:t>
      </w:r>
      <w:r>
        <w:rPr>
          <w:rFonts w:ascii="Times New Roman" w:hAnsi="Times New Roman" w:eastAsia="Times New Roman"/>
          <w:sz w:val="28"/>
          <w:szCs w:val="28"/>
        </w:rPr>
        <w:t xml:space="preserve">ный ремонт двух дорог на ул. Фабричной, ведущей к Заречной средней общеобразовательной школе, и на ул. Заречной - к Заречному дому культуры. </w:t>
      </w:r>
      <w:r>
        <w:rPr>
          <w:rFonts w:ascii="Times New Roman" w:hAnsi="Times New Roman"/>
          <w:sz w:val="28"/>
          <w:szCs w:val="28"/>
        </w:rPr>
      </w:r>
      <w:r>
        <w:rPr>
          <w:rFonts w:ascii="Times New Roman" w:hAnsi="Times New Roman" w:eastAsia="Times New Roman"/>
          <w:sz w:val="28"/>
          <w:szCs w:val="28"/>
        </w:rPr>
        <w:t xml:space="preserve">В </w:t>
      </w:r>
      <w:r>
        <w:rPr>
          <w:rFonts w:ascii="Times New Roman" w:hAnsi="Times New Roman" w:eastAsia="Times New Roman"/>
          <w:sz w:val="28"/>
          <w:szCs w:val="28"/>
        </w:rPr>
        <w:t xml:space="preserve">Гаврилово-Посадском</w:t>
      </w:r>
      <w:r>
        <w:rPr>
          <w:rFonts w:ascii="Times New Roman" w:hAnsi="Times New Roman" w:eastAsia="Times New Roman"/>
          <w:sz w:val="28"/>
          <w:szCs w:val="28"/>
        </w:rPr>
        <w:t xml:space="preserve"> районе реконструированы автодороги в селе </w:t>
      </w:r>
      <w:r>
        <w:rPr>
          <w:rFonts w:ascii="Times New Roman" w:hAnsi="Times New Roman" w:eastAsia="Times New Roman"/>
          <w:sz w:val="28"/>
          <w:szCs w:val="28"/>
        </w:rPr>
        <w:t xml:space="preserve">Непотягово</w:t>
      </w:r>
      <w:r>
        <w:rPr>
          <w:rFonts w:ascii="Times New Roman" w:hAnsi="Times New Roman" w:eastAsia="Times New Roman"/>
          <w:sz w:val="28"/>
          <w:szCs w:val="28"/>
        </w:rPr>
        <w:t xml:space="preserve">, ведущие к крупному сельхозпредприятию СПК «Рассвет». </w:t>
      </w:r>
      <w:r>
        <w:rPr>
          <w:rFonts w:ascii="Times New Roman" w:hAnsi="Times New Roman"/>
          <w:sz w:val="28"/>
          <w:szCs w:val="28"/>
        </w:rPr>
      </w:r>
      <w:r>
        <w:rPr>
          <w:rFonts w:ascii="Times New Roman" w:hAnsi="Times New Roman"/>
          <w:sz w:val="28"/>
          <w:szCs w:val="28"/>
        </w:rPr>
      </w:r>
    </w:p>
    <w:p>
      <w:pPr>
        <w:ind w:firstLine="709"/>
        <w:jc w:val="both"/>
        <w:spacing w:after="0"/>
        <w:rPr>
          <w:rFonts w:ascii="Times New Roman" w:hAnsi="Times New Roman"/>
          <w:sz w:val="28"/>
          <w:szCs w:val="28"/>
        </w:rPr>
      </w:pPr>
      <w:r>
        <w:rPr>
          <w:rFonts w:ascii="Times New Roman" w:hAnsi="Times New Roman" w:eastAsia="Times New Roman"/>
          <w:sz w:val="28"/>
          <w:szCs w:val="28"/>
        </w:rPr>
        <w:t xml:space="preserve">В Родниковском районе отремонтирована дорога в селе </w:t>
      </w:r>
      <w:r>
        <w:rPr>
          <w:rFonts w:ascii="Times New Roman" w:hAnsi="Times New Roman" w:eastAsia="Times New Roman"/>
          <w:sz w:val="28"/>
          <w:szCs w:val="28"/>
        </w:rPr>
        <w:t xml:space="preserve">Никульское</w:t>
      </w:r>
      <w:r>
        <w:rPr>
          <w:rFonts w:ascii="Times New Roman" w:hAnsi="Times New Roman" w:eastAsia="Times New Roman"/>
          <w:sz w:val="28"/>
          <w:szCs w:val="28"/>
        </w:rPr>
        <w:t xml:space="preserve">, которая обеспечила доступ к одному из ведущих сельхозпредприятий региона - </w:t>
      </w:r>
      <w:r>
        <w:rPr>
          <w:rFonts w:ascii="Times New Roman" w:hAnsi="Times New Roman" w:eastAsia="Times New Roman"/>
          <w:sz w:val="28"/>
          <w:szCs w:val="28"/>
        </w:rPr>
        <w:t xml:space="preserve">Племзаводу</w:t>
      </w:r>
      <w:r>
        <w:rPr>
          <w:rFonts w:ascii="Times New Roman" w:hAnsi="Times New Roman" w:eastAsia="Times New Roman"/>
          <w:sz w:val="28"/>
          <w:szCs w:val="28"/>
        </w:rPr>
        <w:t xml:space="preserve"> «Заря». Кроме этого, в рамках госпрограммы в этом </w:t>
      </w:r>
      <w:r>
        <w:rPr>
          <w:rFonts w:ascii="Times New Roman" w:hAnsi="Times New Roman" w:eastAsia="Times New Roman"/>
          <w:sz w:val="28"/>
          <w:szCs w:val="28"/>
        </w:rPr>
        <w:t xml:space="preserve">году в селе организовано освещение и проведены ремонтно-восстановительные работы на улично-дорожной сети по ул. Набережная.</w:t>
      </w:r>
      <w:r>
        <w:rPr>
          <w:rFonts w:ascii="Times New Roman" w:hAnsi="Times New Roman"/>
          <w:sz w:val="28"/>
          <w:szCs w:val="28"/>
        </w:rPr>
      </w:r>
      <w:r>
        <w:rPr>
          <w:rFonts w:ascii="Times New Roman" w:hAnsi="Times New Roman"/>
          <w:sz w:val="28"/>
          <w:szCs w:val="28"/>
        </w:rPr>
      </w:r>
    </w:p>
    <w:p>
      <w:pPr>
        <w:ind w:firstLine="709"/>
        <w:jc w:val="both"/>
        <w:spacing w:after="0"/>
        <w:rPr>
          <w:rFonts w:ascii="Times New Roman" w:hAnsi="Times New Roman"/>
          <w:sz w:val="28"/>
          <w:szCs w:val="28"/>
        </w:rPr>
      </w:pPr>
      <w:r>
        <w:rPr>
          <w:rFonts w:ascii="Times New Roman" w:hAnsi="Times New Roman" w:eastAsia="Times New Roman"/>
          <w:sz w:val="28"/>
          <w:szCs w:val="28"/>
        </w:rPr>
        <w:t xml:space="preserve">В 2025 году в рамках национального проекта построены и капитально отремонтированы три мостовых сооружения: через реку Чернавка в Ивановском районе, через реку </w:t>
      </w:r>
      <w:r>
        <w:rPr>
          <w:rFonts w:ascii="Times New Roman" w:hAnsi="Times New Roman" w:eastAsia="Times New Roman"/>
          <w:sz w:val="28"/>
          <w:szCs w:val="28"/>
        </w:rPr>
        <w:t xml:space="preserve">Добрица</w:t>
      </w:r>
      <w:r>
        <w:rPr>
          <w:rFonts w:ascii="Times New Roman" w:hAnsi="Times New Roman" w:eastAsia="Times New Roman"/>
          <w:sz w:val="28"/>
          <w:szCs w:val="28"/>
        </w:rPr>
        <w:t xml:space="preserve"> в </w:t>
      </w:r>
      <w:r>
        <w:rPr>
          <w:rFonts w:ascii="Times New Roman" w:hAnsi="Times New Roman" w:eastAsia="Times New Roman"/>
          <w:sz w:val="28"/>
          <w:szCs w:val="28"/>
        </w:rPr>
        <w:t xml:space="preserve">Лухском</w:t>
      </w:r>
      <w:r>
        <w:rPr>
          <w:rFonts w:ascii="Times New Roman" w:hAnsi="Times New Roman" w:eastAsia="Times New Roman"/>
          <w:sz w:val="28"/>
          <w:szCs w:val="28"/>
        </w:rPr>
        <w:t xml:space="preserve"> районе, через реку </w:t>
      </w:r>
      <w:r>
        <w:rPr>
          <w:rFonts w:ascii="Times New Roman" w:hAnsi="Times New Roman" w:eastAsia="Times New Roman"/>
          <w:sz w:val="28"/>
          <w:szCs w:val="28"/>
        </w:rPr>
        <w:t xml:space="preserve">Сеха</w:t>
      </w:r>
      <w:r>
        <w:rPr>
          <w:rFonts w:ascii="Times New Roman" w:hAnsi="Times New Roman" w:eastAsia="Times New Roman"/>
          <w:sz w:val="28"/>
          <w:szCs w:val="28"/>
        </w:rPr>
        <w:t xml:space="preserve"> в Шуйском районе.</w:t>
      </w:r>
      <w:r>
        <w:rPr>
          <w:rFonts w:ascii="Times New Roman" w:hAnsi="Times New Roman"/>
          <w:sz w:val="28"/>
          <w:szCs w:val="28"/>
        </w:rPr>
      </w:r>
      <w:r>
        <w:rPr>
          <w:rFonts w:ascii="Times New Roman" w:hAnsi="Times New Roman"/>
          <w:sz w:val="28"/>
          <w:szCs w:val="28"/>
        </w:rPr>
      </w:r>
    </w:p>
    <w:p>
      <w:pPr>
        <w:ind w:firstLine="709"/>
        <w:jc w:val="both"/>
        <w:spacing w:after="0"/>
        <w:rPr>
          <w:rFonts w:ascii="Times New Roman" w:hAnsi="Times New Roman"/>
          <w:sz w:val="28"/>
          <w:szCs w:val="28"/>
        </w:rPr>
      </w:pPr>
      <w:r>
        <w:rPr>
          <w:rFonts w:ascii="Times New Roman" w:hAnsi="Times New Roman" w:eastAsia="Times New Roman"/>
          <w:sz w:val="28"/>
          <w:szCs w:val="28"/>
        </w:rPr>
        <w:t xml:space="preserve">В регионе завершена реализация проекта «Светлый город». При этом в десяти районных центрах (Пучеж, Лежнево, </w:t>
      </w:r>
      <w:r>
        <w:rPr>
          <w:rFonts w:ascii="Times New Roman" w:hAnsi="Times New Roman" w:eastAsia="Times New Roman"/>
          <w:sz w:val="28"/>
          <w:szCs w:val="28"/>
        </w:rPr>
        <w:t xml:space="preserve">Лух</w:t>
      </w:r>
      <w:r>
        <w:rPr>
          <w:rFonts w:ascii="Times New Roman" w:hAnsi="Times New Roman" w:eastAsia="Times New Roman"/>
          <w:sz w:val="28"/>
          <w:szCs w:val="28"/>
        </w:rPr>
        <w:t xml:space="preserve">, Савино и </w:t>
      </w:r>
      <w:r>
        <w:rPr>
          <w:rFonts w:ascii="Times New Roman" w:hAnsi="Times New Roman" w:eastAsia="Times New Roman"/>
          <w:sz w:val="28"/>
          <w:szCs w:val="28"/>
        </w:rPr>
        <w:t xml:space="preserve">Ильинское-Хованское</w:t>
      </w:r>
      <w:r>
        <w:rPr>
          <w:rFonts w:ascii="Times New Roman" w:hAnsi="Times New Roman" w:eastAsia="Times New Roman"/>
          <w:sz w:val="28"/>
          <w:szCs w:val="28"/>
        </w:rPr>
        <w:t xml:space="preserve">, Заволжск, Вичуга, Пестяки, Верхний Ландех, Комсомольск), в которых модернизация освещения изначально пла</w:t>
      </w:r>
      <w:r>
        <w:rPr>
          <w:rFonts w:ascii="Times New Roman" w:hAnsi="Times New Roman" w:eastAsia="Times New Roman"/>
          <w:sz w:val="28"/>
          <w:szCs w:val="28"/>
        </w:rPr>
        <w:t xml:space="preserve">нировалась на 2026-2027 годы, работы выполнены досрочно. Проект стартовал в 2019 году с города Иваново, где сейчас освещено 97 % улиц. </w:t>
      </w:r>
      <w:r>
        <w:rPr>
          <w:rFonts w:ascii="Times New Roman" w:hAnsi="Times New Roman"/>
          <w:sz w:val="28"/>
          <w:szCs w:val="28"/>
        </w:rPr>
      </w:r>
    </w:p>
    <w:p>
      <w:pPr>
        <w:ind w:firstLine="709"/>
        <w:jc w:val="both"/>
        <w:spacing w:after="0"/>
        <w:rPr>
          <w:rFonts w:ascii="Times New Roman" w:hAnsi="Times New Roman"/>
          <w:sz w:val="28"/>
          <w:szCs w:val="28"/>
        </w:rPr>
      </w:pPr>
      <w:r>
        <w:rPr>
          <w:rFonts w:ascii="Times New Roman" w:hAnsi="Times New Roman" w:eastAsia="Times New Roman"/>
          <w:sz w:val="28"/>
          <w:szCs w:val="28"/>
        </w:rPr>
        <w:t xml:space="preserve">Департаментом дорожного хозяйства и транспорта Ивановск</w:t>
      </w:r>
      <w:r>
        <w:rPr>
          <w:rFonts w:ascii="Times New Roman" w:hAnsi="Times New Roman" w:eastAsia="Times New Roman"/>
          <w:sz w:val="28"/>
          <w:szCs w:val="28"/>
        </w:rPr>
        <w:t xml:space="preserve">ой области в 2025 году завершены работы по государственному контракту на выполнение работ по устройству недостающего искусственного освещения на автомобильных дорог общего пользования регионального и межмуниципального значения Ивановской области (14 этап).</w:t>
      </w:r>
      <w:r>
        <w:rPr>
          <w:rFonts w:ascii="Times New Roman" w:hAnsi="Times New Roman"/>
          <w:sz w:val="28"/>
          <w:szCs w:val="28"/>
        </w:rPr>
      </w:r>
      <w:r>
        <w:rPr>
          <w:rFonts w:ascii="Times New Roman" w:hAnsi="Times New Roman"/>
          <w:sz w:val="28"/>
          <w:szCs w:val="28"/>
        </w:rPr>
      </w:r>
    </w:p>
    <w:p>
      <w:pPr>
        <w:ind w:firstLine="709"/>
        <w:jc w:val="both"/>
        <w:spacing w:after="0"/>
        <w:rPr>
          <w:rFonts w:ascii="Times New Roman" w:hAnsi="Times New Roman"/>
          <w:sz w:val="28"/>
          <w:szCs w:val="28"/>
        </w:rPr>
      </w:pPr>
      <w:r>
        <w:rPr>
          <w:rFonts w:ascii="Times New Roman" w:hAnsi="Times New Roman" w:eastAsia="Times New Roman"/>
          <w:sz w:val="28"/>
          <w:szCs w:val="28"/>
        </w:rPr>
        <w:t xml:space="preserve">В рамках данного контракта обустроено освещение на автомобильных дорогах Ростов — Иваново — Нижний Новгород, Мыт Верхний Ландех — Затеиха и Обход п. Палех, в поселке Пестяки, поселке Мыт Ивановской области.</w:t>
      </w:r>
      <w:r>
        <w:rPr>
          <w:rFonts w:ascii="Times New Roman" w:hAnsi="Times New Roman"/>
          <w:sz w:val="28"/>
          <w:szCs w:val="28"/>
        </w:rPr>
      </w:r>
      <w:r>
        <w:rPr>
          <w:rFonts w:ascii="Times New Roman" w:hAnsi="Times New Roman"/>
          <w:sz w:val="28"/>
          <w:szCs w:val="28"/>
        </w:rPr>
      </w:r>
    </w:p>
    <w:p>
      <w:pPr>
        <w:ind w:firstLine="709"/>
        <w:jc w:val="both"/>
        <w:spacing w:after="0"/>
        <w:rPr>
          <w:rFonts w:ascii="Times New Roman" w:hAnsi="Times New Roman"/>
          <w:sz w:val="28"/>
          <w:szCs w:val="28"/>
        </w:rPr>
      </w:pPr>
      <w:r>
        <w:rPr>
          <w:rFonts w:ascii="Times New Roman" w:hAnsi="Times New Roman" w:eastAsia="Times New Roman"/>
          <w:sz w:val="28"/>
          <w:szCs w:val="28"/>
        </w:rPr>
        <w:t xml:space="preserve">Кроме этого, в рамках государственного контракта выполнены работы по устройству линии наружного освещения на автомобильных дорогах Светлый Луч — Афанасово, Кинешма — Наволоки, Иваново — Ярославль. </w:t>
      </w:r>
      <w:r>
        <w:rPr>
          <w:rFonts w:ascii="Times New Roman" w:hAnsi="Times New Roman" w:eastAsia="Times New Roman"/>
          <w:sz w:val="28"/>
          <w:szCs w:val="28"/>
        </w:rPr>
        <w:t xml:space="preserve">В рам</w:t>
      </w:r>
      <w:r>
        <w:rPr>
          <w:rFonts w:ascii="Times New Roman" w:hAnsi="Times New Roman" w:eastAsia="Times New Roman"/>
          <w:sz w:val="28"/>
          <w:szCs w:val="28"/>
        </w:rPr>
        <w:t xml:space="preserve">ках работ по ремонту автомобильных дорог общего пользования межмуниципального и регионального значения Ивановской области в 2025 году обустроены линия наружного освещения в населенных пунктах на автомобильных дорогах Кинешма - Наволоки, Заволжск Заречный, </w:t>
      </w:r>
      <w:r>
        <w:rPr>
          <w:rFonts w:ascii="Times New Roman" w:hAnsi="Times New Roman" w:eastAsia="Times New Roman"/>
          <w:sz w:val="28"/>
          <w:szCs w:val="28"/>
        </w:rPr>
        <w:t xml:space="preserve">Быстри</w:t>
      </w:r>
      <w:r>
        <w:rPr>
          <w:rFonts w:ascii="Times New Roman" w:hAnsi="Times New Roman" w:eastAsia="Times New Roman"/>
          <w:sz w:val="28"/>
          <w:szCs w:val="28"/>
        </w:rPr>
        <w:t xml:space="preserve"> — Семигорье, Лежнево - </w:t>
      </w:r>
      <w:r>
        <w:rPr>
          <w:rFonts w:ascii="Times New Roman" w:hAnsi="Times New Roman" w:eastAsia="Times New Roman"/>
          <w:sz w:val="28"/>
          <w:szCs w:val="28"/>
        </w:rPr>
        <w:t xml:space="preserve">Шилыково</w:t>
      </w:r>
      <w:r>
        <w:rPr>
          <w:rFonts w:ascii="Times New Roman" w:hAnsi="Times New Roman" w:eastAsia="Times New Roman"/>
          <w:sz w:val="28"/>
          <w:szCs w:val="28"/>
        </w:rPr>
        <w:t xml:space="preserve"> - </w:t>
      </w:r>
      <w:r>
        <w:rPr>
          <w:rFonts w:ascii="Times New Roman" w:hAnsi="Times New Roman" w:eastAsia="Times New Roman"/>
          <w:sz w:val="28"/>
          <w:szCs w:val="28"/>
        </w:rPr>
        <w:t xml:space="preserve">Пелгусово</w:t>
      </w:r>
      <w:r>
        <w:rPr>
          <w:rFonts w:ascii="Times New Roman" w:hAnsi="Times New Roman" w:eastAsia="Times New Roman"/>
          <w:sz w:val="28"/>
          <w:szCs w:val="28"/>
        </w:rPr>
        <w:t xml:space="preserve">, Гаврилов Посад — </w:t>
      </w:r>
      <w:r>
        <w:rPr>
          <w:rFonts w:ascii="Times New Roman" w:hAnsi="Times New Roman" w:eastAsia="Times New Roman"/>
          <w:sz w:val="28"/>
          <w:szCs w:val="28"/>
        </w:rPr>
        <w:t xml:space="preserve">Лычево</w:t>
      </w:r>
      <w:r>
        <w:rPr>
          <w:rFonts w:ascii="Times New Roman" w:hAnsi="Times New Roman" w:eastAsia="Times New Roman"/>
          <w:sz w:val="28"/>
          <w:szCs w:val="28"/>
        </w:rPr>
        <w:t xml:space="preserve">, Двойная </w:t>
      </w:r>
      <w:r>
        <w:rPr>
          <w:rFonts w:ascii="Times New Roman" w:hAnsi="Times New Roman" w:eastAsia="Times New Roman"/>
          <w:sz w:val="28"/>
          <w:szCs w:val="28"/>
        </w:rPr>
        <w:t xml:space="preserve">сторожка-Сахтыш-Нельша</w:t>
      </w:r>
      <w:r>
        <w:rPr>
          <w:rFonts w:ascii="Times New Roman" w:hAnsi="Times New Roman" w:eastAsia="Times New Roman"/>
          <w:sz w:val="28"/>
          <w:szCs w:val="28"/>
        </w:rPr>
        <w:t xml:space="preserve">, </w:t>
      </w:r>
      <w:r>
        <w:rPr>
          <w:rFonts w:ascii="Times New Roman" w:hAnsi="Times New Roman" w:eastAsia="Times New Roman"/>
          <w:sz w:val="28"/>
          <w:szCs w:val="28"/>
        </w:rPr>
        <w:t xml:space="preserve">Иваново-Рожново-Иванково</w:t>
      </w:r>
      <w:r>
        <w:rPr>
          <w:rFonts w:ascii="Times New Roman" w:hAnsi="Times New Roman" w:eastAsia="Times New Roman"/>
          <w:sz w:val="28"/>
          <w:szCs w:val="28"/>
        </w:rPr>
        <w:t xml:space="preserve">, </w:t>
      </w:r>
      <w:r>
        <w:rPr>
          <w:rFonts w:ascii="Times New Roman" w:hAnsi="Times New Roman" w:eastAsia="Times New Roman"/>
          <w:sz w:val="28"/>
          <w:szCs w:val="28"/>
        </w:rPr>
        <w:t xml:space="preserve">Ломы-Зеленый</w:t>
      </w:r>
      <w:r>
        <w:rPr>
          <w:rFonts w:ascii="Times New Roman" w:hAnsi="Times New Roman" w:eastAsia="Times New Roman"/>
          <w:sz w:val="28"/>
          <w:szCs w:val="28"/>
        </w:rPr>
        <w:t xml:space="preserve"> </w:t>
      </w:r>
      <w:r>
        <w:rPr>
          <w:rFonts w:ascii="Times New Roman" w:hAnsi="Times New Roman" w:eastAsia="Times New Roman"/>
          <w:sz w:val="28"/>
          <w:szCs w:val="28"/>
        </w:rPr>
        <w:t xml:space="preserve">Городок-Голяково</w:t>
      </w:r>
      <w:r>
        <w:rPr>
          <w:rFonts w:ascii="Times New Roman" w:hAnsi="Times New Roman" w:eastAsia="Times New Roman"/>
          <w:sz w:val="28"/>
          <w:szCs w:val="28"/>
        </w:rPr>
        <w:t xml:space="preserve">, кольцо на обходе г. Шуя (</w:t>
      </w:r>
      <w:r>
        <w:rPr>
          <w:rFonts w:ascii="Times New Roman" w:hAnsi="Times New Roman" w:eastAsia="Times New Roman"/>
          <w:sz w:val="28"/>
          <w:szCs w:val="28"/>
        </w:rPr>
        <w:t xml:space="preserve">Сергеево</w:t>
      </w:r>
      <w:r>
        <w:rPr>
          <w:rFonts w:ascii="Times New Roman" w:hAnsi="Times New Roman" w:eastAsia="Times New Roman"/>
          <w:sz w:val="28"/>
          <w:szCs w:val="28"/>
        </w:rPr>
        <w:t xml:space="preserve">), Ростов — Иваново — Нижний Новгород 159+700 км на пересечении</w:t>
      </w:r>
      <w:r>
        <w:rPr>
          <w:rFonts w:ascii="Times New Roman" w:hAnsi="Times New Roman" w:eastAsia="Times New Roman"/>
          <w:sz w:val="28"/>
          <w:szCs w:val="28"/>
        </w:rPr>
        <w:t xml:space="preserve"> с автомобильной дорогой Обход </w:t>
      </w:r>
      <w:r>
        <w:rPr>
          <w:rFonts w:ascii="Times New Roman" w:hAnsi="Times New Roman" w:eastAsia="Times New Roman"/>
          <w:sz w:val="28"/>
          <w:szCs w:val="28"/>
        </w:rPr>
        <w:t xml:space="preserve">г</w:t>
      </w:r>
      <w:r>
        <w:rPr>
          <w:rFonts w:ascii="Times New Roman" w:hAnsi="Times New Roman" w:eastAsia="Times New Roman"/>
          <w:sz w:val="28"/>
          <w:szCs w:val="28"/>
        </w:rPr>
        <w:t xml:space="preserve">. Шуя в Шуйском районе Ивановской области.</w:t>
      </w:r>
      <w:r>
        <w:rPr>
          <w:rFonts w:ascii="Times New Roman" w:hAnsi="Times New Roman"/>
          <w:sz w:val="28"/>
          <w:szCs w:val="28"/>
        </w:rPr>
      </w:r>
      <w:r>
        <w:rPr>
          <w:rFonts w:ascii="Times New Roman" w:hAnsi="Times New Roman"/>
          <w:sz w:val="28"/>
          <w:szCs w:val="28"/>
        </w:rPr>
      </w:r>
    </w:p>
    <w:p>
      <w:pPr>
        <w:ind w:firstLine="709"/>
        <w:jc w:val="both"/>
        <w:spacing w:after="0"/>
        <w:rPr>
          <w:rFonts w:ascii="Times New Roman" w:hAnsi="Times New Roman"/>
          <w:sz w:val="28"/>
          <w:szCs w:val="28"/>
        </w:rPr>
      </w:pPr>
      <w:r>
        <w:rPr>
          <w:rFonts w:ascii="Times New Roman" w:hAnsi="Times New Roman" w:eastAsia="Times New Roman"/>
          <w:sz w:val="28"/>
          <w:szCs w:val="28"/>
        </w:rPr>
        <w:t xml:space="preserve">Так же, ведутся работы по устройству недостающего освещения на автомобильных дорогах Тейково — Гаврилов Посад, Ростов — Иваново — Нижний Новгород (участки Иваново — Тейково, с. </w:t>
      </w:r>
      <w:r>
        <w:rPr>
          <w:rFonts w:ascii="Times New Roman" w:hAnsi="Times New Roman" w:eastAsia="Times New Roman"/>
          <w:sz w:val="28"/>
          <w:szCs w:val="28"/>
        </w:rPr>
        <w:t xml:space="preserve">Китово</w:t>
      </w:r>
      <w:r>
        <w:rPr>
          <w:rFonts w:ascii="Times New Roman" w:hAnsi="Times New Roman" w:eastAsia="Times New Roman"/>
          <w:sz w:val="28"/>
          <w:szCs w:val="28"/>
        </w:rPr>
        <w:t xml:space="preserve"> — г. Шуя), Иваново — Родники.</w:t>
      </w:r>
      <w:r>
        <w:rPr>
          <w:rFonts w:ascii="Times New Roman" w:hAnsi="Times New Roman" w:eastAsia="Times New Roman"/>
          <w:sz w:val="28"/>
          <w:szCs w:val="28"/>
        </w:rPr>
        <w:t xml:space="preserve"> Данные работы будут завершены в 2026 году.</w:t>
      </w:r>
      <w:r>
        <w:rPr>
          <w:rFonts w:ascii="Times New Roman" w:hAnsi="Times New Roman"/>
          <w:sz w:val="28"/>
          <w:szCs w:val="28"/>
        </w:rPr>
      </w:r>
      <w:r>
        <w:rPr>
          <w:rFonts w:ascii="Times New Roman" w:hAnsi="Times New Roman"/>
          <w:sz w:val="28"/>
          <w:szCs w:val="28"/>
        </w:rPr>
      </w:r>
    </w:p>
    <w:p>
      <w:pPr>
        <w:ind w:firstLine="709"/>
        <w:jc w:val="both"/>
        <w:spacing w:after="0"/>
        <w:shd w:val="clear" w:color="ffffff" w:fill="ffffff"/>
        <w:rPr>
          <w:rFonts w:ascii="Times New Roman" w:hAnsi="Times New Roman" w:eastAsia="Times New Roman"/>
          <w:color w:val="000000"/>
          <w:sz w:val="28"/>
          <w:szCs w:val="28"/>
        </w:rPr>
        <w:pBdr>
          <w:top w:val="none" w:color="000000" w:sz="4" w:space="0"/>
          <w:left w:val="none" w:color="000000" w:sz="4" w:space="0"/>
          <w:bottom w:val="none" w:color="000000" w:sz="4" w:space="0"/>
          <w:right w:val="none" w:color="000000" w:sz="4" w:space="0"/>
        </w:pBdr>
      </w:pPr>
      <w:r>
        <w:rPr>
          <w:rFonts w:ascii="Times New Roman" w:hAnsi="Times New Roman" w:eastAsia="Times New Roman"/>
          <w:color w:val="000000"/>
          <w:sz w:val="28"/>
          <w:szCs w:val="28"/>
        </w:rPr>
        <w:t xml:space="preserve">Следует отметить, что в последние годы в целом качество дорожного покрытия улучшается. Однако</w:t>
      </w:r>
      <w:r>
        <w:rPr>
          <w:rFonts w:ascii="Times New Roman" w:hAnsi="Times New Roman" w:eastAsia="Times New Roman"/>
          <w:color w:val="000000"/>
          <w:sz w:val="28"/>
          <w:szCs w:val="28"/>
        </w:rPr>
        <w:t xml:space="preserve">,</w:t>
      </w:r>
      <w:r>
        <w:rPr>
          <w:rFonts w:ascii="Times New Roman" w:hAnsi="Times New Roman" w:eastAsia="Times New Roman"/>
          <w:color w:val="000000"/>
          <w:sz w:val="28"/>
          <w:szCs w:val="28"/>
        </w:rPr>
        <w:t xml:space="preserve"> есть проблемы. </w:t>
      </w:r>
      <w:r>
        <w:rPr>
          <w:rFonts w:ascii="Times New Roman" w:hAnsi="Times New Roman" w:eastAsia="Times New Roman"/>
          <w:color w:val="000000"/>
          <w:sz w:val="28"/>
          <w:szCs w:val="28"/>
        </w:rPr>
      </w:r>
      <w:r>
        <w:rPr>
          <w:rFonts w:ascii="Times New Roman" w:hAnsi="Times New Roman" w:eastAsia="Times New Roman"/>
          <w:color w:val="000000"/>
          <w:sz w:val="28"/>
          <w:szCs w:val="28"/>
        </w:rPr>
      </w:r>
    </w:p>
    <w:p>
      <w:pPr>
        <w:ind w:firstLine="709"/>
        <w:jc w:val="both"/>
        <w:spacing w:after="0"/>
        <w:shd w:val="clear" w:color="ffffff" w:fill="ffffff"/>
        <w:rPr>
          <w:rFonts w:ascii="Times New Roman" w:hAnsi="Times New Roman" w:eastAsia="Times New Roman"/>
          <w:bCs/>
          <w:i/>
          <w:color w:val="000000"/>
          <w:sz w:val="28"/>
          <w:szCs w:val="28"/>
        </w:rPr>
        <w:pBdr>
          <w:top w:val="none" w:color="000000" w:sz="4" w:space="0"/>
          <w:left w:val="none" w:color="000000" w:sz="4" w:space="0"/>
          <w:bottom w:val="none" w:color="000000" w:sz="4" w:space="0"/>
          <w:right w:val="none" w:color="000000" w:sz="4" w:space="0"/>
        </w:pBdr>
      </w:pPr>
      <w:r>
        <w:rPr>
          <w:rFonts w:ascii="Times New Roman" w:hAnsi="Times New Roman" w:eastAsia="Times New Roman"/>
          <w:i/>
          <w:iCs/>
          <w:color w:val="000000"/>
          <w:sz w:val="28"/>
          <w:szCs w:val="28"/>
        </w:rPr>
        <w:t xml:space="preserve">Так, в адрес правозащитной службы поступило обращение о ненадлежащем состоянии отдельного участка дороги по ул. Любимова </w:t>
      </w:r>
      <w:r>
        <w:rPr>
          <w:rFonts w:ascii="Times New Roman" w:hAnsi="Times New Roman" w:eastAsia="Times New Roman"/>
          <w:i/>
          <w:iCs/>
          <w:color w:val="000000"/>
          <w:sz w:val="28"/>
          <w:szCs w:val="28"/>
        </w:rPr>
        <w:t xml:space="preserve">г</w:t>
      </w:r>
      <w:r>
        <w:rPr>
          <w:rFonts w:ascii="Times New Roman" w:hAnsi="Times New Roman" w:eastAsia="Times New Roman"/>
          <w:i/>
          <w:iCs/>
          <w:color w:val="000000"/>
          <w:sz w:val="28"/>
          <w:szCs w:val="28"/>
        </w:rPr>
        <w:t xml:space="preserve">. Иваново. Аппаратом Уполномоченного с сотрудниками отделения дорожного надзора Центра дорожного и технического надзора, пропаганды безопасности дорожного движения Госавтоинспекции УМВД России по Ивановской области </w:t>
      </w:r>
      <w:r>
        <w:rPr>
          <w:rFonts w:ascii="Times New Roman" w:hAnsi="Times New Roman" w:eastAsia="Times New Roman"/>
          <w:i/>
          <w:iCs/>
          <w:color w:val="000000"/>
          <w:sz w:val="28"/>
          <w:szCs w:val="28"/>
        </w:rPr>
        <w:t xml:space="preserve">организована</w:t>
      </w:r>
      <w:r>
        <w:rPr>
          <w:rFonts w:ascii="Times New Roman" w:hAnsi="Times New Roman" w:eastAsia="Times New Roman"/>
          <w:i/>
          <w:iCs/>
          <w:color w:val="000000"/>
          <w:sz w:val="28"/>
          <w:szCs w:val="28"/>
        </w:rPr>
        <w:t xml:space="preserve"> совместна проверка. В ходе проверочных мероприятий установлено, что на проезжей части указанного участка дороги имеются многочисленные дефекты (выбоины, провалы)</w:t>
      </w:r>
      <w:r>
        <w:rPr>
          <w:rFonts w:ascii="Times New Roman" w:hAnsi="Times New Roman" w:eastAsia="Times New Roman"/>
          <w:i/>
          <w:iCs/>
          <w:color w:val="000000"/>
          <w:sz w:val="28"/>
          <w:szCs w:val="28"/>
        </w:rPr>
        <w:t xml:space="preserve">,ч</w:t>
      </w:r>
      <w:r>
        <w:rPr>
          <w:rFonts w:ascii="Times New Roman" w:hAnsi="Times New Roman" w:eastAsia="Times New Roman"/>
          <w:i/>
          <w:iCs/>
          <w:color w:val="000000"/>
          <w:sz w:val="28"/>
          <w:szCs w:val="28"/>
        </w:rPr>
        <w:t xml:space="preserve">то не соответствует обязательным требованиям ГОСТ Р 50597-2017.</w:t>
      </w:r>
      <w:r>
        <w:rPr>
          <w:rFonts w:ascii="Times New Roman" w:hAnsi="Times New Roman" w:eastAsia="Times New Roman"/>
          <w:bCs/>
          <w:i/>
          <w:color w:val="000000"/>
          <w:sz w:val="28"/>
          <w:szCs w:val="28"/>
        </w:rPr>
      </w:r>
      <w:r>
        <w:rPr>
          <w:rFonts w:ascii="Times New Roman" w:hAnsi="Times New Roman" w:eastAsia="Times New Roman"/>
          <w:bCs/>
          <w:i/>
          <w:color w:val="000000"/>
          <w:sz w:val="28"/>
          <w:szCs w:val="28"/>
        </w:rPr>
      </w:r>
    </w:p>
    <w:p>
      <w:pPr>
        <w:ind w:firstLine="709"/>
        <w:jc w:val="both"/>
        <w:spacing w:after="0"/>
        <w:shd w:val="clear" w:color="ffffff" w:fill="ffffff"/>
        <w:rPr>
          <w:rFonts w:ascii="Times New Roman" w:hAnsi="Times New Roman"/>
          <w:i/>
          <w:iCs/>
          <w:sz w:val="28"/>
          <w:szCs w:val="28"/>
        </w:rPr>
        <w:pBdr>
          <w:top w:val="none" w:color="000000" w:sz="4" w:space="0"/>
          <w:left w:val="none" w:color="000000" w:sz="4" w:space="0"/>
          <w:bottom w:val="none" w:color="000000" w:sz="4" w:space="0"/>
          <w:right w:val="none" w:color="000000" w:sz="4" w:space="0"/>
        </w:pBdr>
      </w:pPr>
      <w:r>
        <w:rPr>
          <w:rFonts w:ascii="Times New Roman" w:hAnsi="Times New Roman" w:eastAsia="Times New Roman"/>
          <w:i/>
          <w:iCs/>
          <w:color w:val="000000"/>
          <w:sz w:val="28"/>
          <w:szCs w:val="28"/>
        </w:rPr>
        <w:t xml:space="preserve">По результатам проверки региональный омбудсмен Светлана Шмелева в адрес руководства областного центра направила рекомендации по принятию необходимых мер для приведению участка дороги </w:t>
      </w:r>
      <w:r>
        <w:rPr>
          <w:rFonts w:ascii="Times New Roman" w:hAnsi="Times New Roman" w:eastAsia="Times New Roman"/>
          <w:i/>
          <w:iCs/>
          <w:color w:val="000000"/>
          <w:sz w:val="28"/>
          <w:szCs w:val="28"/>
        </w:rPr>
        <w:t xml:space="preserve">в</w:t>
      </w:r>
      <w:r>
        <w:rPr>
          <w:rFonts w:ascii="Times New Roman" w:hAnsi="Times New Roman" w:eastAsia="Times New Roman"/>
          <w:i/>
          <w:iCs/>
          <w:color w:val="000000"/>
          <w:sz w:val="28"/>
          <w:szCs w:val="28"/>
        </w:rPr>
        <w:t xml:space="preserve"> соответствий с ГОСТ.</w:t>
      </w:r>
      <w:r>
        <w:rPr>
          <w:rFonts w:ascii="Times New Roman" w:hAnsi="Times New Roman"/>
          <w:i/>
          <w:iCs/>
          <w:sz w:val="28"/>
          <w:szCs w:val="28"/>
        </w:rPr>
      </w:r>
      <w:r>
        <w:rPr>
          <w:rFonts w:ascii="Times New Roman" w:hAnsi="Times New Roman"/>
          <w:i/>
          <w:iCs/>
          <w:sz w:val="28"/>
          <w:szCs w:val="28"/>
        </w:rPr>
      </w:r>
    </w:p>
    <w:p>
      <w:pPr>
        <w:ind w:firstLine="709"/>
        <w:jc w:val="both"/>
        <w:spacing w:after="0"/>
        <w:shd w:val="clear" w:color="ffffff" w:fill="ffffff"/>
        <w:rPr>
          <w:rFonts w:ascii="Times New Roman" w:hAnsi="Times New Roman" w:eastAsia="Times New Roman"/>
          <w:bCs/>
          <w:i/>
          <w:color w:val="202020"/>
          <w:sz w:val="28"/>
          <w:szCs w:val="28"/>
          <w:highlight w:val="white"/>
        </w:rPr>
        <w:pBdr>
          <w:top w:val="none" w:color="000000" w:sz="4" w:space="0"/>
          <w:left w:val="none" w:color="000000" w:sz="4" w:space="0"/>
          <w:bottom w:val="none" w:color="000000" w:sz="4" w:space="0"/>
          <w:right w:val="none" w:color="000000" w:sz="4" w:space="0"/>
        </w:pBdr>
      </w:pPr>
      <w:r>
        <w:rPr>
          <w:rFonts w:ascii="Times New Roman" w:hAnsi="Times New Roman"/>
          <w:i/>
          <w:iCs/>
          <w:sz w:val="28"/>
          <w:szCs w:val="28"/>
        </w:rPr>
        <w:t xml:space="preserve">Также в</w:t>
      </w:r>
      <w:r>
        <w:rPr>
          <w:rFonts w:ascii="Times New Roman" w:hAnsi="Times New Roman" w:eastAsia="Times New Roman"/>
          <w:i/>
          <w:iCs/>
          <w:color w:val="202020"/>
          <w:sz w:val="28"/>
          <w:szCs w:val="28"/>
          <w:highlight w:val="white"/>
        </w:rPr>
        <w:t xml:space="preserve"> отдел по обеспечению деятельности омбудсмена обратились жители областного центра, которые выражали недовольство состоянием одной из дорог любимого города.</w:t>
      </w:r>
      <w:r>
        <w:rPr>
          <w:rFonts w:ascii="Times New Roman" w:hAnsi="Times New Roman" w:eastAsia="Times New Roman"/>
          <w:bCs/>
          <w:i/>
          <w:color w:val="202020"/>
          <w:sz w:val="28"/>
          <w:szCs w:val="28"/>
          <w:highlight w:val="white"/>
        </w:rPr>
      </w:r>
      <w:r>
        <w:rPr>
          <w:rFonts w:ascii="Times New Roman" w:hAnsi="Times New Roman" w:eastAsia="Times New Roman"/>
          <w:bCs/>
          <w:i/>
          <w:color w:val="202020"/>
          <w:sz w:val="28"/>
          <w:szCs w:val="28"/>
          <w:highlight w:val="white"/>
        </w:rPr>
      </w:r>
    </w:p>
    <w:p>
      <w:pPr>
        <w:ind w:firstLine="709"/>
        <w:jc w:val="both"/>
        <w:spacing w:after="0"/>
        <w:shd w:val="clear" w:color="ffffff" w:fill="ffffff"/>
        <w:rPr>
          <w:rFonts w:ascii="Times New Roman" w:hAnsi="Times New Roman" w:eastAsia="Times New Roman"/>
          <w:bCs/>
          <w:i/>
          <w:color w:val="202020"/>
          <w:sz w:val="28"/>
          <w:szCs w:val="28"/>
          <w:highlight w:val="white"/>
        </w:rPr>
        <w:pBdr>
          <w:top w:val="none" w:color="000000" w:sz="4" w:space="0"/>
          <w:left w:val="none" w:color="000000" w:sz="4" w:space="0"/>
          <w:bottom w:val="none" w:color="000000" w:sz="4" w:space="0"/>
          <w:right w:val="none" w:color="000000" w:sz="4" w:space="0"/>
        </w:pBdr>
      </w:pPr>
      <w:r>
        <w:rPr>
          <w:rFonts w:ascii="Times New Roman" w:hAnsi="Times New Roman" w:eastAsia="Times New Roman"/>
          <w:i/>
          <w:iCs/>
          <w:color w:val="202020"/>
          <w:sz w:val="28"/>
          <w:szCs w:val="28"/>
          <w:highlight w:val="white"/>
        </w:rPr>
        <w:t xml:space="preserve">В короткие сроки было установлено, что улица находится во владении Администрации города Иванова. Поэтому в адрес городского руководства направлено мотивированное письмо с просьбой </w:t>
      </w:r>
      <w:r>
        <w:rPr>
          <w:rFonts w:ascii="Times New Roman" w:hAnsi="Times New Roman" w:eastAsia="Times New Roman"/>
          <w:i/>
          <w:iCs/>
          <w:color w:val="202020"/>
          <w:sz w:val="28"/>
          <w:szCs w:val="28"/>
          <w:highlight w:val="white"/>
        </w:rPr>
        <w:t xml:space="preserve">решить</w:t>
      </w:r>
      <w:r>
        <w:rPr>
          <w:rFonts w:ascii="Times New Roman" w:hAnsi="Times New Roman" w:eastAsia="Times New Roman"/>
          <w:i/>
          <w:iCs/>
          <w:color w:val="202020"/>
          <w:sz w:val="28"/>
          <w:szCs w:val="28"/>
          <w:highlight w:val="white"/>
        </w:rPr>
        <w:t xml:space="preserve"> проблемный вопрос.</w:t>
      </w:r>
      <w:r>
        <w:rPr>
          <w:rFonts w:ascii="Times New Roman" w:hAnsi="Times New Roman" w:eastAsia="Times New Roman"/>
          <w:bCs/>
          <w:i/>
          <w:color w:val="202020"/>
          <w:sz w:val="28"/>
          <w:szCs w:val="28"/>
          <w:highlight w:val="white"/>
        </w:rPr>
      </w:r>
      <w:r>
        <w:rPr>
          <w:rFonts w:ascii="Times New Roman" w:hAnsi="Times New Roman" w:eastAsia="Times New Roman"/>
          <w:bCs/>
          <w:i/>
          <w:color w:val="202020"/>
          <w:sz w:val="28"/>
          <w:szCs w:val="28"/>
          <w:highlight w:val="white"/>
        </w:rPr>
      </w:r>
    </w:p>
    <w:p>
      <w:pPr>
        <w:ind w:firstLine="709"/>
        <w:jc w:val="both"/>
        <w:spacing w:after="0"/>
        <w:shd w:val="clear" w:color="ffffff" w:fill="ffffff"/>
        <w:rPr>
          <w:rFonts w:ascii="Times New Roman" w:hAnsi="Times New Roman"/>
          <w:bCs/>
          <w:i/>
          <w:sz w:val="28"/>
          <w:szCs w:val="28"/>
        </w:rPr>
        <w:pBdr>
          <w:top w:val="none" w:color="000000" w:sz="4" w:space="0"/>
          <w:left w:val="none" w:color="000000" w:sz="4" w:space="0"/>
          <w:bottom w:val="none" w:color="000000" w:sz="4" w:space="0"/>
          <w:right w:val="none" w:color="000000" w:sz="4" w:space="0"/>
        </w:pBdr>
      </w:pPr>
      <w:r>
        <w:rPr>
          <w:rFonts w:ascii="Times New Roman" w:hAnsi="Times New Roman" w:eastAsia="Times New Roman"/>
          <w:i/>
          <w:iCs/>
          <w:color w:val="202020"/>
          <w:sz w:val="28"/>
          <w:szCs w:val="28"/>
          <w:highlight w:val="white"/>
        </w:rPr>
        <w:t xml:space="preserve">На данный м</w:t>
      </w:r>
      <w:r>
        <w:rPr>
          <w:rFonts w:ascii="Times New Roman" w:hAnsi="Times New Roman" w:eastAsia="Times New Roman"/>
          <w:i/>
          <w:iCs/>
          <w:color w:val="202020"/>
          <w:sz w:val="28"/>
          <w:szCs w:val="28"/>
          <w:highlight w:val="white"/>
        </w:rPr>
        <w:t xml:space="preserve">омент для обеспечения ровной поверхности проезжей части на необходимом участке улично-дорожной сети силами муниципального казенного учреждения «Дорожное городское хозяйство» выполнено профилирование покрытия автогрейдером с добавлением инертного материала.</w:t>
      </w:r>
      <w:r>
        <w:rPr>
          <w:rFonts w:ascii="Times New Roman" w:hAnsi="Times New Roman"/>
          <w:bCs/>
          <w:i/>
          <w:sz w:val="28"/>
          <w:szCs w:val="28"/>
        </w:rPr>
      </w:r>
      <w:r>
        <w:rPr>
          <w:rFonts w:ascii="Times New Roman" w:hAnsi="Times New Roman"/>
          <w:bCs/>
          <w:i/>
          <w:sz w:val="28"/>
          <w:szCs w:val="28"/>
        </w:rPr>
      </w:r>
    </w:p>
    <w:p>
      <w:pPr>
        <w:ind w:firstLine="709"/>
        <w:jc w:val="both"/>
        <w:spacing w:after="0"/>
        <w:rPr>
          <w:rFonts w:ascii="Times New Roman" w:hAnsi="Times New Roman" w:eastAsia="Times New Roman"/>
          <w:iCs/>
          <w:sz w:val="28"/>
          <w:szCs w:val="28"/>
        </w:rPr>
      </w:pPr>
      <w:r>
        <w:rPr>
          <w:rFonts w:ascii="Times New Roman" w:hAnsi="Times New Roman"/>
          <w:sz w:val="28"/>
          <w:szCs w:val="28"/>
        </w:rPr>
        <w:t xml:space="preserve">В августе 2025 года региональный омбудсмен провела личный прием граждан</w:t>
      </w:r>
      <w:r>
        <w:rPr>
          <w:rFonts w:ascii="Times New Roman" w:hAnsi="Times New Roman"/>
          <w:i/>
          <w:iCs/>
          <w:sz w:val="28"/>
          <w:szCs w:val="28"/>
        </w:rPr>
        <w:t xml:space="preserve"> </w:t>
      </w:r>
      <w:r>
        <w:rPr>
          <w:rFonts w:ascii="Times New Roman" w:hAnsi="Times New Roman" w:eastAsia="Times New Roman"/>
          <w:sz w:val="28"/>
          <w:szCs w:val="28"/>
        </w:rPr>
        <w:t xml:space="preserve">совместно с сотрудниками ГИБДД МВД РФ по Ивановской области по вопросам безопасности дорожного движения, состояния улично-дорожной сети в областном центре и в регионе в целом (ссылка на </w:t>
      </w:r>
      <w:r>
        <w:rPr>
          <w:rFonts w:ascii="Times New Roman" w:hAnsi="Times New Roman" w:eastAsia="Times New Roman"/>
          <w:sz w:val="28"/>
          <w:szCs w:val="28"/>
        </w:rPr>
        <w:t xml:space="preserve">видео-ролик</w:t>
      </w:r>
      <w:r>
        <w:rPr>
          <w:rFonts w:ascii="Times New Roman" w:hAnsi="Times New Roman" w:eastAsia="Times New Roman"/>
          <w:sz w:val="28"/>
          <w:szCs w:val="28"/>
        </w:rPr>
        <w:t xml:space="preserve">: https://vk.com/video-101685153_456260940?access_key=1badf3cee107fc8733).</w:t>
      </w:r>
      <w:r>
        <w:rPr>
          <w:rFonts w:ascii="Times New Roman" w:hAnsi="Times New Roman" w:eastAsia="Times New Roman"/>
          <w:iCs/>
          <w:sz w:val="28"/>
          <w:szCs w:val="28"/>
        </w:rPr>
      </w:r>
      <w:r>
        <w:rPr>
          <w:rFonts w:ascii="Times New Roman" w:hAnsi="Times New Roman" w:eastAsia="Times New Roman"/>
          <w:iCs/>
          <w:sz w:val="28"/>
          <w:szCs w:val="28"/>
        </w:rPr>
      </w:r>
    </w:p>
    <w:p>
      <w:pPr>
        <w:ind w:firstLine="709"/>
        <w:jc w:val="both"/>
        <w:spacing w:after="0"/>
        <w:rPr>
          <w:rFonts w:ascii="Times New Roman" w:hAnsi="Times New Roman"/>
          <w:bCs/>
          <w:i/>
          <w:sz w:val="28"/>
          <w:szCs w:val="28"/>
          <w:highlight w:val="none"/>
        </w:rPr>
      </w:pPr>
      <w:r>
        <w:rPr>
          <w:rFonts w:ascii="Times New Roman" w:hAnsi="Times New Roman" w:eastAsia="Times New Roman"/>
          <w:i/>
          <w:iCs/>
          <w:sz w:val="28"/>
          <w:szCs w:val="28"/>
        </w:rPr>
        <w:t xml:space="preserve">После рабочей встречи прошло чуть больше недели, а уже поступают положительные отклики от заявителей, которые сообщают о восстанов</w:t>
      </w:r>
      <w:r>
        <w:rPr>
          <w:rFonts w:ascii="Times New Roman" w:hAnsi="Times New Roman" w:eastAsia="Times New Roman"/>
          <w:i/>
          <w:iCs/>
          <w:sz w:val="28"/>
          <w:szCs w:val="28"/>
        </w:rPr>
        <w:t xml:space="preserve">лении дорожного покрытия. Так, улица 3-я Межевая дождалась своего ремонта. Качество дорожного покрытия улучшилось — произведена подсыпка асфальтной крошкой. Исчезли глубокие выбоины и трещины, которые раньше создавали серьезные препятствия для водителей и </w:t>
      </w:r>
      <w:r>
        <w:rPr>
          <w:rFonts w:ascii="Times New Roman" w:hAnsi="Times New Roman" w:eastAsia="Times New Roman"/>
          <w:i/>
          <w:iCs/>
          <w:sz w:val="28"/>
          <w:szCs w:val="28"/>
        </w:rPr>
        <w:t xml:space="preserve">пешеходов. Теперь движение стало более комфортным, а это, в первую очередь, безопасность.</w:t>
      </w:r>
      <w:r>
        <w:rPr>
          <w:rFonts w:ascii="Times New Roman" w:hAnsi="Times New Roman"/>
          <w:bCs/>
          <w:i/>
          <w:sz w:val="28"/>
          <w:szCs w:val="28"/>
        </w:rPr>
      </w:r>
      <w:r>
        <w:rPr>
          <w:rFonts w:ascii="Times New Roman" w:hAnsi="Times New Roman"/>
          <w:bCs/>
          <w:i/>
          <w:sz w:val="28"/>
          <w:szCs w:val="28"/>
          <w:highlight w:val="none"/>
        </w:rPr>
      </w:r>
    </w:p>
    <w:p>
      <w:pPr>
        <w:ind w:firstLine="709"/>
        <w:jc w:val="both"/>
        <w:spacing w:after="0"/>
        <w:rPr>
          <w:rFonts w:ascii="Times New Roman" w:hAnsi="Times New Roman"/>
          <w:bCs/>
          <w:i/>
          <w:sz w:val="28"/>
          <w:szCs w:val="28"/>
        </w:rPr>
      </w:pPr>
      <w:r>
        <w:rPr>
          <w:rFonts w:ascii="Times New Roman" w:hAnsi="Times New Roman"/>
          <w:bCs/>
          <w:i/>
          <w:sz w:val="28"/>
          <w:szCs w:val="28"/>
        </w:rPr>
      </w:r>
      <w:r>
        <w:rPr>
          <w:rFonts w:ascii="Times New Roman" w:hAnsi="Times New Roman"/>
          <w:bCs/>
          <w:i/>
          <w:sz w:val="28"/>
          <w:szCs w:val="28"/>
        </w:rPr>
      </w:r>
    </w:p>
    <w:p>
      <w:pPr>
        <w:ind w:firstLine="709"/>
        <w:jc w:val="both"/>
        <w:spacing w:after="0"/>
        <w:rPr>
          <w:rFonts w:ascii="Times New Roman" w:hAnsi="Times New Roman"/>
          <w:bCs/>
          <w:i/>
          <w:sz w:val="28"/>
          <w:szCs w:val="28"/>
        </w:rPr>
      </w:pPr>
      <w:r>
        <w:rPr>
          <w:rFonts w:ascii="Times New Roman" w:hAnsi="Times New Roman"/>
          <w:bCs/>
          <w:i/>
          <w:sz w:val="28"/>
          <w:szCs w:val="28"/>
          <w:highlight w:val="none"/>
        </w:rPr>
      </w:r>
      <w:r>
        <w:rPr>
          <w:rFonts w:ascii="Times New Roman" w:hAnsi="Times New Roman"/>
          <w:bCs/>
          <w:i/>
          <w:sz w:val="28"/>
          <w:szCs w:val="28"/>
          <w:highlight w:val="none"/>
        </w:rPr>
      </w:r>
    </w:p>
    <w:p>
      <w:pPr>
        <w:pStyle w:val="1226"/>
        <w:rPr>
          <w:b/>
          <w:sz w:val="28"/>
          <w:szCs w:val="28"/>
        </w:rPr>
      </w:pPr>
      <w:r/>
      <w:bookmarkStart w:id="52" w:name="_Toc30"/>
      <w:r>
        <w:rPr>
          <w:rStyle w:val="1252"/>
          <w:rFonts w:ascii="Times New Roman" w:hAnsi="Times New Roman" w:eastAsia="Times New Roman" w:cs="Times New Roman"/>
          <w:color w:val="000000" w:themeColor="text1"/>
          <w:sz w:val="28"/>
          <w:szCs w:val="28"/>
        </w:rPr>
        <w:t xml:space="preserve">Уполномоченный рекомендует</w:t>
      </w:r>
      <w:r>
        <w:rPr>
          <w:b/>
          <w:sz w:val="28"/>
          <w:szCs w:val="28"/>
        </w:rPr>
        <w:t xml:space="preserve">:</w:t>
      </w:r>
      <w:r>
        <w:rPr>
          <w:b/>
          <w:sz w:val="28"/>
          <w:szCs w:val="28"/>
        </w:rPr>
      </w:r>
      <w:bookmarkEnd w:id="52"/>
      <w:r>
        <w:rPr>
          <w:b/>
          <w:sz w:val="28"/>
          <w:szCs w:val="28"/>
        </w:rPr>
      </w:r>
      <w:r>
        <w:rPr>
          <w:b/>
          <w:sz w:val="28"/>
          <w:szCs w:val="28"/>
        </w:rPr>
      </w:r>
    </w:p>
    <w:p>
      <w:pPr>
        <w:pStyle w:val="1236"/>
        <w:ind w:firstLine="567"/>
        <w:jc w:val="both"/>
        <w:spacing w:beforeAutospacing="0" w:after="0" w:afterAutospacing="0" w:line="276" w:lineRule="auto"/>
        <w:rPr>
          <w:b/>
          <w:i/>
          <w:sz w:val="28"/>
          <w:szCs w:val="28"/>
        </w:rPr>
      </w:pPr>
      <w:r>
        <w:rPr>
          <w:b/>
          <w:sz w:val="28"/>
          <w:szCs w:val="28"/>
        </w:rPr>
        <w:t xml:space="preserve"> </w:t>
      </w:r>
      <w:r>
        <w:rPr>
          <w:b/>
          <w:i/>
          <w:sz w:val="28"/>
          <w:szCs w:val="28"/>
        </w:rPr>
        <w:t xml:space="preserve">Департаменту дорожного хозяйства и транспорта Ивановской области: </w:t>
      </w:r>
      <w:r>
        <w:rPr>
          <w:b/>
          <w:i/>
          <w:sz w:val="28"/>
          <w:szCs w:val="28"/>
        </w:rPr>
      </w:r>
      <w:r>
        <w:rPr>
          <w:b/>
          <w:i/>
          <w:sz w:val="28"/>
          <w:szCs w:val="28"/>
        </w:rPr>
      </w:r>
    </w:p>
    <w:p>
      <w:pPr>
        <w:pStyle w:val="1241"/>
        <w:numPr>
          <w:ilvl w:val="0"/>
          <w:numId w:val="127"/>
        </w:numPr>
        <w:ind w:left="0" w:firstLine="567"/>
        <w:spacing w:line="276" w:lineRule="auto"/>
        <w:shd w:val="clear" w:color="auto" w:fill="auto"/>
        <w:rPr>
          <w:rFonts w:ascii="Times New Roman" w:hAnsi="Times New Roman" w:cs="Times New Roman"/>
          <w:sz w:val="28"/>
          <w:szCs w:val="28"/>
        </w:rPr>
      </w:pPr>
      <w:r>
        <w:rPr>
          <w:rFonts w:ascii="Times New Roman" w:hAnsi="Times New Roman" w:cs="Times New Roman"/>
          <w:sz w:val="28"/>
          <w:szCs w:val="28"/>
        </w:rPr>
        <w:t xml:space="preserve">рассмотреть вопрос организации проверок соблюдения перевозчиками Правил перевозок пассажиров и багажа автомобильным транспортом и городским наземным электрическим транспортом;</w:t>
      </w:r>
      <w:r>
        <w:rPr>
          <w:rFonts w:ascii="Times New Roman" w:hAnsi="Times New Roman" w:cs="Times New Roman"/>
          <w:sz w:val="28"/>
          <w:szCs w:val="28"/>
        </w:rPr>
      </w:r>
      <w:r>
        <w:rPr>
          <w:rFonts w:ascii="Times New Roman" w:hAnsi="Times New Roman" w:cs="Times New Roman"/>
          <w:sz w:val="28"/>
          <w:szCs w:val="28"/>
        </w:rPr>
      </w:r>
    </w:p>
    <w:p>
      <w:pPr>
        <w:pStyle w:val="1241"/>
        <w:numPr>
          <w:ilvl w:val="0"/>
          <w:numId w:val="128"/>
        </w:numPr>
        <w:ind w:left="0" w:firstLine="567"/>
        <w:spacing w:line="276" w:lineRule="auto"/>
        <w:shd w:val="clear" w:color="auto" w:fill="auto"/>
        <w:rPr>
          <w:rFonts w:ascii="Times New Roman" w:hAnsi="Times New Roman" w:cs="Times New Roman"/>
          <w:sz w:val="28"/>
          <w:szCs w:val="28"/>
        </w:rPr>
      </w:pPr>
      <w:r>
        <w:rPr>
          <w:rFonts w:ascii="Times New Roman" w:hAnsi="Times New Roman" w:cs="Times New Roman"/>
          <w:sz w:val="28"/>
          <w:szCs w:val="28"/>
        </w:rPr>
        <w:t xml:space="preserve">выпустить информационно – справочный материал для жителей региона с указанием необходимых контактных данных службы по рассмотрению обращений заявителей;</w:t>
      </w:r>
      <w:r>
        <w:rPr>
          <w:rFonts w:ascii="Times New Roman" w:hAnsi="Times New Roman" w:cs="Times New Roman"/>
          <w:sz w:val="28"/>
          <w:szCs w:val="28"/>
        </w:rPr>
      </w:r>
      <w:r>
        <w:rPr>
          <w:rFonts w:ascii="Times New Roman" w:hAnsi="Times New Roman" w:cs="Times New Roman"/>
          <w:sz w:val="28"/>
          <w:szCs w:val="28"/>
        </w:rPr>
      </w:r>
    </w:p>
    <w:p>
      <w:pPr>
        <w:pStyle w:val="1241"/>
        <w:numPr>
          <w:ilvl w:val="0"/>
          <w:numId w:val="128"/>
        </w:numPr>
        <w:ind w:left="0" w:firstLine="567"/>
        <w:spacing w:line="276" w:lineRule="auto"/>
        <w:shd w:val="clear" w:color="auto" w:fill="auto"/>
        <w:rPr>
          <w:rFonts w:ascii="Times New Roman" w:hAnsi="Times New Roman" w:cs="Times New Roman"/>
          <w:sz w:val="28"/>
          <w:szCs w:val="28"/>
        </w:rPr>
      </w:pPr>
      <w:r>
        <w:rPr>
          <w:rFonts w:ascii="Times New Roman" w:hAnsi="Times New Roman" w:cs="Times New Roman"/>
          <w:sz w:val="28"/>
          <w:szCs w:val="28"/>
        </w:rPr>
        <w:t xml:space="preserve">совместно с</w:t>
      </w:r>
      <w:r>
        <w:rPr>
          <w:rFonts w:ascii="Times New Roman" w:hAnsi="Times New Roman" w:cs="Times New Roman"/>
          <w:color w:val="ff0000"/>
          <w:sz w:val="28"/>
          <w:szCs w:val="28"/>
        </w:rPr>
        <w:t xml:space="preserve"> </w:t>
      </w:r>
      <w:r>
        <w:rPr>
          <w:rFonts w:ascii="Times New Roman" w:hAnsi="Times New Roman" w:cs="Times New Roman"/>
          <w:sz w:val="28"/>
          <w:szCs w:val="28"/>
        </w:rPr>
        <w:t xml:space="preserve">ГИБДД и отделом по обеспечению деятельности Уполномоченного ввести в практику работы тематические приемы граждан, направленные на оказание индивидуальной правовой помощи заявителям.</w:t>
      </w:r>
      <w:r>
        <w:rPr>
          <w:rFonts w:ascii="Times New Roman" w:hAnsi="Times New Roman" w:cs="Times New Roman"/>
          <w:sz w:val="28"/>
          <w:szCs w:val="28"/>
        </w:rPr>
      </w:r>
      <w:r>
        <w:rPr>
          <w:rFonts w:ascii="Times New Roman" w:hAnsi="Times New Roman" w:cs="Times New Roman"/>
          <w:sz w:val="28"/>
          <w:szCs w:val="28"/>
        </w:rPr>
      </w:r>
    </w:p>
    <w:p>
      <w:r/>
      <w:r/>
    </w:p>
    <w:p>
      <w:pPr>
        <w:pStyle w:val="1226"/>
        <w:jc w:val="center"/>
        <w:spacing w:before="0"/>
        <w:rPr>
          <w:rFonts w:ascii="Times New Roman" w:hAnsi="Times New Roman" w:cs="Times New Roman"/>
          <w:color w:val="auto"/>
          <w:sz w:val="28"/>
          <w:szCs w:val="28"/>
        </w:rPr>
      </w:pPr>
      <w:r/>
      <w:bookmarkStart w:id="53" w:name="_Toc31"/>
      <w:r>
        <w:rPr>
          <w:rFonts w:ascii="Times New Roman" w:hAnsi="Times New Roman" w:cs="Times New Roman"/>
          <w:b/>
          <w:bCs/>
          <w:color w:val="auto"/>
          <w:sz w:val="28"/>
          <w:szCs w:val="28"/>
        </w:rPr>
        <w:t xml:space="preserve">РАЗДЕЛ 11.  ПРАВО НА БЛАГОПРИЯТНУЮ ОКРУЖАЮЩУЮ СРЕДУ</w:t>
      </w:r>
      <w:r>
        <w:rPr>
          <w:rFonts w:ascii="Times New Roman" w:hAnsi="Times New Roman" w:cs="Times New Roman"/>
          <w:b/>
          <w:bCs/>
          <w:color w:val="auto"/>
          <w:sz w:val="28"/>
          <w:szCs w:val="28"/>
        </w:rPr>
      </w:r>
      <w:bookmarkEnd w:id="53"/>
      <w:r>
        <w:rPr>
          <w:rFonts w:ascii="Times New Roman" w:hAnsi="Times New Roman" w:cs="Times New Roman"/>
          <w:color w:val="auto"/>
          <w:sz w:val="28"/>
          <w:szCs w:val="28"/>
        </w:rPr>
      </w:r>
      <w:r>
        <w:rPr>
          <w:rFonts w:ascii="Times New Roman" w:hAnsi="Times New Roman" w:cs="Times New Roman"/>
          <w:color w:val="auto"/>
          <w:sz w:val="28"/>
          <w:szCs w:val="28"/>
        </w:rPr>
      </w:r>
    </w:p>
    <w:p>
      <w:pPr>
        <w:spacing w:after="0"/>
      </w:pPr>
      <w:r/>
      <w:r/>
    </w:p>
    <w:p>
      <w:pPr>
        <w:ind w:right="1" w:firstLine="709"/>
        <w:jc w:val="both"/>
        <w:spacing w:after="0"/>
        <w:shd w:val="clear" w:color="ffffff" w:fill="ffffff"/>
        <w:rPr>
          <w:rFonts w:ascii="Times New Roman" w:hAnsi="Times New Roman"/>
          <w:color w:val="000000"/>
          <w:sz w:val="28"/>
          <w:szCs w:val="28"/>
        </w:rPr>
        <w:pBdr>
          <w:top w:val="none" w:color="000000" w:sz="4" w:space="0"/>
          <w:left w:val="none" w:color="000000" w:sz="4" w:space="0"/>
          <w:bottom w:val="none" w:color="000000" w:sz="4" w:space="0"/>
          <w:right w:val="none" w:color="000000" w:sz="4" w:space="0"/>
        </w:pBdr>
      </w:pPr>
      <w:r>
        <w:rPr>
          <w:rFonts w:ascii="Times New Roman" w:hAnsi="Times New Roman" w:eastAsia="Times New Roman"/>
          <w:color w:val="000000"/>
          <w:sz w:val="28"/>
          <w:szCs w:val="28"/>
        </w:rPr>
        <w:t xml:space="preserve">В современном мире вопросы экологической безопасности приобретают первостепенное значение. Право на благоприя</w:t>
      </w:r>
      <w:r>
        <w:rPr>
          <w:rFonts w:ascii="Times New Roman" w:hAnsi="Times New Roman" w:eastAsia="Times New Roman"/>
          <w:color w:val="000000"/>
          <w:sz w:val="28"/>
          <w:szCs w:val="28"/>
        </w:rPr>
        <w:t xml:space="preserve">тную окружающую среду — не просто декларируемая норма, а фундаментальное право каждого человека, закрепленное в Конституции Российской Федерации (ст. 42). Это право напрямую связано с другими базовыми правами — на жизнь, здоровье и достойное существование.</w:t>
      </w:r>
      <w:r>
        <w:rPr>
          <w:rFonts w:ascii="Times New Roman" w:hAnsi="Times New Roman"/>
          <w:color w:val="000000"/>
          <w:sz w:val="28"/>
          <w:szCs w:val="28"/>
        </w:rPr>
      </w:r>
      <w:r>
        <w:rPr>
          <w:rFonts w:ascii="Times New Roman" w:hAnsi="Times New Roman"/>
          <w:color w:val="000000"/>
          <w:sz w:val="28"/>
          <w:szCs w:val="28"/>
        </w:rPr>
      </w:r>
    </w:p>
    <w:p>
      <w:pPr>
        <w:ind w:right="1" w:firstLine="709"/>
        <w:jc w:val="both"/>
        <w:spacing w:after="0"/>
        <w:shd w:val="clear" w:color="ffffff" w:fill="ffffff"/>
        <w:rPr>
          <w:rFonts w:ascii="Times New Roman" w:hAnsi="Times New Roman"/>
          <w:sz w:val="28"/>
          <w:szCs w:val="28"/>
        </w:rPr>
        <w:pBdr>
          <w:top w:val="none" w:color="000000" w:sz="4" w:space="0"/>
          <w:left w:val="none" w:color="000000" w:sz="4" w:space="0"/>
          <w:bottom w:val="none" w:color="000000" w:sz="4" w:space="0"/>
          <w:right w:val="none" w:color="000000" w:sz="4" w:space="0"/>
        </w:pBdr>
      </w:pPr>
      <w:r>
        <w:rPr>
          <w:rFonts w:ascii="Times New Roman" w:hAnsi="Times New Roman" w:eastAsia="Times New Roman"/>
          <w:color w:val="000000"/>
          <w:sz w:val="28"/>
          <w:szCs w:val="28"/>
        </w:rPr>
        <w:t xml:space="preserve">Сегодня мы сталкиваемся с серьезными экологическими вызовами, такими как: загрязнением атмосферного воздуха и водоемов, накоплением твердых коммунальных и промышленных отходов, сокращением </w:t>
      </w:r>
      <w:r>
        <w:rPr>
          <w:rFonts w:ascii="Times New Roman" w:hAnsi="Times New Roman" w:eastAsia="Times New Roman"/>
          <w:color w:val="000000"/>
          <w:sz w:val="28"/>
          <w:szCs w:val="28"/>
        </w:rPr>
        <w:t xml:space="preserve">биоразнообразия</w:t>
      </w:r>
      <w:r>
        <w:rPr>
          <w:rFonts w:ascii="Times New Roman" w:hAnsi="Times New Roman" w:eastAsia="Times New Roman"/>
          <w:color w:val="000000"/>
          <w:sz w:val="28"/>
          <w:szCs w:val="28"/>
        </w:rPr>
        <w:t xml:space="preserve">; изменением климата и его последствиями.</w:t>
      </w:r>
      <w:r>
        <w:rPr>
          <w:rFonts w:ascii="Times New Roman" w:hAnsi="Times New Roman"/>
          <w:sz w:val="28"/>
          <w:szCs w:val="28"/>
        </w:rPr>
      </w:r>
      <w:r>
        <w:rPr>
          <w:rFonts w:ascii="Times New Roman" w:hAnsi="Times New Roman"/>
          <w:sz w:val="28"/>
          <w:szCs w:val="28"/>
        </w:rPr>
      </w:r>
    </w:p>
    <w:p>
      <w:pPr>
        <w:ind w:right="1" w:firstLine="709"/>
        <w:jc w:val="both"/>
        <w:spacing w:after="0"/>
        <w:shd w:val="clear" w:color="ffffff" w:fill="ffffff"/>
        <w:rPr>
          <w:rFonts w:ascii="Times New Roman" w:hAnsi="Times New Roman"/>
          <w:sz w:val="28"/>
          <w:szCs w:val="28"/>
        </w:rPr>
        <w:pBdr>
          <w:top w:val="none" w:color="000000" w:sz="4" w:space="0"/>
          <w:left w:val="none" w:color="000000" w:sz="4" w:space="0"/>
          <w:bottom w:val="none" w:color="000000" w:sz="4" w:space="0"/>
          <w:right w:val="none" w:color="000000" w:sz="4" w:space="0"/>
        </w:pBdr>
      </w:pPr>
      <w:r>
        <w:rPr>
          <w:rFonts w:ascii="Times New Roman" w:hAnsi="Times New Roman" w:eastAsia="Times New Roman"/>
          <w:color w:val="000000"/>
          <w:sz w:val="28"/>
          <w:szCs w:val="28"/>
        </w:rPr>
        <w:t xml:space="preserve">Эти проблемы не ограничиваются географическими рамками — они носят глобальный характер и требуют консолидированных усилий на всех уровнях: от местного </w:t>
      </w:r>
      <w:r>
        <w:rPr>
          <w:rFonts w:ascii="Times New Roman" w:hAnsi="Times New Roman" w:eastAsia="Times New Roman"/>
          <w:color w:val="000000"/>
          <w:sz w:val="28"/>
          <w:szCs w:val="28"/>
        </w:rPr>
        <w:t xml:space="preserve">до</w:t>
      </w:r>
      <w:r>
        <w:rPr>
          <w:rFonts w:ascii="Times New Roman" w:hAnsi="Times New Roman" w:eastAsia="Times New Roman"/>
          <w:color w:val="000000"/>
          <w:sz w:val="28"/>
          <w:szCs w:val="28"/>
        </w:rPr>
        <w:t xml:space="preserve"> международного.</w:t>
      </w:r>
      <w:r>
        <w:rPr>
          <w:rFonts w:ascii="Times New Roman" w:hAnsi="Times New Roman"/>
          <w:sz w:val="28"/>
          <w:szCs w:val="28"/>
        </w:rPr>
      </w:r>
      <w:r>
        <w:rPr>
          <w:rFonts w:ascii="Times New Roman" w:hAnsi="Times New Roman"/>
          <w:sz w:val="28"/>
          <w:szCs w:val="28"/>
        </w:rPr>
      </w:r>
    </w:p>
    <w:p>
      <w:pPr>
        <w:ind w:right="1" w:firstLine="709"/>
        <w:jc w:val="both"/>
        <w:spacing w:after="0"/>
        <w:shd w:val="clear" w:color="ffffff" w:fill="ffffff"/>
        <w:rPr>
          <w:rFonts w:ascii="Times New Roman" w:hAnsi="Times New Roman"/>
          <w:color w:val="000000"/>
          <w:sz w:val="28"/>
          <w:szCs w:val="28"/>
        </w:rPr>
        <w:pBdr>
          <w:top w:val="none" w:color="000000" w:sz="4" w:space="0"/>
          <w:left w:val="none" w:color="000000" w:sz="4" w:space="0"/>
          <w:bottom w:val="none" w:color="000000" w:sz="4" w:space="0"/>
          <w:right w:val="none" w:color="000000" w:sz="4" w:space="0"/>
        </w:pBdr>
      </w:pPr>
      <w:r>
        <w:rPr>
          <w:rFonts w:ascii="Times New Roman" w:hAnsi="Times New Roman" w:eastAsia="Times New Roman"/>
          <w:color w:val="000000"/>
          <w:sz w:val="28"/>
          <w:szCs w:val="28"/>
        </w:rPr>
        <w:t xml:space="preserve">Может возникнуть вопрос «почему же экология — это вопрос прав человека»?</w:t>
      </w:r>
      <w:r>
        <w:rPr>
          <w:rFonts w:ascii="Times New Roman" w:hAnsi="Times New Roman"/>
          <w:color w:val="000000"/>
          <w:sz w:val="28"/>
          <w:szCs w:val="28"/>
        </w:rPr>
      </w:r>
      <w:r>
        <w:rPr>
          <w:rFonts w:ascii="Times New Roman" w:hAnsi="Times New Roman"/>
          <w:color w:val="000000"/>
          <w:sz w:val="28"/>
          <w:szCs w:val="28"/>
        </w:rPr>
      </w:r>
    </w:p>
    <w:p>
      <w:pPr>
        <w:ind w:right="1" w:firstLine="709"/>
        <w:jc w:val="both"/>
        <w:spacing w:after="0"/>
        <w:shd w:val="clear" w:color="ffffff" w:fill="ffffff"/>
        <w:rPr>
          <w:rFonts w:ascii="Times New Roman" w:hAnsi="Times New Roman"/>
          <w:color w:val="000000"/>
          <w:sz w:val="28"/>
          <w:szCs w:val="28"/>
        </w:rPr>
        <w:pBdr>
          <w:top w:val="none" w:color="000000" w:sz="4" w:space="0"/>
          <w:left w:val="none" w:color="000000" w:sz="4" w:space="0"/>
          <w:bottom w:val="none" w:color="000000" w:sz="4" w:space="0"/>
          <w:right w:val="none" w:color="000000" w:sz="4" w:space="0"/>
        </w:pBdr>
      </w:pPr>
      <w:r>
        <w:rPr>
          <w:rFonts w:ascii="Times New Roman" w:hAnsi="Times New Roman" w:eastAsia="Times New Roman"/>
          <w:color w:val="000000"/>
          <w:sz w:val="28"/>
          <w:szCs w:val="28"/>
          <w:highlight w:val="white"/>
        </w:rPr>
        <w:t xml:space="preserve">Право на благоприятную окружающую среду — не просто экологический термин, а базовое право человека, напрямую влияющее на все остальные свободы и возможности. Е</w:t>
      </w:r>
      <w:r>
        <w:rPr>
          <w:rFonts w:ascii="Times New Roman" w:hAnsi="Times New Roman" w:eastAsia="Times New Roman"/>
          <w:color w:val="000000"/>
          <w:sz w:val="28"/>
          <w:szCs w:val="28"/>
        </w:rPr>
        <w:t xml:space="preserve">го значимость раскрывается в главном ключевом аспекте – у каждого человека есть основополагающее право на </w:t>
      </w:r>
      <w:r>
        <w:rPr>
          <w:rFonts w:ascii="Times New Roman" w:hAnsi="Times New Roman" w:eastAsia="Times New Roman"/>
          <w:color w:val="000000"/>
          <w:sz w:val="28"/>
          <w:szCs w:val="28"/>
        </w:rPr>
        <w:t xml:space="preserve">жизнь и здоровье. Чистые воздух, вода, почва – необходимые условия для физического выживания человека. Загрязнение среды ведет к </w:t>
      </w:r>
      <w:r>
        <w:rPr>
          <w:rFonts w:ascii="Times New Roman" w:hAnsi="Times New Roman" w:eastAsia="Times New Roman"/>
          <w:color w:val="000000"/>
          <w:sz w:val="28"/>
          <w:szCs w:val="28"/>
        </w:rPr>
        <w:t xml:space="preserve">росту хронических заболеваний</w:t>
      </w:r>
      <w:r>
        <w:rPr>
          <w:rFonts w:ascii="Times New Roman" w:hAnsi="Times New Roman" w:eastAsia="Times New Roman"/>
          <w:color w:val="000000"/>
          <w:sz w:val="28"/>
          <w:szCs w:val="28"/>
        </w:rPr>
        <w:t xml:space="preserve">, сокращению продолжительности жизни, врожденным патологиям. Без экологической безопасности право на жизнь остается декларативным.</w:t>
      </w:r>
      <w:r>
        <w:rPr>
          <w:rFonts w:ascii="Times New Roman" w:hAnsi="Times New Roman"/>
          <w:color w:val="000000"/>
          <w:sz w:val="28"/>
          <w:szCs w:val="28"/>
        </w:rPr>
      </w:r>
      <w:r>
        <w:rPr>
          <w:rFonts w:ascii="Times New Roman" w:hAnsi="Times New Roman"/>
          <w:color w:val="000000"/>
          <w:sz w:val="28"/>
          <w:szCs w:val="28"/>
        </w:rPr>
      </w:r>
    </w:p>
    <w:p>
      <w:pPr>
        <w:ind w:right="1" w:firstLine="709"/>
        <w:jc w:val="both"/>
        <w:spacing w:after="0"/>
        <w:shd w:val="clear" w:color="ffffff" w:fill="ffffff"/>
        <w:rPr>
          <w:rFonts w:ascii="Times New Roman" w:hAnsi="Times New Roman"/>
          <w:sz w:val="28"/>
          <w:szCs w:val="28"/>
        </w:rPr>
        <w:pBdr>
          <w:top w:val="none" w:color="000000" w:sz="4" w:space="0"/>
          <w:left w:val="none" w:color="000000" w:sz="4" w:space="0"/>
          <w:bottom w:val="none" w:color="000000" w:sz="4" w:space="0"/>
          <w:right w:val="none" w:color="000000" w:sz="4" w:space="0"/>
        </w:pBdr>
      </w:pPr>
      <w:r>
        <w:rPr>
          <w:rFonts w:ascii="Times New Roman" w:hAnsi="Times New Roman" w:eastAsia="Times New Roman"/>
          <w:color w:val="000000"/>
          <w:sz w:val="28"/>
          <w:szCs w:val="28"/>
        </w:rPr>
        <w:t xml:space="preserve">Приз</w:t>
      </w:r>
      <w:r>
        <w:rPr>
          <w:rFonts w:ascii="Times New Roman" w:hAnsi="Times New Roman" w:eastAsia="Times New Roman"/>
          <w:color w:val="000000"/>
          <w:sz w:val="28"/>
          <w:szCs w:val="28"/>
        </w:rPr>
        <w:t xml:space="preserve">ываю все заинтересованные стороны — органы власти, бизнес, общественные организации и каждого гражданина — объединить усилия для сохранения природной среды. Наше общее будущее зависит от того, насколько ответственно мы подойдем к вопросам экологии сегодня.</w:t>
      </w:r>
      <w:r>
        <w:rPr>
          <w:rFonts w:ascii="Times New Roman" w:hAnsi="Times New Roman"/>
          <w:sz w:val="28"/>
          <w:szCs w:val="28"/>
        </w:rPr>
      </w:r>
      <w:r>
        <w:rPr>
          <w:rFonts w:ascii="Times New Roman" w:hAnsi="Times New Roman"/>
          <w:sz w:val="28"/>
          <w:szCs w:val="28"/>
        </w:rPr>
      </w:r>
    </w:p>
    <w:p>
      <w:pPr>
        <w:ind w:right="1" w:firstLine="709"/>
        <w:jc w:val="both"/>
        <w:spacing w:after="0"/>
        <w:shd w:val="clear" w:color="ffffff" w:fill="ffffff"/>
        <w:rPr>
          <w:rFonts w:ascii="Times New Roman" w:hAnsi="Times New Roman"/>
          <w:color w:val="000000"/>
          <w:sz w:val="28"/>
          <w:szCs w:val="28"/>
        </w:rPr>
        <w:pBdr>
          <w:top w:val="none" w:color="000000" w:sz="4" w:space="0"/>
          <w:left w:val="none" w:color="000000" w:sz="4" w:space="0"/>
          <w:bottom w:val="none" w:color="000000" w:sz="4" w:space="0"/>
          <w:right w:val="none" w:color="000000" w:sz="4" w:space="0"/>
        </w:pBdr>
      </w:pPr>
      <w:r>
        <w:rPr>
          <w:rFonts w:ascii="Times New Roman" w:hAnsi="Times New Roman" w:eastAsia="Times New Roman"/>
          <w:color w:val="000000"/>
          <w:sz w:val="28"/>
          <w:szCs w:val="28"/>
        </w:rPr>
        <w:t xml:space="preserve">С целью объединения усил</w:t>
      </w:r>
      <w:r>
        <w:rPr>
          <w:rFonts w:ascii="Times New Roman" w:hAnsi="Times New Roman" w:eastAsia="Times New Roman"/>
          <w:color w:val="000000"/>
          <w:sz w:val="28"/>
          <w:szCs w:val="28"/>
        </w:rPr>
        <w:t xml:space="preserve">ий для сохранения природной среды, а также для привлечения всех заинтересованных сторон, в текущем году состоялся девятый по счету правозащитный экологический, ставший 4 года назад межрегиональным, форум на площадках областного центра и Ивановской области.</w:t>
      </w:r>
      <w:r>
        <w:rPr>
          <w:rFonts w:ascii="Times New Roman" w:hAnsi="Times New Roman"/>
          <w:color w:val="000000"/>
          <w:sz w:val="28"/>
          <w:szCs w:val="28"/>
        </w:rPr>
      </w:r>
      <w:r>
        <w:rPr>
          <w:rFonts w:ascii="Times New Roman" w:hAnsi="Times New Roman"/>
          <w:color w:val="000000"/>
          <w:sz w:val="28"/>
          <w:szCs w:val="28"/>
        </w:rPr>
      </w:r>
    </w:p>
    <w:p>
      <w:pPr>
        <w:ind w:right="1" w:firstLine="709"/>
        <w:jc w:val="both"/>
        <w:spacing w:after="0"/>
        <w:shd w:val="clear" w:color="ffffff" w:fill="ffffff"/>
        <w:rPr>
          <w:rFonts w:ascii="Times New Roman" w:hAnsi="Times New Roman"/>
          <w:sz w:val="28"/>
          <w:szCs w:val="28"/>
        </w:rPr>
        <w:pBdr>
          <w:top w:val="none" w:color="000000" w:sz="4" w:space="0"/>
          <w:left w:val="none" w:color="000000" w:sz="4" w:space="0"/>
          <w:bottom w:val="none" w:color="000000" w:sz="4" w:space="0"/>
          <w:right w:val="none" w:color="000000" w:sz="4" w:space="0"/>
        </w:pBdr>
      </w:pPr>
      <w:r>
        <w:rPr>
          <w:rFonts w:ascii="Times New Roman" w:hAnsi="Times New Roman" w:eastAsia="Times New Roman"/>
          <w:color w:val="000000"/>
          <w:sz w:val="28"/>
          <w:szCs w:val="28"/>
        </w:rPr>
        <w:t xml:space="preserve">Тема обсуждения: «Социально-правовые аспекты гуманитарной экологии: законодательство и экологическое сознание».</w:t>
      </w:r>
      <w:r>
        <w:rPr>
          <w:rFonts w:ascii="Times New Roman" w:hAnsi="Times New Roman"/>
          <w:sz w:val="28"/>
          <w:szCs w:val="28"/>
        </w:rPr>
      </w:r>
      <w:r>
        <w:rPr>
          <w:rFonts w:ascii="Times New Roman" w:hAnsi="Times New Roman"/>
          <w:sz w:val="28"/>
          <w:szCs w:val="28"/>
        </w:rPr>
      </w:r>
    </w:p>
    <w:p>
      <w:pPr>
        <w:ind w:right="1" w:firstLine="709"/>
        <w:jc w:val="both"/>
        <w:spacing w:after="0"/>
        <w:rPr>
          <w:rFonts w:ascii="Times New Roman" w:hAnsi="Times New Roman"/>
          <w:sz w:val="28"/>
          <w:szCs w:val="28"/>
        </w:rPr>
      </w:pPr>
      <w:r>
        <w:rPr>
          <w:rFonts w:ascii="Times New Roman" w:hAnsi="Times New Roman" w:eastAsia="Times New Roman"/>
          <w:sz w:val="28"/>
          <w:szCs w:val="28"/>
        </w:rPr>
        <w:t xml:space="preserve">Программа ме</w:t>
      </w:r>
      <w:r>
        <w:rPr>
          <w:rFonts w:ascii="Times New Roman" w:hAnsi="Times New Roman" w:eastAsia="Times New Roman"/>
          <w:sz w:val="28"/>
          <w:szCs w:val="28"/>
        </w:rPr>
        <w:t xml:space="preserve">роприятия по поиску совместных решений и консолидация усилий правозащитников, экологов, представителей власти и общественности для разработки эффективных мер по улучшению экологической ситуации была представлена на следующих площадках, выставках и секциях:</w:t>
      </w:r>
      <w:r>
        <w:rPr>
          <w:rFonts w:ascii="Times New Roman" w:hAnsi="Times New Roman"/>
          <w:sz w:val="28"/>
          <w:szCs w:val="28"/>
        </w:rPr>
      </w:r>
      <w:r>
        <w:rPr>
          <w:rFonts w:ascii="Times New Roman" w:hAnsi="Times New Roman"/>
          <w:sz w:val="28"/>
          <w:szCs w:val="28"/>
        </w:rPr>
      </w:r>
    </w:p>
    <w:p>
      <w:pPr>
        <w:pStyle w:val="1227"/>
        <w:numPr>
          <w:ilvl w:val="0"/>
          <w:numId w:val="154"/>
        </w:numPr>
        <w:ind w:left="0" w:right="1" w:firstLine="709"/>
        <w:jc w:val="both"/>
        <w:spacing w:line="276" w:lineRule="auto"/>
        <w:rPr>
          <w:rFonts w:ascii="Times New Roman" w:hAnsi="Times New Roman"/>
          <w:sz w:val="28"/>
          <w:szCs w:val="28"/>
          <w:lang w:val="ru-RU"/>
        </w:rPr>
      </w:pPr>
      <w:r>
        <w:rPr>
          <w:rFonts w:ascii="Times New Roman" w:hAnsi="Times New Roman" w:eastAsia="Times New Roman"/>
          <w:sz w:val="28"/>
          <w:szCs w:val="28"/>
          <w:lang w:val="ru-RU"/>
        </w:rPr>
        <w:t xml:space="preserve">подиумная</w:t>
      </w:r>
      <w:r>
        <w:rPr>
          <w:rFonts w:ascii="Times New Roman" w:hAnsi="Times New Roman" w:eastAsia="Times New Roman"/>
          <w:sz w:val="28"/>
          <w:szCs w:val="28"/>
          <w:lang w:val="ru-RU"/>
        </w:rPr>
        <w:t xml:space="preserve"> сессия «</w:t>
      </w:r>
      <w:r>
        <w:rPr>
          <w:rFonts w:ascii="Times New Roman" w:hAnsi="Times New Roman" w:eastAsia="Times New Roman"/>
          <w:sz w:val="28"/>
          <w:szCs w:val="28"/>
          <w:lang w:val="ru-RU"/>
        </w:rPr>
        <w:t xml:space="preserve">Экоориентированная</w:t>
      </w:r>
      <w:r>
        <w:rPr>
          <w:rFonts w:ascii="Times New Roman" w:hAnsi="Times New Roman" w:eastAsia="Times New Roman"/>
          <w:sz w:val="28"/>
          <w:szCs w:val="28"/>
          <w:lang w:val="ru-RU"/>
        </w:rPr>
        <w:t xml:space="preserve"> </w:t>
      </w:r>
      <w:r>
        <w:rPr>
          <w:rFonts w:ascii="Times New Roman" w:hAnsi="Times New Roman" w:eastAsia="Times New Roman"/>
          <w:sz w:val="28"/>
          <w:szCs w:val="28"/>
          <w:lang w:val="ru-RU"/>
        </w:rPr>
        <w:t xml:space="preserve">гуманитаристика</w:t>
      </w:r>
      <w:r>
        <w:rPr>
          <w:rFonts w:ascii="Times New Roman" w:hAnsi="Times New Roman" w:eastAsia="Times New Roman"/>
          <w:sz w:val="28"/>
          <w:szCs w:val="28"/>
          <w:lang w:val="ru-RU"/>
        </w:rPr>
        <w:t xml:space="preserve">: сознание, мышление, деятельность»;</w:t>
      </w:r>
      <w:r>
        <w:rPr>
          <w:rFonts w:ascii="Times New Roman" w:hAnsi="Times New Roman"/>
          <w:sz w:val="28"/>
          <w:szCs w:val="28"/>
          <w:lang w:val="ru-RU"/>
        </w:rPr>
      </w:r>
      <w:r>
        <w:rPr>
          <w:rFonts w:ascii="Times New Roman" w:hAnsi="Times New Roman"/>
          <w:sz w:val="28"/>
          <w:szCs w:val="28"/>
          <w:lang w:val="ru-RU"/>
        </w:rPr>
      </w:r>
    </w:p>
    <w:p>
      <w:pPr>
        <w:pStyle w:val="1227"/>
        <w:numPr>
          <w:ilvl w:val="0"/>
          <w:numId w:val="154"/>
        </w:numPr>
        <w:ind w:left="0" w:right="1" w:firstLine="709"/>
        <w:jc w:val="both"/>
        <w:spacing w:line="276" w:lineRule="auto"/>
        <w:rPr>
          <w:rFonts w:ascii="Times New Roman" w:hAnsi="Times New Roman"/>
          <w:sz w:val="28"/>
          <w:szCs w:val="28"/>
          <w:lang w:val="ru-RU"/>
        </w:rPr>
      </w:pPr>
      <w:r>
        <w:rPr>
          <w:rFonts w:ascii="Times New Roman" w:hAnsi="Times New Roman" w:eastAsia="Times New Roman"/>
          <w:sz w:val="28"/>
          <w:szCs w:val="28"/>
          <w:lang w:val="ru-RU"/>
        </w:rPr>
        <w:t xml:space="preserve">индивидуальный прием заявителей совместно с надзорными службами и региональным правительством;</w:t>
      </w:r>
      <w:r>
        <w:rPr>
          <w:rFonts w:ascii="Times New Roman" w:hAnsi="Times New Roman"/>
          <w:sz w:val="28"/>
          <w:szCs w:val="28"/>
          <w:lang w:val="ru-RU"/>
        </w:rPr>
      </w:r>
      <w:r>
        <w:rPr>
          <w:rFonts w:ascii="Times New Roman" w:hAnsi="Times New Roman"/>
          <w:sz w:val="28"/>
          <w:szCs w:val="28"/>
          <w:lang w:val="ru-RU"/>
        </w:rPr>
      </w:r>
    </w:p>
    <w:p>
      <w:pPr>
        <w:pStyle w:val="1227"/>
        <w:numPr>
          <w:ilvl w:val="0"/>
          <w:numId w:val="154"/>
        </w:numPr>
        <w:ind w:left="0" w:right="1" w:firstLine="709"/>
        <w:jc w:val="both"/>
        <w:spacing w:line="276" w:lineRule="auto"/>
        <w:rPr>
          <w:rFonts w:ascii="Times New Roman" w:hAnsi="Times New Roman"/>
          <w:sz w:val="28"/>
          <w:szCs w:val="28"/>
          <w:lang w:val="ru-RU"/>
        </w:rPr>
      </w:pPr>
      <w:r>
        <w:rPr>
          <w:rFonts w:ascii="Times New Roman" w:hAnsi="Times New Roman" w:eastAsia="Times New Roman"/>
          <w:sz w:val="28"/>
          <w:szCs w:val="28"/>
          <w:lang w:val="ru-RU"/>
        </w:rPr>
        <w:t xml:space="preserve">«Лесная олимпиада», посвященная проблемам сохранения и рационального использования природных ресурсов;</w:t>
      </w:r>
      <w:r>
        <w:rPr>
          <w:rFonts w:ascii="Times New Roman" w:hAnsi="Times New Roman"/>
          <w:sz w:val="28"/>
          <w:szCs w:val="28"/>
          <w:lang w:val="ru-RU"/>
        </w:rPr>
      </w:r>
      <w:r>
        <w:rPr>
          <w:rFonts w:ascii="Times New Roman" w:hAnsi="Times New Roman"/>
          <w:sz w:val="28"/>
          <w:szCs w:val="28"/>
          <w:lang w:val="ru-RU"/>
        </w:rPr>
      </w:r>
    </w:p>
    <w:p>
      <w:pPr>
        <w:pStyle w:val="1227"/>
        <w:numPr>
          <w:ilvl w:val="0"/>
          <w:numId w:val="154"/>
        </w:numPr>
        <w:ind w:left="0" w:right="1" w:firstLine="709"/>
        <w:jc w:val="both"/>
        <w:spacing w:line="276" w:lineRule="auto"/>
        <w:rPr>
          <w:rFonts w:ascii="Times New Roman" w:hAnsi="Times New Roman"/>
          <w:sz w:val="28"/>
          <w:szCs w:val="28"/>
          <w:lang w:val="ru-RU"/>
        </w:rPr>
      </w:pPr>
      <w:r>
        <w:rPr>
          <w:rFonts w:ascii="Times New Roman" w:hAnsi="Times New Roman" w:eastAsia="Times New Roman"/>
          <w:sz w:val="28"/>
          <w:szCs w:val="28"/>
          <w:lang w:val="ru-RU"/>
        </w:rPr>
        <w:t xml:space="preserve">выставка-презентация творческих работ из </w:t>
      </w:r>
      <w:r>
        <w:rPr>
          <w:rFonts w:ascii="Times New Roman" w:hAnsi="Times New Roman" w:eastAsia="Times New Roman"/>
          <w:sz w:val="28"/>
          <w:szCs w:val="28"/>
          <w:lang w:val="ru-RU"/>
        </w:rPr>
        <w:t xml:space="preserve">эко-материалов</w:t>
      </w:r>
      <w:r>
        <w:rPr>
          <w:rFonts w:ascii="Times New Roman" w:hAnsi="Times New Roman" w:eastAsia="Times New Roman"/>
          <w:sz w:val="28"/>
          <w:szCs w:val="28"/>
          <w:lang w:val="ru-RU"/>
        </w:rPr>
        <w:t xml:space="preserve"> Ивановской областной общественной организации молодых инвалидов и их родителей «Грани»;</w:t>
      </w:r>
      <w:r>
        <w:rPr>
          <w:rFonts w:ascii="Times New Roman" w:hAnsi="Times New Roman"/>
          <w:sz w:val="28"/>
          <w:szCs w:val="28"/>
          <w:lang w:val="ru-RU"/>
        </w:rPr>
      </w:r>
      <w:r>
        <w:rPr>
          <w:rFonts w:ascii="Times New Roman" w:hAnsi="Times New Roman"/>
          <w:sz w:val="28"/>
          <w:szCs w:val="28"/>
          <w:lang w:val="ru-RU"/>
        </w:rPr>
      </w:r>
    </w:p>
    <w:p>
      <w:pPr>
        <w:pStyle w:val="1227"/>
        <w:numPr>
          <w:ilvl w:val="0"/>
          <w:numId w:val="154"/>
        </w:numPr>
        <w:ind w:left="0" w:right="1" w:firstLine="709"/>
        <w:jc w:val="both"/>
        <w:spacing w:line="276" w:lineRule="auto"/>
        <w:rPr>
          <w:rFonts w:ascii="Times New Roman" w:hAnsi="Times New Roman"/>
          <w:sz w:val="28"/>
          <w:szCs w:val="28"/>
          <w:lang w:val="ru-RU"/>
        </w:rPr>
      </w:pPr>
      <w:r>
        <w:rPr>
          <w:rFonts w:ascii="Times New Roman" w:hAnsi="Times New Roman" w:eastAsia="Times New Roman"/>
          <w:sz w:val="28"/>
          <w:szCs w:val="28"/>
          <w:lang w:val="ru-RU"/>
        </w:rPr>
        <w:t xml:space="preserve">фотовыставка «Природа и экология Ивановской области»;</w:t>
      </w:r>
      <w:r>
        <w:rPr>
          <w:rFonts w:ascii="Times New Roman" w:hAnsi="Times New Roman"/>
          <w:sz w:val="28"/>
          <w:szCs w:val="28"/>
          <w:lang w:val="ru-RU"/>
        </w:rPr>
      </w:r>
      <w:r>
        <w:rPr>
          <w:rFonts w:ascii="Times New Roman" w:hAnsi="Times New Roman"/>
          <w:sz w:val="28"/>
          <w:szCs w:val="28"/>
          <w:lang w:val="ru-RU"/>
        </w:rPr>
      </w:r>
    </w:p>
    <w:p>
      <w:pPr>
        <w:pStyle w:val="1227"/>
        <w:numPr>
          <w:ilvl w:val="0"/>
          <w:numId w:val="154"/>
        </w:numPr>
        <w:ind w:left="0" w:right="1" w:firstLine="709"/>
        <w:jc w:val="both"/>
        <w:spacing w:line="276" w:lineRule="auto"/>
        <w:rPr>
          <w:rFonts w:ascii="Times New Roman" w:hAnsi="Times New Roman"/>
          <w:sz w:val="28"/>
          <w:szCs w:val="28"/>
          <w:lang w:val="ru-RU"/>
        </w:rPr>
      </w:pPr>
      <w:r>
        <w:rPr>
          <w:rFonts w:ascii="Times New Roman" w:hAnsi="Times New Roman" w:eastAsia="Times New Roman"/>
          <w:sz w:val="28"/>
          <w:szCs w:val="28"/>
          <w:lang w:val="ru-RU"/>
        </w:rPr>
        <w:t xml:space="preserve">молодежная площадка «О развитии экологического </w:t>
      </w:r>
      <w:r>
        <w:rPr>
          <w:rFonts w:ascii="Times New Roman" w:hAnsi="Times New Roman" w:eastAsia="Times New Roman"/>
          <w:sz w:val="28"/>
          <w:szCs w:val="28"/>
          <w:lang w:val="ru-RU"/>
        </w:rPr>
        <w:t xml:space="preserve">волонтерства</w:t>
      </w:r>
      <w:r>
        <w:rPr>
          <w:rFonts w:ascii="Times New Roman" w:hAnsi="Times New Roman" w:eastAsia="Times New Roman"/>
          <w:sz w:val="28"/>
          <w:szCs w:val="28"/>
          <w:lang w:val="ru-RU"/>
        </w:rPr>
        <w:t xml:space="preserve"> и правового просвещения в молодежной среде»;</w:t>
      </w:r>
      <w:r>
        <w:rPr>
          <w:rFonts w:ascii="Times New Roman" w:hAnsi="Times New Roman"/>
          <w:sz w:val="28"/>
          <w:szCs w:val="28"/>
          <w:lang w:val="ru-RU"/>
        </w:rPr>
      </w:r>
      <w:r>
        <w:rPr>
          <w:rFonts w:ascii="Times New Roman" w:hAnsi="Times New Roman"/>
          <w:sz w:val="28"/>
          <w:szCs w:val="28"/>
          <w:lang w:val="ru-RU"/>
        </w:rPr>
      </w:r>
    </w:p>
    <w:p>
      <w:pPr>
        <w:pStyle w:val="1227"/>
        <w:numPr>
          <w:ilvl w:val="0"/>
          <w:numId w:val="154"/>
        </w:numPr>
        <w:ind w:left="0" w:right="1" w:firstLine="709"/>
        <w:jc w:val="both"/>
        <w:spacing w:line="276" w:lineRule="auto"/>
        <w:rPr>
          <w:rFonts w:ascii="Times New Roman" w:hAnsi="Times New Roman"/>
          <w:sz w:val="28"/>
          <w:szCs w:val="28"/>
          <w:lang w:val="ru-RU"/>
        </w:rPr>
      </w:pPr>
      <w:r>
        <w:rPr>
          <w:rFonts w:ascii="Times New Roman" w:hAnsi="Times New Roman" w:eastAsia="Times New Roman"/>
          <w:sz w:val="28"/>
          <w:szCs w:val="28"/>
          <w:lang w:val="ru-RU"/>
        </w:rPr>
        <w:t xml:space="preserve">секция «Социально-правовые аспекты гуманитарной экологии в сфере ЖКХ и территориального общественного самоуправления»;</w:t>
      </w:r>
      <w:r>
        <w:rPr>
          <w:rFonts w:ascii="Times New Roman" w:hAnsi="Times New Roman"/>
          <w:sz w:val="28"/>
          <w:szCs w:val="28"/>
          <w:lang w:val="ru-RU"/>
        </w:rPr>
      </w:r>
      <w:r>
        <w:rPr>
          <w:rFonts w:ascii="Times New Roman" w:hAnsi="Times New Roman"/>
          <w:sz w:val="28"/>
          <w:szCs w:val="28"/>
          <w:lang w:val="ru-RU"/>
        </w:rPr>
      </w:r>
    </w:p>
    <w:p>
      <w:pPr>
        <w:pStyle w:val="1227"/>
        <w:numPr>
          <w:ilvl w:val="0"/>
          <w:numId w:val="154"/>
        </w:numPr>
        <w:ind w:left="0" w:right="1" w:firstLine="709"/>
        <w:jc w:val="both"/>
        <w:spacing w:line="276" w:lineRule="auto"/>
        <w:rPr>
          <w:rFonts w:ascii="Times New Roman" w:hAnsi="Times New Roman"/>
          <w:sz w:val="28"/>
          <w:szCs w:val="28"/>
          <w:lang w:val="ru-RU"/>
        </w:rPr>
      </w:pPr>
      <w:r>
        <w:rPr>
          <w:rFonts w:ascii="Times New Roman" w:hAnsi="Times New Roman" w:eastAsia="Times New Roman"/>
          <w:sz w:val="28"/>
          <w:szCs w:val="28"/>
          <w:lang w:val="ru-RU"/>
        </w:rPr>
        <w:t xml:space="preserve">студенческий</w:t>
      </w:r>
      <w:r>
        <w:rPr>
          <w:rFonts w:ascii="Times New Roman" w:hAnsi="Times New Roman" w:eastAsia="Times New Roman"/>
          <w:sz w:val="28"/>
          <w:szCs w:val="28"/>
          <w:lang w:val="ru-RU"/>
        </w:rPr>
        <w:t xml:space="preserve"> </w:t>
      </w:r>
      <w:r>
        <w:rPr>
          <w:rFonts w:ascii="Times New Roman" w:hAnsi="Times New Roman" w:eastAsia="Times New Roman"/>
          <w:sz w:val="28"/>
          <w:szCs w:val="28"/>
          <w:lang w:val="ru-RU"/>
        </w:rPr>
        <w:t xml:space="preserve">интенсив</w:t>
      </w:r>
      <w:r>
        <w:rPr>
          <w:rFonts w:ascii="Times New Roman" w:hAnsi="Times New Roman" w:eastAsia="Times New Roman"/>
          <w:sz w:val="28"/>
          <w:szCs w:val="28"/>
          <w:lang w:val="ru-RU"/>
        </w:rPr>
        <w:t xml:space="preserve"> правового просвещения «Мемориальная экология: оцифровка памяти подвига»;</w:t>
      </w:r>
      <w:r>
        <w:rPr>
          <w:rFonts w:ascii="Times New Roman" w:hAnsi="Times New Roman"/>
          <w:sz w:val="28"/>
          <w:szCs w:val="28"/>
          <w:lang w:val="ru-RU"/>
        </w:rPr>
      </w:r>
      <w:r>
        <w:rPr>
          <w:rFonts w:ascii="Times New Roman" w:hAnsi="Times New Roman"/>
          <w:sz w:val="28"/>
          <w:szCs w:val="28"/>
          <w:lang w:val="ru-RU"/>
        </w:rPr>
      </w:r>
    </w:p>
    <w:p>
      <w:pPr>
        <w:pStyle w:val="1227"/>
        <w:numPr>
          <w:ilvl w:val="0"/>
          <w:numId w:val="154"/>
        </w:numPr>
        <w:ind w:left="0" w:right="1" w:firstLine="709"/>
        <w:jc w:val="both"/>
        <w:spacing w:line="276" w:lineRule="auto"/>
        <w:rPr>
          <w:rFonts w:ascii="Times New Roman" w:hAnsi="Times New Roman"/>
          <w:sz w:val="28"/>
          <w:szCs w:val="28"/>
          <w:lang w:val="ru-RU"/>
        </w:rPr>
      </w:pPr>
      <w:r>
        <w:rPr>
          <w:rFonts w:ascii="Times New Roman" w:hAnsi="Times New Roman" w:eastAsia="Times New Roman"/>
          <w:sz w:val="28"/>
          <w:szCs w:val="28"/>
          <w:lang w:val="ru-RU"/>
        </w:rPr>
        <w:t xml:space="preserve">дискуссионная площадка «Защита экологических прав неопределенного круга лиц: тревожные сигналы через СМИ и интернет-пространство»;</w:t>
      </w:r>
      <w:r>
        <w:rPr>
          <w:rFonts w:ascii="Times New Roman" w:hAnsi="Times New Roman"/>
          <w:sz w:val="28"/>
          <w:szCs w:val="28"/>
          <w:lang w:val="ru-RU"/>
        </w:rPr>
      </w:r>
      <w:r>
        <w:rPr>
          <w:rFonts w:ascii="Times New Roman" w:hAnsi="Times New Roman"/>
          <w:sz w:val="28"/>
          <w:szCs w:val="28"/>
          <w:lang w:val="ru-RU"/>
        </w:rPr>
      </w:r>
    </w:p>
    <w:p>
      <w:pPr>
        <w:ind w:right="1" w:firstLine="709"/>
        <w:jc w:val="both"/>
        <w:spacing w:after="0"/>
        <w:rPr>
          <w:rFonts w:ascii="Times New Roman" w:hAnsi="Times New Roman"/>
          <w:sz w:val="28"/>
          <w:szCs w:val="28"/>
        </w:rPr>
      </w:pPr>
      <w:r>
        <w:rPr>
          <w:rFonts w:ascii="Times New Roman" w:hAnsi="Times New Roman" w:eastAsia="Times New Roman"/>
          <w:sz w:val="28"/>
          <w:szCs w:val="28"/>
        </w:rPr>
        <w:t xml:space="preserve">и на других мероприятиях, проведенных в рамках форума.</w:t>
      </w:r>
      <w:r>
        <w:rPr>
          <w:rFonts w:ascii="Times New Roman" w:hAnsi="Times New Roman"/>
          <w:sz w:val="28"/>
          <w:szCs w:val="28"/>
        </w:rPr>
      </w:r>
      <w:r>
        <w:rPr>
          <w:rFonts w:ascii="Times New Roman" w:hAnsi="Times New Roman"/>
          <w:sz w:val="28"/>
          <w:szCs w:val="28"/>
        </w:rPr>
      </w:r>
    </w:p>
    <w:p>
      <w:pPr>
        <w:ind w:right="1" w:firstLine="709"/>
        <w:jc w:val="both"/>
        <w:spacing w:after="0"/>
        <w:rPr>
          <w:rFonts w:ascii="Times New Roman" w:hAnsi="Times New Roman"/>
          <w:sz w:val="28"/>
          <w:szCs w:val="28"/>
        </w:rPr>
      </w:pPr>
      <w:r>
        <w:rPr>
          <w:rFonts w:ascii="Times New Roman" w:hAnsi="Times New Roman" w:eastAsia="Times New Roman"/>
          <w:sz w:val="28"/>
          <w:szCs w:val="28"/>
        </w:rPr>
        <w:t xml:space="preserve">Участники межрегионального правозащитного экологического форума, обсудили современные проблемы и выработали Рекомендации, которые направлены в компетентные органы. </w:t>
      </w:r>
      <w:r>
        <w:rPr>
          <w:rFonts w:ascii="Times New Roman" w:hAnsi="Times New Roman"/>
          <w:sz w:val="28"/>
          <w:szCs w:val="28"/>
        </w:rPr>
      </w:r>
      <w:r>
        <w:rPr>
          <w:rFonts w:ascii="Times New Roman" w:hAnsi="Times New Roman"/>
          <w:sz w:val="28"/>
          <w:szCs w:val="28"/>
        </w:rPr>
      </w:r>
    </w:p>
    <w:p>
      <w:pPr>
        <w:ind w:right="1" w:firstLine="709"/>
        <w:jc w:val="both"/>
        <w:spacing w:after="0"/>
        <w:rPr>
          <w:rFonts w:ascii="Times New Roman" w:hAnsi="Times New Roman"/>
          <w:color w:val="202020"/>
          <w:sz w:val="28"/>
          <w:szCs w:val="28"/>
          <w:highlight w:val="white"/>
        </w:rPr>
      </w:pPr>
      <w:r>
        <w:rPr>
          <w:rFonts w:ascii="Times New Roman" w:hAnsi="Times New Roman" w:eastAsia="Times New Roman"/>
          <w:sz w:val="28"/>
          <w:szCs w:val="28"/>
        </w:rPr>
        <w:t xml:space="preserve">Также в рамках правозащитного экологического форума региональный омбудсмен провела </w:t>
      </w:r>
      <w:r>
        <w:rPr>
          <w:rFonts w:ascii="Times New Roman" w:hAnsi="Times New Roman" w:eastAsia="Times New Roman"/>
          <w:color w:val="202020"/>
          <w:sz w:val="28"/>
          <w:szCs w:val="28"/>
          <w:highlight w:val="white"/>
        </w:rPr>
        <w:t xml:space="preserve">творческий конкурс «</w:t>
      </w:r>
      <w:r>
        <w:rPr>
          <w:rFonts w:ascii="Times New Roman" w:hAnsi="Times New Roman" w:eastAsia="Times New Roman"/>
          <w:color w:val="202020"/>
          <w:sz w:val="28"/>
          <w:szCs w:val="28"/>
          <w:highlight w:val="white"/>
        </w:rPr>
        <w:t xml:space="preserve">Эко-вызов</w:t>
      </w:r>
      <w:r>
        <w:rPr>
          <w:rFonts w:ascii="Times New Roman" w:hAnsi="Times New Roman" w:eastAsia="Times New Roman"/>
          <w:color w:val="202020"/>
          <w:sz w:val="28"/>
          <w:szCs w:val="28"/>
          <w:highlight w:val="white"/>
        </w:rPr>
        <w:t xml:space="preserve">», целью которого является повышение ответственности населения за сохранение п</w:t>
      </w:r>
      <w:r>
        <w:rPr>
          <w:rFonts w:ascii="Times New Roman" w:hAnsi="Times New Roman" w:eastAsia="Times New Roman"/>
          <w:color w:val="202020"/>
          <w:sz w:val="28"/>
          <w:szCs w:val="28"/>
          <w:highlight w:val="white"/>
        </w:rPr>
        <w:t xml:space="preserve">риродного наследия и привлечения внимания широкой общественности к проблемам загрязнения окружающей среды. Всего в данном конкурсе приняли участие более 100 неравнодушных граждан. Работы на конкурс присылали из разных городов и сельских территорий региона.</w:t>
      </w:r>
      <w:r>
        <w:rPr>
          <w:rFonts w:ascii="Times New Roman" w:hAnsi="Times New Roman"/>
          <w:color w:val="202020"/>
          <w:sz w:val="28"/>
          <w:szCs w:val="28"/>
          <w:highlight w:val="white"/>
        </w:rPr>
      </w:r>
      <w:r>
        <w:rPr>
          <w:rFonts w:ascii="Times New Roman" w:hAnsi="Times New Roman"/>
          <w:color w:val="202020"/>
          <w:sz w:val="28"/>
          <w:szCs w:val="28"/>
          <w:highlight w:val="white"/>
        </w:rPr>
      </w:r>
    </w:p>
    <w:p>
      <w:pPr>
        <w:ind w:right="1" w:firstLine="709"/>
        <w:jc w:val="both"/>
        <w:spacing w:after="0"/>
        <w:rPr>
          <w:rFonts w:ascii="Times New Roman" w:hAnsi="Times New Roman"/>
          <w:sz w:val="28"/>
          <w:szCs w:val="28"/>
        </w:rPr>
      </w:pPr>
      <w:r>
        <w:rPr>
          <w:rFonts w:ascii="Times New Roman" w:hAnsi="Times New Roman" w:eastAsia="Times New Roman"/>
          <w:sz w:val="28"/>
          <w:szCs w:val="28"/>
        </w:rPr>
        <w:t xml:space="preserve">Исполнительный орган г</w:t>
      </w:r>
      <w:r>
        <w:rPr>
          <w:rFonts w:ascii="Times New Roman" w:hAnsi="Times New Roman" w:eastAsia="Times New Roman"/>
          <w:sz w:val="28"/>
          <w:szCs w:val="28"/>
        </w:rPr>
        <w:t xml:space="preserve">осударственной власти, который осуществляет государственное управление в сфере охраны окружающей среды, использования природных ресурсов и связанных областях – Департамент природных ресурсов и экологии Ивановской области (далее – Департамент), которым были</w:t>
      </w:r>
      <w:r>
        <w:rPr>
          <w:rFonts w:ascii="Times New Roman" w:hAnsi="Times New Roman" w:eastAsia="Times New Roman"/>
          <w:sz w:val="28"/>
          <w:szCs w:val="28"/>
          <w:lang w:eastAsia="ru-RU"/>
        </w:rPr>
        <w:t xml:space="preserve"> </w:t>
      </w:r>
      <w:r>
        <w:rPr>
          <w:rFonts w:ascii="Times New Roman" w:hAnsi="Times New Roman" w:eastAsia="Times New Roman"/>
          <w:sz w:val="28"/>
          <w:szCs w:val="28"/>
          <w:lang w:eastAsia="ru-RU"/>
        </w:rPr>
        <w:t xml:space="preserve">предприняты меры</w:t>
      </w:r>
      <w:r>
        <w:rPr>
          <w:rFonts w:ascii="Times New Roman" w:hAnsi="Times New Roman" w:eastAsia="Times New Roman"/>
          <w:sz w:val="28"/>
          <w:szCs w:val="28"/>
          <w:lang w:eastAsia="ru-RU"/>
        </w:rPr>
        <w:t xml:space="preserve"> по контролю за состоянием окружающей среды, информированием о ее состоянии:</w:t>
      </w:r>
      <w:r>
        <w:rPr>
          <w:rFonts w:ascii="Times New Roman" w:hAnsi="Times New Roman"/>
          <w:sz w:val="28"/>
          <w:szCs w:val="28"/>
        </w:rPr>
      </w:r>
      <w:r>
        <w:rPr>
          <w:rFonts w:ascii="Times New Roman" w:hAnsi="Times New Roman"/>
          <w:sz w:val="28"/>
          <w:szCs w:val="28"/>
        </w:rPr>
      </w:r>
    </w:p>
    <w:p>
      <w:pPr>
        <w:ind w:right="1" w:firstLine="709"/>
        <w:jc w:val="both"/>
        <w:spacing w:after="0"/>
        <w:rPr>
          <w:rFonts w:ascii="Times New Roman" w:hAnsi="Times New Roman"/>
          <w:sz w:val="28"/>
          <w:szCs w:val="28"/>
        </w:rPr>
      </w:pPr>
      <w:r>
        <w:rPr>
          <w:rFonts w:ascii="Times New Roman" w:hAnsi="Times New Roman" w:eastAsia="Times New Roman"/>
          <w:b/>
          <w:sz w:val="28"/>
          <w:szCs w:val="28"/>
          <w:lang w:eastAsia="ru-RU"/>
        </w:rPr>
        <w:t xml:space="preserve">1.</w:t>
      </w:r>
      <w:r>
        <w:rPr>
          <w:rFonts w:ascii="Times New Roman" w:hAnsi="Times New Roman" w:eastAsia="Times New Roman"/>
          <w:sz w:val="28"/>
          <w:szCs w:val="28"/>
          <w:lang w:eastAsia="ru-RU"/>
        </w:rPr>
        <w:t xml:space="preserve"> </w:t>
      </w:r>
      <w:r>
        <w:rPr>
          <w:rFonts w:ascii="Times New Roman" w:hAnsi="Times New Roman" w:eastAsia="Times New Roman"/>
          <w:b/>
          <w:sz w:val="28"/>
          <w:szCs w:val="28"/>
          <w:lang w:eastAsia="ru-RU"/>
        </w:rPr>
        <w:t xml:space="preserve">Ивановская область по итогам 2025 года заняла 17 место в национальном экологическом рейтинге регионов, подготовленном Общероссийской общественной организации «Зеленый патруль».</w:t>
      </w:r>
      <w:r>
        <w:rPr>
          <w:rFonts w:ascii="Times New Roman" w:hAnsi="Times New Roman" w:eastAsia="Times New Roman"/>
          <w:sz w:val="28"/>
          <w:szCs w:val="28"/>
          <w:lang w:eastAsia="ru-RU"/>
        </w:rPr>
        <w:t xml:space="preserve"> Национальный экологический рейтинг регионов Российской Федерации Общероссийской</w:t>
      </w:r>
      <w:r>
        <w:rPr>
          <w:rFonts w:ascii="Times New Roman" w:hAnsi="Times New Roman" w:eastAsia="Times New Roman"/>
          <w:sz w:val="28"/>
          <w:szCs w:val="28"/>
          <w:lang w:eastAsia="ru-RU"/>
        </w:rPr>
        <w:t xml:space="preserve"> общественной организации публикуется с апреля 2008 года и выходит четыре раза в год: зимой, весной, летом и осенью. Целью проекта является осуществление общественного мониторинга и сравнительная оценка регионов Российской Федерации в сфере экологической б</w:t>
      </w:r>
      <w:r>
        <w:rPr>
          <w:rFonts w:ascii="Times New Roman" w:hAnsi="Times New Roman" w:eastAsia="Times New Roman"/>
          <w:sz w:val="28"/>
          <w:szCs w:val="28"/>
          <w:lang w:eastAsia="ru-RU"/>
        </w:rPr>
        <w:t xml:space="preserve">езопасности и охраны окружающей среды. Информационными материалами являются актуальные сообщения, публикации или документы, которые описывают состояние объектов и процессов, а также ситуации, мероприятия и события в сфере экологии и охраны окружающей среды</w:t>
      </w:r>
      <w:r>
        <w:rPr>
          <w:rFonts w:ascii="Times New Roman" w:hAnsi="Times New Roman" w:eastAsia="Times New Roman"/>
          <w:color w:val="202020"/>
          <w:sz w:val="28"/>
          <w:szCs w:val="28"/>
          <w:shd w:val="clear" w:color="auto" w:fill="ffffff"/>
        </w:rPr>
        <w:t xml:space="preserve">.</w:t>
      </w:r>
      <w:r>
        <w:rPr>
          <w:rFonts w:ascii="Times New Roman" w:hAnsi="Times New Roman"/>
          <w:sz w:val="28"/>
          <w:szCs w:val="28"/>
        </w:rPr>
      </w:r>
      <w:r>
        <w:rPr>
          <w:rFonts w:ascii="Times New Roman" w:hAnsi="Times New Roman"/>
          <w:sz w:val="28"/>
          <w:szCs w:val="28"/>
        </w:rPr>
      </w:r>
    </w:p>
    <w:p>
      <w:pPr>
        <w:ind w:firstLine="708"/>
        <w:spacing w:after="0"/>
        <w:rPr>
          <w:rFonts w:ascii="Times New Roman" w:hAnsi="Times New Roman"/>
          <w:b/>
          <w:sz w:val="28"/>
          <w:szCs w:val="28"/>
        </w:rPr>
      </w:pPr>
      <w:r>
        <w:rPr>
          <w:rFonts w:ascii="Times New Roman" w:hAnsi="Times New Roman"/>
          <w:b/>
          <w:sz w:val="28"/>
          <w:szCs w:val="28"/>
        </w:rPr>
        <w:t xml:space="preserve">2. Государственный мониторинг окружающей среды.</w:t>
      </w:r>
      <w:r>
        <w:rPr>
          <w:rFonts w:ascii="Times New Roman" w:hAnsi="Times New Roman"/>
          <w:b/>
          <w:sz w:val="28"/>
          <w:szCs w:val="28"/>
        </w:rPr>
      </w:r>
      <w:r>
        <w:rPr>
          <w:rFonts w:ascii="Times New Roman" w:hAnsi="Times New Roman"/>
          <w:b/>
          <w:sz w:val="28"/>
          <w:szCs w:val="28"/>
        </w:rPr>
      </w:r>
    </w:p>
    <w:p>
      <w:pPr>
        <w:ind w:firstLine="709"/>
        <w:jc w:val="both"/>
        <w:spacing w:after="0"/>
        <w:rPr>
          <w:rFonts w:ascii="Times New Roman" w:hAnsi="Times New Roman"/>
          <w:sz w:val="28"/>
          <w:szCs w:val="28"/>
        </w:rPr>
      </w:pPr>
      <w:r>
        <w:rPr>
          <w:rFonts w:ascii="Times New Roman" w:hAnsi="Times New Roman"/>
          <w:sz w:val="28"/>
          <w:szCs w:val="28"/>
        </w:rPr>
        <w:t xml:space="preserve">С целью реализации полномочий Департамента по участию в организации и осуществлении государственного мониторинга окружающей среды проводится мероприятие по эксплуатации </w:t>
      </w:r>
      <w:r>
        <w:rPr>
          <w:rFonts w:ascii="Times New Roman" w:hAnsi="Times New Roman"/>
          <w:sz w:val="28"/>
          <w:szCs w:val="28"/>
        </w:rPr>
        <w:t xml:space="preserve">ПОСТ-лаборатории</w:t>
      </w:r>
      <w:r>
        <w:rPr>
          <w:rFonts w:ascii="Times New Roman" w:hAnsi="Times New Roman"/>
          <w:sz w:val="28"/>
          <w:szCs w:val="28"/>
        </w:rPr>
        <w:t xml:space="preserve"> в целях контроля за уровнем загрязнения атмосферного воздуха на территории                       г. Шуя Ивановской области.</w:t>
      </w:r>
      <w:r>
        <w:rPr>
          <w:rFonts w:ascii="Times New Roman" w:hAnsi="Times New Roman"/>
          <w:sz w:val="28"/>
          <w:szCs w:val="28"/>
        </w:rPr>
      </w:r>
      <w:r>
        <w:rPr>
          <w:rFonts w:ascii="Times New Roman" w:hAnsi="Times New Roman"/>
          <w:sz w:val="28"/>
          <w:szCs w:val="28"/>
        </w:rPr>
      </w:r>
    </w:p>
    <w:p>
      <w:pPr>
        <w:ind w:firstLine="709"/>
        <w:jc w:val="both"/>
        <w:spacing w:after="0"/>
        <w:rPr>
          <w:rFonts w:ascii="Times New Roman" w:hAnsi="Times New Roman"/>
          <w:sz w:val="28"/>
          <w:szCs w:val="28"/>
        </w:rPr>
      </w:pPr>
      <w:r>
        <w:rPr>
          <w:rFonts w:ascii="Times New Roman" w:hAnsi="Times New Roman"/>
          <w:sz w:val="28"/>
          <w:szCs w:val="28"/>
        </w:rPr>
        <w:t xml:space="preserve">Кроме того, в целях разрешения вопросов, содержащихся в обращениях граждан, в течение года постоянно проводился мониторинг окружающей среды путем лабораторных исследований всех ее компонентов. </w:t>
      </w:r>
      <w:r>
        <w:rPr>
          <w:rFonts w:ascii="Times New Roman" w:hAnsi="Times New Roman"/>
          <w:sz w:val="28"/>
          <w:szCs w:val="28"/>
        </w:rPr>
      </w:r>
      <w:r>
        <w:rPr>
          <w:rFonts w:ascii="Times New Roman" w:hAnsi="Times New Roman"/>
          <w:sz w:val="28"/>
          <w:szCs w:val="28"/>
        </w:rPr>
      </w:r>
    </w:p>
    <w:p>
      <w:pPr>
        <w:ind w:firstLine="709"/>
        <w:jc w:val="both"/>
        <w:spacing w:after="0"/>
        <w:rPr>
          <w:rFonts w:ascii="Times New Roman" w:hAnsi="Times New Roman"/>
          <w:sz w:val="28"/>
          <w:szCs w:val="28"/>
        </w:rPr>
      </w:pPr>
      <w:r>
        <w:rPr>
          <w:rFonts w:ascii="Times New Roman" w:hAnsi="Times New Roman"/>
          <w:sz w:val="28"/>
          <w:szCs w:val="28"/>
        </w:rPr>
        <w:t xml:space="preserve">Также продолжается осуществление государственного мониторинга водных объектов. Мониторинг состояния </w:t>
      </w:r>
      <w:r>
        <w:rPr>
          <w:rFonts w:ascii="Times New Roman" w:hAnsi="Times New Roman"/>
          <w:sz w:val="28"/>
          <w:szCs w:val="28"/>
        </w:rPr>
        <w:t xml:space="preserve">водоохранных</w:t>
      </w:r>
      <w:r>
        <w:rPr>
          <w:rFonts w:ascii="Times New Roman" w:hAnsi="Times New Roman"/>
          <w:sz w:val="28"/>
          <w:szCs w:val="28"/>
        </w:rPr>
        <w:t xml:space="preserve"> зон, дна и берегов водных объектов на территории Ивановской области проводится ежегодно на участках русел рек, испытывающих наибольшее антропогенное воздействие.</w:t>
      </w:r>
      <w:r>
        <w:rPr>
          <w:rFonts w:ascii="Times New Roman" w:hAnsi="Times New Roman"/>
          <w:sz w:val="28"/>
          <w:szCs w:val="28"/>
        </w:rPr>
      </w:r>
      <w:r>
        <w:rPr>
          <w:rFonts w:ascii="Times New Roman" w:hAnsi="Times New Roman"/>
          <w:sz w:val="28"/>
          <w:szCs w:val="28"/>
        </w:rPr>
      </w:r>
    </w:p>
    <w:p>
      <w:pPr>
        <w:ind w:firstLine="709"/>
        <w:jc w:val="both"/>
        <w:spacing w:after="0"/>
        <w:rPr>
          <w:rFonts w:ascii="Times New Roman" w:hAnsi="Times New Roman"/>
          <w:sz w:val="28"/>
          <w:szCs w:val="28"/>
        </w:rPr>
      </w:pPr>
      <w:r>
        <w:rPr>
          <w:rFonts w:ascii="Times New Roman" w:hAnsi="Times New Roman"/>
          <w:sz w:val="28"/>
          <w:szCs w:val="28"/>
        </w:rPr>
        <w:t xml:space="preserve">Проведение данных работ позволяет оценивать текущее состояние окружающей среды и принимать конкретные меры по предупреждению и устранению негативных факторов, влияющих на экологическое качество жизни населения.</w:t>
      </w:r>
      <w:r>
        <w:rPr>
          <w:rFonts w:ascii="Times New Roman" w:hAnsi="Times New Roman"/>
          <w:sz w:val="28"/>
          <w:szCs w:val="28"/>
        </w:rPr>
      </w:r>
      <w:r>
        <w:rPr>
          <w:rFonts w:ascii="Times New Roman" w:hAnsi="Times New Roman"/>
          <w:sz w:val="28"/>
          <w:szCs w:val="28"/>
        </w:rPr>
      </w:r>
    </w:p>
    <w:p>
      <w:pPr>
        <w:ind w:firstLine="708"/>
        <w:jc w:val="both"/>
        <w:spacing w:after="0"/>
        <w:rPr>
          <w:rFonts w:ascii="Times New Roman" w:hAnsi="Times New Roman"/>
          <w:b/>
          <w:sz w:val="28"/>
          <w:szCs w:val="28"/>
        </w:rPr>
      </w:pPr>
      <w:r>
        <w:rPr>
          <w:rFonts w:ascii="Times New Roman" w:hAnsi="Times New Roman"/>
          <w:b/>
          <w:sz w:val="28"/>
          <w:szCs w:val="28"/>
        </w:rPr>
        <w:t xml:space="preserve">3. Проведение мероприятий по охране объектов животного мира.</w:t>
      </w:r>
      <w:r>
        <w:rPr>
          <w:rFonts w:ascii="Times New Roman" w:hAnsi="Times New Roman"/>
          <w:b/>
          <w:sz w:val="28"/>
          <w:szCs w:val="28"/>
        </w:rPr>
      </w:r>
      <w:r>
        <w:rPr>
          <w:rFonts w:ascii="Times New Roman" w:hAnsi="Times New Roman"/>
          <w:b/>
          <w:sz w:val="28"/>
          <w:szCs w:val="28"/>
        </w:rPr>
      </w:r>
    </w:p>
    <w:p>
      <w:pPr>
        <w:ind w:firstLine="709"/>
        <w:jc w:val="both"/>
        <w:spacing w:after="0"/>
        <w:rPr>
          <w:rFonts w:ascii="Times New Roman" w:hAnsi="Times New Roman"/>
          <w:sz w:val="28"/>
          <w:szCs w:val="28"/>
        </w:rPr>
      </w:pPr>
      <w:r>
        <w:rPr>
          <w:rFonts w:ascii="Times New Roman" w:hAnsi="Times New Roman"/>
          <w:sz w:val="28"/>
          <w:szCs w:val="28"/>
        </w:rPr>
        <w:t xml:space="preserve">Одной из составных частей жизни любого гражданина являются процессы взаимодействия с элементами дикой природы, в том числе дикими животными. В связи с уси</w:t>
      </w:r>
      <w:r>
        <w:rPr>
          <w:rFonts w:ascii="Times New Roman" w:hAnsi="Times New Roman"/>
          <w:sz w:val="28"/>
          <w:szCs w:val="28"/>
        </w:rPr>
        <w:t xml:space="preserve">лением антропогенного влияния на дикую природу некоторые виды животных, ранее не обитающих в пределах деятельности человека, все чаще поселяются вблизи населенных пунктов или непосредственно в них, а также активно перемещаются в местах, заселенными людьми.</w:t>
      </w:r>
      <w:r>
        <w:rPr>
          <w:rFonts w:ascii="Times New Roman" w:hAnsi="Times New Roman"/>
          <w:sz w:val="28"/>
          <w:szCs w:val="28"/>
        </w:rPr>
      </w:r>
      <w:r>
        <w:rPr>
          <w:rFonts w:ascii="Times New Roman" w:hAnsi="Times New Roman"/>
          <w:sz w:val="28"/>
          <w:szCs w:val="28"/>
        </w:rPr>
      </w:r>
    </w:p>
    <w:p>
      <w:pPr>
        <w:ind w:firstLine="709"/>
        <w:jc w:val="both"/>
        <w:spacing w:after="0"/>
        <w:rPr>
          <w:rFonts w:ascii="Times New Roman" w:hAnsi="Times New Roman"/>
          <w:sz w:val="28"/>
          <w:szCs w:val="28"/>
        </w:rPr>
      </w:pPr>
      <w:r>
        <w:rPr>
          <w:rFonts w:ascii="Times New Roman" w:hAnsi="Times New Roman"/>
          <w:sz w:val="28"/>
          <w:szCs w:val="28"/>
        </w:rPr>
        <w:t xml:space="preserve">Проблема диких животных в городах и других населенных пунктах беспокоит жителей многих регионов России. По оценке Департамента, выход диких животных в населенные пункты обуславливается такими </w:t>
      </w:r>
      <w:r>
        <w:rPr>
          <w:rFonts w:ascii="Times New Roman" w:hAnsi="Times New Roman"/>
          <w:sz w:val="28"/>
          <w:szCs w:val="28"/>
        </w:rPr>
        <w:t xml:space="preserve">факторами, как сезонные миграционные процессы, влияние деятельности человека на места постоянного обитания диких животных, образование доступной кормовой базы на территориях населенных пунктов (особенно если населенный пункт граничит с участками лесного фо</w:t>
      </w:r>
      <w:r>
        <w:rPr>
          <w:rFonts w:ascii="Times New Roman" w:hAnsi="Times New Roman"/>
          <w:sz w:val="28"/>
          <w:szCs w:val="28"/>
        </w:rPr>
        <w:t xml:space="preserve">нда). Рассматриваемая ситуация является объективным непрогнозируемым природным явлением, представляющим в первую очередь опасность для здоровья и жизни граждан. Действующим законодательством вопрос захода диких животных в населенные пункты не урегулирован.</w:t>
      </w:r>
      <w:r>
        <w:rPr>
          <w:rFonts w:ascii="Times New Roman" w:hAnsi="Times New Roman"/>
          <w:sz w:val="28"/>
          <w:szCs w:val="28"/>
        </w:rPr>
      </w:r>
      <w:r>
        <w:rPr>
          <w:rFonts w:ascii="Times New Roman" w:hAnsi="Times New Roman"/>
          <w:sz w:val="28"/>
          <w:szCs w:val="28"/>
        </w:rPr>
      </w:r>
    </w:p>
    <w:p>
      <w:pPr>
        <w:ind w:firstLine="709"/>
        <w:jc w:val="both"/>
        <w:spacing w:after="0"/>
        <w:rPr>
          <w:rFonts w:ascii="Times New Roman" w:hAnsi="Times New Roman"/>
          <w:sz w:val="28"/>
          <w:szCs w:val="28"/>
        </w:rPr>
      </w:pPr>
      <w:r>
        <w:rPr>
          <w:rFonts w:ascii="Times New Roman" w:hAnsi="Times New Roman"/>
          <w:sz w:val="28"/>
          <w:szCs w:val="28"/>
        </w:rPr>
        <w:t xml:space="preserve">Со своей стороны, в целях контроля над численностью объектов животного мира, минимизации опасности возникновения очагов особо опасных болезней животных, таких как бешенство, </w:t>
      </w:r>
      <w:r>
        <w:rPr>
          <w:rFonts w:ascii="Times New Roman" w:hAnsi="Times New Roman"/>
          <w:sz w:val="28"/>
          <w:szCs w:val="28"/>
        </w:rPr>
        <w:t xml:space="preserve">высокопатогенный</w:t>
      </w:r>
      <w:r>
        <w:rPr>
          <w:rFonts w:ascii="Times New Roman" w:hAnsi="Times New Roman"/>
          <w:sz w:val="28"/>
          <w:szCs w:val="28"/>
        </w:rPr>
        <w:t xml:space="preserve"> грипп птиц, африканская чума свиней, Департаментом осуществляется регулярный мониторинг состояния таки</w:t>
      </w:r>
      <w:r>
        <w:rPr>
          <w:rFonts w:ascii="Times New Roman" w:hAnsi="Times New Roman"/>
          <w:sz w:val="28"/>
          <w:szCs w:val="28"/>
        </w:rPr>
        <w:t xml:space="preserve">х популяций как лисица, кабан, волк, различных видов диких птиц. Ведется работа по взаимодействию с органами местного самоуправления, администрациями городов и районов области, физическими и юридическими лицами, осуществляющими деятельность в сфере охоты. </w:t>
      </w:r>
      <w:r>
        <w:rPr>
          <w:rFonts w:ascii="Times New Roman" w:hAnsi="Times New Roman"/>
          <w:sz w:val="28"/>
          <w:szCs w:val="28"/>
        </w:rPr>
      </w:r>
      <w:r>
        <w:rPr>
          <w:rFonts w:ascii="Times New Roman" w:hAnsi="Times New Roman"/>
          <w:sz w:val="28"/>
          <w:szCs w:val="28"/>
        </w:rPr>
      </w:r>
    </w:p>
    <w:p>
      <w:pPr>
        <w:ind w:firstLine="709"/>
        <w:jc w:val="both"/>
        <w:spacing w:after="0"/>
        <w:rPr>
          <w:rFonts w:ascii="Times New Roman" w:hAnsi="Times New Roman"/>
          <w:sz w:val="28"/>
          <w:szCs w:val="28"/>
        </w:rPr>
      </w:pPr>
      <w:r>
        <w:rPr>
          <w:rFonts w:ascii="Times New Roman" w:hAnsi="Times New Roman"/>
          <w:sz w:val="28"/>
          <w:szCs w:val="28"/>
        </w:rPr>
        <w:t xml:space="preserve">Жителям и</w:t>
      </w:r>
      <w:r>
        <w:rPr>
          <w:rFonts w:ascii="Times New Roman" w:hAnsi="Times New Roman"/>
          <w:sz w:val="28"/>
          <w:szCs w:val="28"/>
        </w:rPr>
        <w:t xml:space="preserve"> органам местного самоуправления в течение 2025 года направлялись рекомендации по профилактике и пресечению возникновения случаев нахождения диких животных в населенных пунктах, в том числе, во взаимодействии с органами правопорядка, местными охотниками и </w:t>
      </w:r>
      <w:r>
        <w:rPr>
          <w:rFonts w:ascii="Times New Roman" w:hAnsi="Times New Roman"/>
          <w:sz w:val="28"/>
          <w:szCs w:val="28"/>
        </w:rPr>
        <w:t xml:space="preserve">охотпользователями</w:t>
      </w:r>
      <w:r>
        <w:rPr>
          <w:rFonts w:ascii="Times New Roman" w:hAnsi="Times New Roman"/>
          <w:sz w:val="28"/>
          <w:szCs w:val="28"/>
        </w:rPr>
        <w:t xml:space="preserve">. Для профилактики бешенства в охотничьих угодьях региона Департамент принимал участие в осуществлении мероприятий по раскладке специализированной вакцины.</w:t>
      </w:r>
      <w:r>
        <w:rPr>
          <w:rFonts w:ascii="Times New Roman" w:hAnsi="Times New Roman"/>
          <w:sz w:val="28"/>
          <w:szCs w:val="28"/>
        </w:rPr>
      </w:r>
      <w:r>
        <w:rPr>
          <w:rFonts w:ascii="Times New Roman" w:hAnsi="Times New Roman"/>
          <w:sz w:val="28"/>
          <w:szCs w:val="28"/>
        </w:rPr>
      </w:r>
    </w:p>
    <w:p>
      <w:pPr>
        <w:ind w:firstLine="709"/>
        <w:jc w:val="both"/>
        <w:spacing w:after="0"/>
        <w:rPr>
          <w:rFonts w:ascii="Times New Roman" w:hAnsi="Times New Roman"/>
          <w:sz w:val="28"/>
          <w:szCs w:val="28"/>
        </w:rPr>
      </w:pPr>
      <w:r>
        <w:rPr>
          <w:rFonts w:ascii="Times New Roman" w:hAnsi="Times New Roman"/>
          <w:sz w:val="28"/>
          <w:szCs w:val="28"/>
        </w:rPr>
        <w:t xml:space="preserve">В 2025 году сотрудниками Департамента во взаимодействии с представителями органов ветеринарии и территориального управления </w:t>
      </w:r>
      <w:r>
        <w:rPr>
          <w:rFonts w:ascii="Times New Roman" w:hAnsi="Times New Roman"/>
          <w:sz w:val="28"/>
          <w:szCs w:val="28"/>
        </w:rPr>
        <w:t xml:space="preserve">Россельхознадзора</w:t>
      </w:r>
      <w:r>
        <w:rPr>
          <w:rFonts w:ascii="Times New Roman" w:hAnsi="Times New Roman"/>
          <w:sz w:val="28"/>
          <w:szCs w:val="28"/>
        </w:rPr>
        <w:t xml:space="preserve"> осуществлено 35 рейдовых выездов 19 районах Ивановской области.</w:t>
      </w:r>
      <w:r>
        <w:rPr>
          <w:rFonts w:ascii="Times New Roman" w:hAnsi="Times New Roman"/>
          <w:sz w:val="28"/>
          <w:szCs w:val="28"/>
        </w:rPr>
      </w:r>
      <w:r>
        <w:rPr>
          <w:rFonts w:ascii="Times New Roman" w:hAnsi="Times New Roman"/>
          <w:sz w:val="28"/>
          <w:szCs w:val="28"/>
        </w:rPr>
      </w:r>
    </w:p>
    <w:p>
      <w:pPr>
        <w:ind w:firstLine="709"/>
        <w:jc w:val="both"/>
        <w:spacing w:after="0"/>
        <w:rPr>
          <w:rFonts w:ascii="Times New Roman" w:hAnsi="Times New Roman"/>
          <w:b/>
          <w:sz w:val="28"/>
          <w:szCs w:val="28"/>
        </w:rPr>
      </w:pPr>
      <w:r>
        <w:rPr>
          <w:rFonts w:ascii="Times New Roman" w:hAnsi="Times New Roman"/>
          <w:b/>
          <w:sz w:val="28"/>
          <w:szCs w:val="28"/>
        </w:rPr>
        <w:t xml:space="preserve">4.</w:t>
      </w:r>
      <w:r>
        <w:rPr>
          <w:rFonts w:ascii="Times New Roman" w:hAnsi="Times New Roman"/>
          <w:b/>
          <w:sz w:val="28"/>
          <w:szCs w:val="28"/>
          <w:lang w:eastAsia="ru-RU"/>
        </w:rPr>
        <w:t xml:space="preserve"> </w:t>
      </w:r>
      <w:r>
        <w:rPr>
          <w:rFonts w:ascii="Times New Roman" w:hAnsi="Times New Roman"/>
          <w:b/>
          <w:sz w:val="28"/>
          <w:szCs w:val="28"/>
        </w:rPr>
        <w:t xml:space="preserve">Обеспечение населения информацией о состоянии окружающей среды на территории Ивановской области.</w:t>
      </w:r>
      <w:r>
        <w:rPr>
          <w:rFonts w:ascii="Times New Roman" w:hAnsi="Times New Roman"/>
          <w:b/>
          <w:sz w:val="28"/>
          <w:szCs w:val="28"/>
        </w:rPr>
      </w:r>
      <w:r>
        <w:rPr>
          <w:rFonts w:ascii="Times New Roman" w:hAnsi="Times New Roman"/>
          <w:b/>
          <w:sz w:val="28"/>
          <w:szCs w:val="28"/>
        </w:rPr>
      </w:r>
    </w:p>
    <w:p>
      <w:pPr>
        <w:ind w:firstLine="709"/>
        <w:jc w:val="both"/>
        <w:spacing w:after="0" w:line="276" w:lineRule="auto"/>
        <w:rPr>
          <w:rFonts w:ascii="Times New Roman" w:hAnsi="Times New Roman"/>
          <w:sz w:val="28"/>
          <w:szCs w:val="28"/>
        </w:rPr>
      </w:pPr>
      <w:r>
        <w:rPr>
          <w:rFonts w:ascii="Times New Roman" w:hAnsi="Times New Roman"/>
          <w:sz w:val="28"/>
          <w:szCs w:val="28"/>
        </w:rPr>
        <w:t xml:space="preserve">Департамент по мере актуализации размещает в информационно-телекоммуникационной сети «Интернет» на официальном сайте информацию о состоянии окружающей среды:</w:t>
      </w:r>
      <w:r>
        <w:rPr>
          <w:rFonts w:ascii="Times New Roman" w:hAnsi="Times New Roman"/>
          <w:sz w:val="28"/>
          <w:szCs w:val="28"/>
        </w:rPr>
      </w:r>
      <w:r>
        <w:rPr>
          <w:rFonts w:ascii="Times New Roman" w:hAnsi="Times New Roman"/>
          <w:sz w:val="28"/>
          <w:szCs w:val="28"/>
        </w:rPr>
      </w:r>
    </w:p>
    <w:p>
      <w:pPr>
        <w:pStyle w:val="1227"/>
        <w:numPr>
          <w:ilvl w:val="0"/>
          <w:numId w:val="171"/>
        </w:numPr>
        <w:ind w:left="0" w:firstLine="709"/>
        <w:jc w:val="both"/>
        <w:spacing w:line="276" w:lineRule="auto"/>
        <w:rPr>
          <w:rFonts w:ascii="Times New Roman" w:hAnsi="Times New Roman"/>
          <w:sz w:val="28"/>
          <w:szCs w:val="28"/>
          <w:lang w:val="ru-RU"/>
        </w:rPr>
      </w:pPr>
      <w:r>
        <w:rPr>
          <w:rFonts w:ascii="Times New Roman" w:hAnsi="Times New Roman"/>
          <w:sz w:val="28"/>
          <w:szCs w:val="28"/>
          <w:lang w:val="ru-RU"/>
        </w:rPr>
        <w:t xml:space="preserve">ежегодный доклад об охране и состоянии окружающей среды Ивановской области,</w:t>
      </w:r>
      <w:r>
        <w:rPr>
          <w:rFonts w:ascii="Times New Roman" w:hAnsi="Times New Roman"/>
          <w:sz w:val="28"/>
          <w:szCs w:val="28"/>
          <w:lang w:val="ru-RU"/>
        </w:rPr>
      </w:r>
      <w:r>
        <w:rPr>
          <w:rFonts w:ascii="Times New Roman" w:hAnsi="Times New Roman"/>
          <w:sz w:val="28"/>
          <w:szCs w:val="28"/>
          <w:lang w:val="ru-RU"/>
        </w:rPr>
      </w:r>
    </w:p>
    <w:p>
      <w:pPr>
        <w:pStyle w:val="1227"/>
        <w:numPr>
          <w:ilvl w:val="0"/>
          <w:numId w:val="171"/>
        </w:numPr>
        <w:ind w:left="0" w:firstLine="709"/>
        <w:jc w:val="both"/>
        <w:spacing w:line="276" w:lineRule="auto"/>
        <w:rPr>
          <w:rFonts w:ascii="Times New Roman" w:hAnsi="Times New Roman"/>
          <w:sz w:val="28"/>
          <w:szCs w:val="28"/>
          <w:lang w:val="ru-RU"/>
        </w:rPr>
      </w:pPr>
      <w:r>
        <w:rPr>
          <w:rFonts w:ascii="Times New Roman" w:hAnsi="Times New Roman"/>
          <w:sz w:val="28"/>
          <w:szCs w:val="28"/>
          <w:lang w:val="ru-RU"/>
        </w:rPr>
        <w:t xml:space="preserve">отчет о деятельности в рамках полномочий регулирования выбросов при наступлении неблагоприятных метеорологических условий, обращение с отходами производства и потребления, категорирование объектов негативного воздействия,</w:t>
      </w:r>
      <w:r>
        <w:rPr>
          <w:rFonts w:ascii="Times New Roman" w:hAnsi="Times New Roman"/>
          <w:sz w:val="28"/>
          <w:szCs w:val="28"/>
          <w:lang w:val="ru-RU"/>
        </w:rPr>
      </w:r>
      <w:r>
        <w:rPr>
          <w:rFonts w:ascii="Times New Roman" w:hAnsi="Times New Roman"/>
          <w:sz w:val="28"/>
          <w:szCs w:val="28"/>
          <w:lang w:val="ru-RU"/>
        </w:rPr>
      </w:r>
    </w:p>
    <w:p>
      <w:pPr>
        <w:pStyle w:val="1227"/>
        <w:numPr>
          <w:ilvl w:val="0"/>
          <w:numId w:val="171"/>
        </w:numPr>
        <w:ind w:left="0" w:firstLine="709"/>
        <w:jc w:val="both"/>
        <w:spacing w:line="276" w:lineRule="auto"/>
        <w:rPr>
          <w:rFonts w:ascii="Times New Roman" w:hAnsi="Times New Roman"/>
          <w:sz w:val="28"/>
          <w:szCs w:val="28"/>
          <w:lang w:val="ru-RU"/>
        </w:rPr>
      </w:pPr>
      <w:r>
        <w:rPr>
          <w:rFonts w:ascii="Times New Roman" w:hAnsi="Times New Roman"/>
          <w:sz w:val="28"/>
          <w:szCs w:val="28"/>
          <w:lang w:val="ru-RU"/>
        </w:rPr>
        <w:t xml:space="preserve">реестр объектов контроля в пределах компетенции, региональный кадастр отходов,</w:t>
      </w:r>
      <w:r>
        <w:rPr>
          <w:rFonts w:ascii="Times New Roman" w:hAnsi="Times New Roman"/>
          <w:sz w:val="28"/>
          <w:szCs w:val="28"/>
          <w:lang w:val="ru-RU"/>
        </w:rPr>
      </w:r>
      <w:r>
        <w:rPr>
          <w:rFonts w:ascii="Times New Roman" w:hAnsi="Times New Roman"/>
          <w:sz w:val="28"/>
          <w:szCs w:val="28"/>
          <w:lang w:val="ru-RU"/>
        </w:rPr>
      </w:r>
    </w:p>
    <w:p>
      <w:pPr>
        <w:pStyle w:val="1227"/>
        <w:numPr>
          <w:ilvl w:val="0"/>
          <w:numId w:val="171"/>
        </w:numPr>
        <w:ind w:left="0" w:firstLine="709"/>
        <w:jc w:val="both"/>
        <w:spacing w:line="276" w:lineRule="auto"/>
        <w:rPr>
          <w:rFonts w:ascii="Times New Roman" w:hAnsi="Times New Roman"/>
          <w:sz w:val="28"/>
          <w:szCs w:val="28"/>
          <w:lang w:val="ru-RU"/>
        </w:rPr>
      </w:pPr>
      <w:r>
        <w:rPr>
          <w:rFonts w:ascii="Times New Roman" w:hAnsi="Times New Roman"/>
          <w:sz w:val="28"/>
          <w:szCs w:val="28"/>
          <w:lang w:val="ru-RU"/>
        </w:rPr>
        <w:t xml:space="preserve">электронное периодическое издание «Экологический вестник» – информационно-аналитическое периодическое издание, освещающее основные проблемы и достижения в сфере охраны окружающей среды и природопользования Ивановской области.</w:t>
      </w:r>
      <w:r>
        <w:rPr>
          <w:rFonts w:ascii="Times New Roman" w:hAnsi="Times New Roman"/>
          <w:sz w:val="28"/>
          <w:szCs w:val="28"/>
          <w:lang w:val="ru-RU"/>
        </w:rPr>
      </w:r>
      <w:r>
        <w:rPr>
          <w:rFonts w:ascii="Times New Roman" w:hAnsi="Times New Roman"/>
          <w:sz w:val="28"/>
          <w:szCs w:val="28"/>
          <w:lang w:val="ru-RU"/>
        </w:rPr>
      </w:r>
    </w:p>
    <w:p>
      <w:pPr>
        <w:ind w:firstLine="709"/>
        <w:jc w:val="both"/>
        <w:spacing w:after="0" w:line="276" w:lineRule="auto"/>
        <w:rPr>
          <w:rFonts w:ascii="Times New Roman" w:hAnsi="Times New Roman"/>
          <w:sz w:val="28"/>
          <w:szCs w:val="28"/>
        </w:rPr>
      </w:pPr>
      <w:r>
        <w:rPr>
          <w:rFonts w:ascii="Times New Roman" w:hAnsi="Times New Roman"/>
          <w:sz w:val="28"/>
          <w:szCs w:val="28"/>
        </w:rPr>
        <w:t xml:space="preserve">При обращении физических или юридических лиц оказывается консультационная помощь в области охраны атмосферного воздуха в пределах своей компетенции.</w:t>
      </w:r>
      <w:r>
        <w:rPr>
          <w:rFonts w:ascii="Times New Roman" w:hAnsi="Times New Roman"/>
          <w:sz w:val="28"/>
          <w:szCs w:val="28"/>
        </w:rPr>
      </w:r>
      <w:r>
        <w:rPr>
          <w:rFonts w:ascii="Times New Roman" w:hAnsi="Times New Roman"/>
          <w:sz w:val="28"/>
          <w:szCs w:val="28"/>
        </w:rPr>
      </w:r>
    </w:p>
    <w:p>
      <w:pPr>
        <w:ind w:firstLine="709"/>
        <w:jc w:val="both"/>
        <w:spacing w:after="0"/>
        <w:rPr>
          <w:rFonts w:ascii="Times New Roman" w:hAnsi="Times New Roman"/>
          <w:b/>
          <w:sz w:val="28"/>
          <w:szCs w:val="28"/>
        </w:rPr>
      </w:pPr>
      <w:r>
        <w:rPr>
          <w:rFonts w:ascii="Times New Roman" w:hAnsi="Times New Roman"/>
          <w:b/>
          <w:sz w:val="28"/>
          <w:szCs w:val="28"/>
          <w:lang w:eastAsia="ru-RU"/>
        </w:rPr>
        <w:t xml:space="preserve">5. Участие в экологических акциях и субботниках.</w:t>
      </w:r>
      <w:r>
        <w:rPr>
          <w:rFonts w:ascii="Times New Roman" w:hAnsi="Times New Roman"/>
          <w:b/>
          <w:sz w:val="28"/>
          <w:szCs w:val="28"/>
        </w:rPr>
      </w:r>
      <w:r>
        <w:rPr>
          <w:rFonts w:ascii="Times New Roman" w:hAnsi="Times New Roman"/>
          <w:b/>
          <w:sz w:val="28"/>
          <w:szCs w:val="28"/>
        </w:rPr>
      </w:r>
    </w:p>
    <w:p>
      <w:pPr>
        <w:ind w:firstLine="709"/>
        <w:jc w:val="both"/>
        <w:spacing w:after="0"/>
        <w:rPr>
          <w:rFonts w:ascii="Times New Roman" w:hAnsi="Times New Roman"/>
          <w:sz w:val="28"/>
          <w:szCs w:val="28"/>
        </w:rPr>
      </w:pPr>
      <w:r>
        <w:rPr>
          <w:rFonts w:ascii="Times New Roman" w:hAnsi="Times New Roman"/>
          <w:sz w:val="28"/>
          <w:szCs w:val="28"/>
        </w:rPr>
        <w:t xml:space="preserve">С 19 апреля 2025 года по 25 мая 2025 года в 12-й раз прошла ежегодная социально значимая акция федерального масштаба – Всероссийский экологический субботник «Зеленая Весна».</w:t>
      </w:r>
      <w:r>
        <w:rPr>
          <w:rFonts w:ascii="Times New Roman" w:hAnsi="Times New Roman"/>
          <w:sz w:val="28"/>
          <w:szCs w:val="28"/>
        </w:rPr>
      </w:r>
      <w:r>
        <w:rPr>
          <w:rFonts w:ascii="Times New Roman" w:hAnsi="Times New Roman"/>
          <w:sz w:val="28"/>
          <w:szCs w:val="28"/>
        </w:rPr>
      </w:r>
    </w:p>
    <w:p>
      <w:pPr>
        <w:ind w:firstLine="709"/>
        <w:jc w:val="both"/>
        <w:spacing w:after="0"/>
        <w:rPr>
          <w:rFonts w:ascii="Times New Roman" w:hAnsi="Times New Roman"/>
          <w:sz w:val="28"/>
          <w:szCs w:val="28"/>
        </w:rPr>
      </w:pPr>
      <w:r>
        <w:rPr>
          <w:rFonts w:ascii="Times New Roman" w:hAnsi="Times New Roman"/>
          <w:sz w:val="28"/>
          <w:szCs w:val="28"/>
        </w:rPr>
        <w:t xml:space="preserve">Проект «Зеленая Весна» ежегодно привлекает к участию большое количество людей, является традиционным, массовым и ожидаемым для многих россиян, способствует развитию экологической культуры и бережному отношению к природе.</w:t>
      </w:r>
      <w:r>
        <w:rPr>
          <w:rFonts w:ascii="Times New Roman" w:hAnsi="Times New Roman"/>
          <w:sz w:val="28"/>
          <w:szCs w:val="28"/>
        </w:rPr>
      </w:r>
      <w:r>
        <w:rPr>
          <w:rFonts w:ascii="Times New Roman" w:hAnsi="Times New Roman"/>
          <w:sz w:val="28"/>
          <w:szCs w:val="28"/>
        </w:rPr>
      </w:r>
    </w:p>
    <w:p>
      <w:pPr>
        <w:ind w:firstLine="709"/>
        <w:jc w:val="both"/>
        <w:spacing w:after="0"/>
        <w:rPr>
          <w:rFonts w:ascii="Times New Roman" w:hAnsi="Times New Roman"/>
          <w:sz w:val="28"/>
          <w:szCs w:val="28"/>
        </w:rPr>
      </w:pPr>
      <w:r>
        <w:rPr>
          <w:rFonts w:ascii="Times New Roman" w:hAnsi="Times New Roman"/>
          <w:sz w:val="28"/>
          <w:szCs w:val="28"/>
        </w:rPr>
        <w:t xml:space="preserve">Силами Департамента были очищены от мусора места массового отдыха населения и особо охраняемые природные территории: «Парк культуры и отдыха имени Революции 1905 года», «Парк культуры и отдыха имени В. Я. Степанова», «Парк культуры и отдыха «</w:t>
      </w:r>
      <w:r>
        <w:rPr>
          <w:rFonts w:ascii="Times New Roman" w:hAnsi="Times New Roman"/>
          <w:sz w:val="28"/>
          <w:szCs w:val="28"/>
        </w:rPr>
        <w:t xml:space="preserve">Харинка</w:t>
      </w:r>
      <w:r>
        <w:rPr>
          <w:rFonts w:ascii="Times New Roman" w:hAnsi="Times New Roman"/>
          <w:sz w:val="28"/>
          <w:szCs w:val="28"/>
        </w:rPr>
        <w:t xml:space="preserve">».</w:t>
      </w:r>
      <w:r>
        <w:rPr>
          <w:rFonts w:ascii="Times New Roman" w:hAnsi="Times New Roman"/>
          <w:sz w:val="28"/>
          <w:szCs w:val="28"/>
        </w:rPr>
      </w:r>
      <w:r>
        <w:rPr>
          <w:rFonts w:ascii="Times New Roman" w:hAnsi="Times New Roman"/>
          <w:sz w:val="28"/>
          <w:szCs w:val="28"/>
        </w:rPr>
      </w:r>
    </w:p>
    <w:p>
      <w:pPr>
        <w:ind w:firstLine="709"/>
        <w:jc w:val="both"/>
        <w:spacing w:after="0"/>
        <w:rPr>
          <w:rFonts w:ascii="Times New Roman" w:hAnsi="Times New Roman"/>
          <w:sz w:val="28"/>
          <w:szCs w:val="28"/>
        </w:rPr>
      </w:pPr>
      <w:r>
        <w:rPr>
          <w:rFonts w:ascii="Times New Roman" w:hAnsi="Times New Roman"/>
          <w:sz w:val="28"/>
          <w:szCs w:val="28"/>
        </w:rPr>
        <w:t xml:space="preserve">По всему региону органами местного самоуправления и активными жителями в рамках проведения данного субботника были организованы уборки придомовых и школьных территорий, детски</w:t>
      </w:r>
      <w:r>
        <w:rPr>
          <w:rFonts w:ascii="Times New Roman" w:hAnsi="Times New Roman"/>
          <w:sz w:val="28"/>
          <w:szCs w:val="28"/>
        </w:rPr>
        <w:t xml:space="preserve">х площадок, памятников и обелисков, скверов и парков, общественных мест и зон отдыха. Были организованы сбор и вывоз мусора, благоустройство территорий, устройство цветников, высадка саженцев, подрезка кустарников сбор вторсырья для дальнейшей переработки.</w:t>
      </w:r>
      <w:r>
        <w:rPr>
          <w:rFonts w:ascii="Times New Roman" w:hAnsi="Times New Roman"/>
          <w:sz w:val="28"/>
          <w:szCs w:val="28"/>
        </w:rPr>
      </w:r>
      <w:r>
        <w:rPr>
          <w:rFonts w:ascii="Times New Roman" w:hAnsi="Times New Roman"/>
          <w:sz w:val="28"/>
          <w:szCs w:val="28"/>
        </w:rPr>
      </w:r>
    </w:p>
    <w:p>
      <w:pPr>
        <w:ind w:firstLine="709"/>
        <w:jc w:val="both"/>
        <w:spacing w:after="0"/>
        <w:rPr>
          <w:rFonts w:ascii="Times New Roman" w:hAnsi="Times New Roman"/>
          <w:sz w:val="28"/>
          <w:szCs w:val="28"/>
        </w:rPr>
      </w:pPr>
      <w:r>
        <w:rPr>
          <w:rFonts w:ascii="Times New Roman" w:hAnsi="Times New Roman"/>
          <w:sz w:val="28"/>
          <w:szCs w:val="28"/>
        </w:rPr>
        <w:t xml:space="preserve">В 2025 году в акции приняли участие 84 тысячи человек со всего региона.</w:t>
      </w:r>
      <w:r>
        <w:rPr>
          <w:rFonts w:ascii="Times New Roman" w:hAnsi="Times New Roman"/>
          <w:sz w:val="28"/>
          <w:szCs w:val="28"/>
        </w:rPr>
      </w:r>
      <w:r>
        <w:rPr>
          <w:rFonts w:ascii="Times New Roman" w:hAnsi="Times New Roman"/>
          <w:sz w:val="28"/>
          <w:szCs w:val="28"/>
        </w:rPr>
      </w:r>
    </w:p>
    <w:p>
      <w:pPr>
        <w:ind w:firstLine="709"/>
        <w:jc w:val="both"/>
        <w:spacing w:after="0"/>
        <w:rPr>
          <w:rFonts w:ascii="Times New Roman" w:hAnsi="Times New Roman"/>
          <w:sz w:val="28"/>
          <w:szCs w:val="28"/>
        </w:rPr>
      </w:pPr>
      <w:r>
        <w:rPr>
          <w:rFonts w:ascii="Times New Roman" w:hAnsi="Times New Roman"/>
          <w:sz w:val="28"/>
          <w:szCs w:val="28"/>
        </w:rPr>
        <w:t xml:space="preserve">Ивановская область является активным участником всероссийской акции «Вода России» и ежемесячно с апреля по октябрь в регионе проводятся мероприятия по уборке береговых линий водных объектов Ивановской области.</w:t>
      </w:r>
      <w:r>
        <w:rPr>
          <w:rFonts w:ascii="Times New Roman" w:hAnsi="Times New Roman"/>
          <w:sz w:val="28"/>
          <w:szCs w:val="28"/>
        </w:rPr>
      </w:r>
      <w:r>
        <w:rPr>
          <w:rFonts w:ascii="Times New Roman" w:hAnsi="Times New Roman"/>
          <w:sz w:val="28"/>
          <w:szCs w:val="28"/>
        </w:rPr>
      </w:r>
    </w:p>
    <w:p>
      <w:pPr>
        <w:ind w:firstLine="709"/>
        <w:jc w:val="both"/>
        <w:spacing w:after="0"/>
        <w:rPr>
          <w:rFonts w:ascii="Times New Roman" w:hAnsi="Times New Roman"/>
          <w:sz w:val="28"/>
          <w:szCs w:val="28"/>
        </w:rPr>
      </w:pPr>
      <w:r>
        <w:rPr>
          <w:rFonts w:ascii="Times New Roman" w:hAnsi="Times New Roman"/>
          <w:sz w:val="28"/>
          <w:szCs w:val="28"/>
        </w:rPr>
        <w:t xml:space="preserve">В мероприятиях принимают участие муниципальные образования Ивановской области, образовательные учреждения, отдельные организации, волонтерские объединения и </w:t>
      </w:r>
      <w:r>
        <w:rPr>
          <w:rFonts w:ascii="Times New Roman" w:hAnsi="Times New Roman"/>
          <w:sz w:val="28"/>
          <w:szCs w:val="28"/>
        </w:rPr>
        <w:t xml:space="preserve">экоактивисты</w:t>
      </w:r>
      <w:r>
        <w:rPr>
          <w:rFonts w:ascii="Times New Roman" w:hAnsi="Times New Roman"/>
          <w:sz w:val="28"/>
          <w:szCs w:val="28"/>
        </w:rPr>
        <w:t xml:space="preserve">.</w:t>
      </w:r>
      <w:r>
        <w:rPr>
          <w:rFonts w:ascii="Times New Roman" w:hAnsi="Times New Roman"/>
          <w:sz w:val="28"/>
          <w:szCs w:val="28"/>
        </w:rPr>
      </w:r>
      <w:r>
        <w:rPr>
          <w:rFonts w:ascii="Times New Roman" w:hAnsi="Times New Roman"/>
          <w:sz w:val="28"/>
          <w:szCs w:val="28"/>
        </w:rPr>
      </w:r>
    </w:p>
    <w:p>
      <w:pPr>
        <w:ind w:firstLine="709"/>
        <w:jc w:val="both"/>
        <w:spacing w:after="0"/>
        <w:rPr>
          <w:rFonts w:ascii="Times New Roman" w:hAnsi="Times New Roman"/>
          <w:sz w:val="28"/>
          <w:szCs w:val="28"/>
        </w:rPr>
      </w:pPr>
      <w:r>
        <w:rPr>
          <w:rFonts w:ascii="Times New Roman" w:hAnsi="Times New Roman"/>
          <w:sz w:val="28"/>
          <w:szCs w:val="28"/>
        </w:rPr>
        <w:t xml:space="preserve">За прош</w:t>
      </w:r>
      <w:r>
        <w:rPr>
          <w:rFonts w:ascii="Times New Roman" w:hAnsi="Times New Roman"/>
          <w:sz w:val="28"/>
          <w:szCs w:val="28"/>
        </w:rPr>
        <w:t xml:space="preserve">едший период в акции приняли участие 2 тыс. человек. Было очищено от мусора 70 км береговых линий 50 водных объектов, в том числе и особо охраняемых природных территорий. В общей сложности участниками акции было собрано и вывезено более 600 куб. м. мусора.</w:t>
      </w:r>
      <w:r>
        <w:rPr>
          <w:rFonts w:ascii="Times New Roman" w:hAnsi="Times New Roman"/>
          <w:sz w:val="28"/>
          <w:szCs w:val="28"/>
        </w:rPr>
      </w:r>
      <w:r>
        <w:rPr>
          <w:rFonts w:ascii="Times New Roman" w:hAnsi="Times New Roman"/>
          <w:sz w:val="28"/>
          <w:szCs w:val="28"/>
        </w:rPr>
      </w:r>
    </w:p>
    <w:p>
      <w:pPr>
        <w:ind w:firstLine="709"/>
        <w:jc w:val="both"/>
        <w:spacing w:after="0"/>
        <w:rPr>
          <w:rFonts w:ascii="Times New Roman" w:hAnsi="Times New Roman"/>
          <w:sz w:val="28"/>
          <w:szCs w:val="28"/>
        </w:rPr>
      </w:pPr>
      <w:r>
        <w:rPr>
          <w:rFonts w:ascii="Times New Roman" w:hAnsi="Times New Roman"/>
          <w:sz w:val="28"/>
          <w:szCs w:val="28"/>
        </w:rPr>
        <w:t xml:space="preserve">С 6 по 27 сентября 2025 года в 14-й раз прошла ежегодная Всероссийская акция «Зеленая Россия».</w:t>
      </w:r>
      <w:r>
        <w:rPr>
          <w:rFonts w:ascii="Times New Roman" w:hAnsi="Times New Roman"/>
          <w:sz w:val="28"/>
          <w:szCs w:val="28"/>
        </w:rPr>
      </w:r>
      <w:r>
        <w:rPr>
          <w:rFonts w:ascii="Times New Roman" w:hAnsi="Times New Roman"/>
          <w:sz w:val="28"/>
          <w:szCs w:val="28"/>
        </w:rPr>
      </w:r>
    </w:p>
    <w:p>
      <w:pPr>
        <w:ind w:firstLine="709"/>
        <w:jc w:val="both"/>
        <w:spacing w:after="0"/>
        <w:rPr>
          <w:rFonts w:ascii="Times New Roman" w:hAnsi="Times New Roman"/>
          <w:sz w:val="28"/>
          <w:szCs w:val="28"/>
        </w:rPr>
      </w:pPr>
      <w:r>
        <w:rPr>
          <w:rFonts w:ascii="Times New Roman" w:hAnsi="Times New Roman"/>
          <w:sz w:val="28"/>
          <w:szCs w:val="28"/>
        </w:rPr>
        <w:t xml:space="preserve">Главными площадками стали особо охраняемые природные территории – памятники природы: «Парк культуры и отдыха «</w:t>
      </w:r>
      <w:r>
        <w:rPr>
          <w:rFonts w:ascii="Times New Roman" w:hAnsi="Times New Roman"/>
          <w:sz w:val="28"/>
          <w:szCs w:val="28"/>
        </w:rPr>
        <w:t xml:space="preserve">Харинка</w:t>
      </w:r>
      <w:r>
        <w:rPr>
          <w:rFonts w:ascii="Times New Roman" w:hAnsi="Times New Roman"/>
          <w:sz w:val="28"/>
          <w:szCs w:val="28"/>
        </w:rPr>
        <w:t xml:space="preserve">», «Парк культуры и отдыха имени Революции 1905 года», «Парк культуры и отдыха имени В.Я. Степанова», «Аллея крупнолистной липы на улице Фролова (Бульвар по улице Фролова, </w:t>
      </w:r>
      <w:r>
        <w:rPr>
          <w:rFonts w:ascii="Times New Roman" w:hAnsi="Times New Roman"/>
          <w:sz w:val="28"/>
          <w:szCs w:val="28"/>
        </w:rPr>
        <w:t xml:space="preserve">Гарелинский</w:t>
      </w:r>
      <w:r>
        <w:rPr>
          <w:rFonts w:ascii="Times New Roman" w:hAnsi="Times New Roman"/>
          <w:sz w:val="28"/>
          <w:szCs w:val="28"/>
        </w:rPr>
        <w:t xml:space="preserve"> бульвар)».</w:t>
      </w:r>
      <w:r>
        <w:rPr>
          <w:rFonts w:ascii="Times New Roman" w:hAnsi="Times New Roman"/>
          <w:sz w:val="28"/>
          <w:szCs w:val="28"/>
        </w:rPr>
      </w:r>
      <w:r>
        <w:rPr>
          <w:rFonts w:ascii="Times New Roman" w:hAnsi="Times New Roman"/>
          <w:sz w:val="28"/>
          <w:szCs w:val="28"/>
        </w:rPr>
      </w:r>
    </w:p>
    <w:p>
      <w:pPr>
        <w:ind w:firstLine="709"/>
        <w:jc w:val="both"/>
        <w:spacing w:after="0"/>
        <w:rPr>
          <w:rFonts w:ascii="Times New Roman" w:hAnsi="Times New Roman"/>
          <w:sz w:val="28"/>
          <w:szCs w:val="28"/>
        </w:rPr>
      </w:pPr>
      <w:r>
        <w:rPr>
          <w:rFonts w:ascii="Times New Roman" w:hAnsi="Times New Roman"/>
          <w:sz w:val="28"/>
          <w:szCs w:val="28"/>
        </w:rPr>
        <w:t xml:space="preserve">В ходе акции убраны придомовые и пришкольные территории, места отдыха населения, парки и скверы, памятники и обелиски, особо охраняемые территории регионального и местного значений, водные объекты. Было организованно </w:t>
      </w:r>
      <w:r>
        <w:rPr>
          <w:rFonts w:ascii="Times New Roman" w:hAnsi="Times New Roman"/>
          <w:sz w:val="28"/>
          <w:szCs w:val="28"/>
        </w:rPr>
        <w:t xml:space="preserve">кронирование</w:t>
      </w:r>
      <w:r>
        <w:rPr>
          <w:rFonts w:ascii="Times New Roman" w:hAnsi="Times New Roman"/>
          <w:sz w:val="28"/>
          <w:szCs w:val="28"/>
        </w:rPr>
        <w:t xml:space="preserve"> и спил деревьев и кустарников, </w:t>
      </w:r>
      <w:r>
        <w:rPr>
          <w:rFonts w:ascii="Times New Roman" w:hAnsi="Times New Roman"/>
          <w:sz w:val="28"/>
          <w:szCs w:val="28"/>
        </w:rPr>
        <w:t xml:space="preserve">окашивание</w:t>
      </w:r>
      <w:r>
        <w:rPr>
          <w:rFonts w:ascii="Times New Roman" w:hAnsi="Times New Roman"/>
          <w:sz w:val="28"/>
          <w:szCs w:val="28"/>
        </w:rPr>
        <w:t xml:space="preserve">, сбор и вывоз мусора, высадка цветов и деревьев.</w:t>
      </w:r>
      <w:r>
        <w:rPr>
          <w:rFonts w:ascii="Times New Roman" w:hAnsi="Times New Roman"/>
          <w:sz w:val="28"/>
          <w:szCs w:val="28"/>
        </w:rPr>
      </w:r>
      <w:r>
        <w:rPr>
          <w:rFonts w:ascii="Times New Roman" w:hAnsi="Times New Roman"/>
          <w:sz w:val="28"/>
          <w:szCs w:val="28"/>
        </w:rPr>
      </w:r>
    </w:p>
    <w:p>
      <w:pPr>
        <w:ind w:firstLine="709"/>
        <w:jc w:val="both"/>
        <w:spacing w:after="0"/>
        <w:rPr>
          <w:rFonts w:ascii="Times New Roman" w:hAnsi="Times New Roman"/>
          <w:sz w:val="28"/>
          <w:szCs w:val="28"/>
        </w:rPr>
      </w:pPr>
      <w:r>
        <w:rPr>
          <w:rFonts w:ascii="Times New Roman" w:hAnsi="Times New Roman"/>
          <w:sz w:val="28"/>
          <w:szCs w:val="28"/>
        </w:rPr>
        <w:t xml:space="preserve">В акции по всей области приняли участие 11 413 человек.</w:t>
      </w:r>
      <w:r>
        <w:rPr>
          <w:rFonts w:ascii="Times New Roman" w:hAnsi="Times New Roman"/>
          <w:sz w:val="28"/>
          <w:szCs w:val="28"/>
        </w:rPr>
      </w:r>
      <w:r>
        <w:rPr>
          <w:rFonts w:ascii="Times New Roman" w:hAnsi="Times New Roman"/>
          <w:sz w:val="28"/>
          <w:szCs w:val="28"/>
        </w:rPr>
      </w:r>
    </w:p>
    <w:p>
      <w:pPr>
        <w:ind w:firstLine="709"/>
        <w:jc w:val="both"/>
        <w:spacing w:after="0"/>
        <w:rPr>
          <w:rFonts w:ascii="Times New Roman" w:hAnsi="Times New Roman"/>
          <w:sz w:val="28"/>
          <w:szCs w:val="28"/>
        </w:rPr>
      </w:pPr>
      <w:r>
        <w:rPr>
          <w:rFonts w:ascii="Times New Roman" w:hAnsi="Times New Roman"/>
          <w:sz w:val="28"/>
          <w:szCs w:val="28"/>
        </w:rPr>
        <w:t xml:space="preserve">«Лес победы» – проект, направленный на сохранение памяти о павших в борьбе с фашизмом в Великой Отечественной войне, заботу о ветеранах </w:t>
      </w:r>
      <w:r>
        <w:rPr>
          <w:rFonts w:ascii="Times New Roman" w:hAnsi="Times New Roman"/>
          <w:sz w:val="28"/>
          <w:szCs w:val="28"/>
        </w:rPr>
        <w:t xml:space="preserve">войны, объединение гражданского общества, пропаганду патриотизма, бережное отношение к природе и массовое </w:t>
      </w:r>
      <w:r>
        <w:rPr>
          <w:rFonts w:ascii="Times New Roman" w:hAnsi="Times New Roman"/>
          <w:sz w:val="28"/>
          <w:szCs w:val="28"/>
        </w:rPr>
        <w:t xml:space="preserve">лесовосстановление</w:t>
      </w:r>
      <w:r>
        <w:rPr>
          <w:rFonts w:ascii="Times New Roman" w:hAnsi="Times New Roman"/>
          <w:sz w:val="28"/>
          <w:szCs w:val="28"/>
        </w:rPr>
        <w:t xml:space="preserve">.</w:t>
      </w:r>
      <w:r>
        <w:rPr>
          <w:rFonts w:ascii="Times New Roman" w:hAnsi="Times New Roman"/>
          <w:sz w:val="28"/>
          <w:szCs w:val="28"/>
        </w:rPr>
      </w:r>
      <w:r>
        <w:rPr>
          <w:rFonts w:ascii="Times New Roman" w:hAnsi="Times New Roman"/>
          <w:sz w:val="28"/>
          <w:szCs w:val="28"/>
        </w:rPr>
      </w:r>
    </w:p>
    <w:p>
      <w:pPr>
        <w:ind w:firstLine="709"/>
        <w:jc w:val="both"/>
        <w:spacing w:after="0"/>
        <w:rPr>
          <w:rFonts w:ascii="Times New Roman" w:hAnsi="Times New Roman"/>
          <w:sz w:val="28"/>
          <w:szCs w:val="28"/>
        </w:rPr>
      </w:pPr>
      <w:r>
        <w:rPr>
          <w:rFonts w:ascii="Times New Roman" w:hAnsi="Times New Roman"/>
          <w:sz w:val="28"/>
          <w:szCs w:val="28"/>
        </w:rPr>
        <w:t xml:space="preserve">Весной, в рамках акции, Департамент совместно с Комитетом Ивановской области по лесному хозяйству высадили 50 саженцев сосны обыкновенной на территории Ивановского лесничества в микрорайоне  </w:t>
      </w:r>
      <w:r>
        <w:rPr>
          <w:rFonts w:ascii="Times New Roman" w:hAnsi="Times New Roman"/>
          <w:sz w:val="28"/>
          <w:szCs w:val="28"/>
        </w:rPr>
        <w:t xml:space="preserve">Сухово-Дерябинский</w:t>
      </w:r>
      <w:r>
        <w:rPr>
          <w:rFonts w:ascii="Times New Roman" w:hAnsi="Times New Roman"/>
          <w:sz w:val="28"/>
          <w:szCs w:val="28"/>
        </w:rPr>
        <w:t xml:space="preserve">.</w:t>
      </w:r>
      <w:r>
        <w:rPr>
          <w:rFonts w:ascii="Times New Roman" w:hAnsi="Times New Roman"/>
          <w:sz w:val="28"/>
          <w:szCs w:val="28"/>
        </w:rPr>
      </w:r>
      <w:r>
        <w:rPr>
          <w:rFonts w:ascii="Times New Roman" w:hAnsi="Times New Roman"/>
          <w:sz w:val="28"/>
          <w:szCs w:val="28"/>
        </w:rPr>
      </w:r>
    </w:p>
    <w:p>
      <w:pPr>
        <w:ind w:firstLine="709"/>
        <w:jc w:val="both"/>
        <w:spacing w:after="0"/>
        <w:rPr>
          <w:rFonts w:ascii="Times New Roman" w:hAnsi="Times New Roman"/>
          <w:sz w:val="28"/>
          <w:szCs w:val="28"/>
        </w:rPr>
      </w:pPr>
      <w:r>
        <w:rPr>
          <w:rFonts w:ascii="Times New Roman" w:hAnsi="Times New Roman"/>
          <w:sz w:val="28"/>
          <w:szCs w:val="28"/>
        </w:rPr>
        <w:t xml:space="preserve">11 сентября, в рамках поддержки особо охраняемых природных территорий региона в надлежащем состоянии, в проекте приняли участие </w:t>
      </w:r>
      <w:r>
        <w:rPr>
          <w:rFonts w:ascii="Times New Roman" w:hAnsi="Times New Roman"/>
          <w:sz w:val="28"/>
          <w:szCs w:val="28"/>
        </w:rPr>
        <w:t xml:space="preserve">более 60 человек: Департамент совместно с Комитетом Ивановской области по лесному хозяйству, высадили 30 саженцев сосны обыкновенной на территории особо охраняемой природной территории – памятник природы «Парк культуры и отдыха имени Революции 1905 года». </w:t>
      </w:r>
      <w:r>
        <w:rPr>
          <w:rFonts w:ascii="Times New Roman" w:hAnsi="Times New Roman"/>
          <w:sz w:val="28"/>
          <w:szCs w:val="28"/>
        </w:rPr>
      </w:r>
      <w:r>
        <w:rPr>
          <w:rFonts w:ascii="Times New Roman" w:hAnsi="Times New Roman"/>
          <w:sz w:val="28"/>
          <w:szCs w:val="28"/>
        </w:rPr>
      </w:r>
    </w:p>
    <w:p>
      <w:pPr>
        <w:ind w:firstLine="709"/>
        <w:jc w:val="both"/>
        <w:spacing w:after="0"/>
        <w:rPr>
          <w:rFonts w:ascii="Times New Roman" w:hAnsi="Times New Roman"/>
          <w:sz w:val="28"/>
          <w:szCs w:val="28"/>
        </w:rPr>
      </w:pPr>
      <w:r>
        <w:rPr>
          <w:rFonts w:ascii="Times New Roman" w:hAnsi="Times New Roman"/>
          <w:sz w:val="28"/>
          <w:szCs w:val="28"/>
        </w:rPr>
        <w:t xml:space="preserve">Поддержа</w:t>
      </w:r>
      <w:r>
        <w:rPr>
          <w:rFonts w:ascii="Times New Roman" w:hAnsi="Times New Roman"/>
          <w:sz w:val="28"/>
          <w:szCs w:val="28"/>
        </w:rPr>
        <w:t xml:space="preserve">ние памятников природы в надлежащем состоянии является важной составляющей укрепления экологической ситуации в Ивановском регионе, развития экологической культуры и популяризации бережного отношения к природе, а также придает ухоженный облик нашему городу.</w:t>
      </w:r>
      <w:r>
        <w:rPr>
          <w:rFonts w:ascii="Times New Roman" w:hAnsi="Times New Roman"/>
          <w:sz w:val="28"/>
          <w:szCs w:val="28"/>
        </w:rPr>
      </w:r>
      <w:r>
        <w:rPr>
          <w:rFonts w:ascii="Times New Roman" w:hAnsi="Times New Roman"/>
          <w:sz w:val="28"/>
          <w:szCs w:val="28"/>
        </w:rPr>
      </w:r>
    </w:p>
    <w:p>
      <w:pPr>
        <w:ind w:firstLine="708"/>
        <w:spacing w:after="0"/>
        <w:rPr>
          <w:rFonts w:ascii="Times New Roman" w:hAnsi="Times New Roman"/>
          <w:b/>
          <w:sz w:val="28"/>
          <w:szCs w:val="28"/>
        </w:rPr>
      </w:pPr>
      <w:r>
        <w:rPr>
          <w:rFonts w:ascii="Times New Roman" w:hAnsi="Times New Roman"/>
          <w:b/>
          <w:sz w:val="28"/>
          <w:szCs w:val="28"/>
        </w:rPr>
        <w:t xml:space="preserve">6. Контрольно-надзорная деятельность.</w:t>
      </w:r>
      <w:r>
        <w:rPr>
          <w:rFonts w:ascii="Times New Roman" w:hAnsi="Times New Roman"/>
          <w:b/>
          <w:sz w:val="28"/>
          <w:szCs w:val="28"/>
        </w:rPr>
      </w:r>
      <w:r>
        <w:rPr>
          <w:rFonts w:ascii="Times New Roman" w:hAnsi="Times New Roman"/>
          <w:b/>
          <w:sz w:val="28"/>
          <w:szCs w:val="28"/>
        </w:rPr>
      </w:r>
    </w:p>
    <w:p>
      <w:pPr>
        <w:ind w:right="1" w:firstLine="709"/>
        <w:jc w:val="both"/>
        <w:spacing w:after="0"/>
        <w:rPr>
          <w:rFonts w:ascii="Times New Roman" w:hAnsi="Times New Roman"/>
          <w:sz w:val="28"/>
          <w:szCs w:val="28"/>
        </w:rPr>
      </w:pPr>
      <w:r>
        <w:rPr>
          <w:rFonts w:ascii="Times New Roman" w:hAnsi="Times New Roman" w:eastAsia="Times New Roman"/>
          <w:sz w:val="28"/>
          <w:szCs w:val="28"/>
        </w:rPr>
        <w:t xml:space="preserve">В 2025 году Департамент в рамках регионального государственного экологического контроля (надзора), регионального государственного геологического контроля (надзора), регионального государственного контроля (надзора) в области охраны и </w:t>
      </w:r>
      <w:r>
        <w:rPr>
          <w:rFonts w:ascii="Times New Roman" w:hAnsi="Times New Roman" w:eastAsia="Times New Roman"/>
          <w:sz w:val="28"/>
          <w:szCs w:val="28"/>
        </w:rPr>
        <w:t xml:space="preserve">использования</w:t>
      </w:r>
      <w:r>
        <w:rPr>
          <w:rFonts w:ascii="Times New Roman" w:hAnsi="Times New Roman" w:eastAsia="Times New Roman"/>
          <w:sz w:val="28"/>
          <w:szCs w:val="28"/>
        </w:rPr>
        <w:t xml:space="preserve"> особо охраняемых природных территорий продолжил работу по контролю соблюдения конституционных прав граждан.</w:t>
      </w:r>
      <w:r>
        <w:rPr>
          <w:rFonts w:ascii="Times New Roman" w:hAnsi="Times New Roman"/>
          <w:sz w:val="28"/>
          <w:szCs w:val="28"/>
        </w:rPr>
      </w:r>
      <w:r>
        <w:rPr>
          <w:rFonts w:ascii="Times New Roman" w:hAnsi="Times New Roman"/>
          <w:sz w:val="28"/>
          <w:szCs w:val="28"/>
        </w:rPr>
      </w:r>
    </w:p>
    <w:p>
      <w:pPr>
        <w:ind w:right="1" w:firstLine="709"/>
        <w:jc w:val="both"/>
        <w:spacing w:after="0"/>
        <w:rPr>
          <w:rFonts w:ascii="Times New Roman" w:hAnsi="Times New Roman"/>
          <w:sz w:val="28"/>
          <w:szCs w:val="28"/>
        </w:rPr>
      </w:pPr>
      <w:r>
        <w:rPr>
          <w:rFonts w:ascii="Times New Roman" w:hAnsi="Times New Roman" w:eastAsia="Times New Roman"/>
          <w:sz w:val="28"/>
          <w:szCs w:val="28"/>
        </w:rPr>
        <w:t xml:space="preserve">Основными конституционными правами граждан в сфере экологии являются предусмотренные статьей 42 Конституции Российской Федерации права, согласно которым каждый имеет право на благоприятную окружающую среду, досто</w:t>
      </w:r>
      <w:r>
        <w:rPr>
          <w:rFonts w:ascii="Times New Roman" w:hAnsi="Times New Roman" w:eastAsia="Times New Roman"/>
          <w:sz w:val="28"/>
          <w:szCs w:val="28"/>
        </w:rPr>
        <w:t xml:space="preserve">верную информацию о ее состоянии и на возмещение ущерба, причиненного его здоровью или имуществу экологическим правонарушением. Реализация основных направлений деятельности Департамента является гарантом соблюдения в регионе указанных конституционных прав.</w:t>
      </w:r>
      <w:r>
        <w:rPr>
          <w:rFonts w:ascii="Times New Roman" w:hAnsi="Times New Roman"/>
          <w:sz w:val="28"/>
          <w:szCs w:val="28"/>
        </w:rPr>
      </w:r>
      <w:r>
        <w:rPr>
          <w:rFonts w:ascii="Times New Roman" w:hAnsi="Times New Roman"/>
          <w:sz w:val="28"/>
          <w:szCs w:val="28"/>
        </w:rPr>
      </w:r>
    </w:p>
    <w:p>
      <w:pPr>
        <w:ind w:right="1" w:firstLine="709"/>
        <w:jc w:val="both"/>
        <w:spacing w:after="0"/>
        <w:rPr>
          <w:rFonts w:ascii="Times New Roman" w:hAnsi="Times New Roman"/>
          <w:sz w:val="28"/>
          <w:szCs w:val="28"/>
        </w:rPr>
      </w:pPr>
      <w:r>
        <w:rPr>
          <w:rFonts w:ascii="Times New Roman" w:hAnsi="Times New Roman" w:eastAsia="Times New Roman"/>
          <w:sz w:val="28"/>
          <w:szCs w:val="28"/>
        </w:rPr>
        <w:t xml:space="preserve">В 2025 году в рамках осуществляемого контроля (надзора) было рассмотрено 215 обращений и жалоб, проведена 1  внеплановая выездная проверка, рассмотрено 47 материалов, возбужденных иными органа</w:t>
      </w:r>
      <w:r>
        <w:rPr>
          <w:rFonts w:ascii="Times New Roman" w:hAnsi="Times New Roman" w:eastAsia="Times New Roman"/>
          <w:sz w:val="28"/>
          <w:szCs w:val="28"/>
        </w:rPr>
        <w:t xml:space="preserve">ми. Отделом вынесено 28 постановлений о назначении административных наказаний. Наложено административных штрафов по постановлениям в сумме 346 000 рублей. Контролируемым лицам объявлено 82 предостережения о недопустимости нарушения обязательных требований.</w:t>
      </w:r>
      <w:r>
        <w:rPr>
          <w:rFonts w:ascii="Times New Roman" w:hAnsi="Times New Roman"/>
          <w:sz w:val="28"/>
          <w:szCs w:val="28"/>
        </w:rPr>
      </w:r>
      <w:r>
        <w:rPr>
          <w:rFonts w:ascii="Times New Roman" w:hAnsi="Times New Roman"/>
          <w:sz w:val="28"/>
          <w:szCs w:val="28"/>
        </w:rPr>
      </w:r>
    </w:p>
    <w:p>
      <w:pPr>
        <w:ind w:right="1" w:firstLine="709"/>
        <w:jc w:val="both"/>
        <w:spacing w:after="0"/>
        <w:rPr>
          <w:rFonts w:ascii="Times New Roman" w:hAnsi="Times New Roman"/>
          <w:color w:val="000000"/>
          <w:sz w:val="28"/>
          <w:szCs w:val="28"/>
          <w:highlight w:val="white"/>
        </w:rPr>
      </w:pPr>
      <w:r>
        <w:rPr>
          <w:rFonts w:ascii="Times New Roman" w:hAnsi="Times New Roman" w:eastAsia="Times New Roman"/>
          <w:color w:val="000000"/>
          <w:sz w:val="28"/>
          <w:szCs w:val="28"/>
          <w:highlight w:val="white"/>
        </w:rPr>
        <w:t xml:space="preserve">Сотрудничество с органами власти и общественностью по вопросам реализации и восстановления нарушенных прав человека позволяют не только внимательно выслушать заявителей, но и определить алгоритм совместных действий по решению озвученных проблем.</w:t>
      </w:r>
      <w:r>
        <w:rPr>
          <w:rFonts w:ascii="Times New Roman" w:hAnsi="Times New Roman"/>
          <w:color w:val="000000"/>
          <w:sz w:val="28"/>
          <w:szCs w:val="28"/>
          <w:highlight w:val="white"/>
        </w:rPr>
      </w:r>
      <w:r>
        <w:rPr>
          <w:rFonts w:ascii="Times New Roman" w:hAnsi="Times New Roman"/>
          <w:color w:val="000000"/>
          <w:sz w:val="28"/>
          <w:szCs w:val="28"/>
          <w:highlight w:val="white"/>
        </w:rPr>
      </w:r>
    </w:p>
    <w:p>
      <w:pPr>
        <w:ind w:right="1" w:firstLine="709"/>
        <w:jc w:val="both"/>
        <w:spacing w:after="0"/>
        <w:rPr>
          <w:rFonts w:ascii="Times New Roman" w:hAnsi="Times New Roman"/>
          <w:color w:val="000000"/>
          <w:sz w:val="28"/>
          <w:szCs w:val="28"/>
          <w:highlight w:val="white"/>
        </w:rPr>
      </w:pPr>
      <w:r>
        <w:rPr>
          <w:rFonts w:ascii="Times New Roman" w:hAnsi="Times New Roman" w:eastAsia="Times New Roman"/>
          <w:color w:val="000000"/>
          <w:sz w:val="28"/>
          <w:szCs w:val="28"/>
          <w:highlight w:val="white"/>
        </w:rPr>
        <w:t xml:space="preserve">Так, в 2025 году состоялся прием граждан, проведенный Уполномоченным совместно с Ивановским межрайонным природоохранным прокурором  и членом регионального правительства - директором Департамента природных ресурсов и экологии Ивановской области.</w:t>
      </w:r>
      <w:r>
        <w:rPr>
          <w:rFonts w:ascii="Times New Roman" w:hAnsi="Times New Roman"/>
          <w:color w:val="000000"/>
          <w:sz w:val="28"/>
          <w:szCs w:val="28"/>
          <w:highlight w:val="white"/>
        </w:rPr>
      </w:r>
      <w:r>
        <w:rPr>
          <w:rFonts w:ascii="Times New Roman" w:hAnsi="Times New Roman"/>
          <w:color w:val="000000"/>
          <w:sz w:val="28"/>
          <w:szCs w:val="28"/>
          <w:highlight w:val="white"/>
        </w:rPr>
      </w:r>
    </w:p>
    <w:p>
      <w:pPr>
        <w:ind w:right="1" w:firstLine="709"/>
        <w:jc w:val="both"/>
        <w:spacing w:after="0"/>
        <w:rPr>
          <w:rFonts w:ascii="Times New Roman" w:hAnsi="Times New Roman" w:eastAsia="Times New Roman"/>
          <w:color w:val="000000"/>
          <w:sz w:val="28"/>
          <w:szCs w:val="28"/>
          <w:highlight w:val="white"/>
        </w:rPr>
      </w:pPr>
      <w:r>
        <w:rPr>
          <w:rFonts w:ascii="Times New Roman" w:hAnsi="Times New Roman" w:eastAsia="Times New Roman"/>
          <w:color w:val="000000"/>
          <w:sz w:val="28"/>
          <w:szCs w:val="28"/>
          <w:highlight w:val="white"/>
        </w:rPr>
        <w:t xml:space="preserve"> В ходе приема обратившиеся получили подробные юридические консультации по вопросам:</w:t>
      </w:r>
      <w:r>
        <w:rPr>
          <w:rFonts w:ascii="Times New Roman" w:hAnsi="Times New Roman" w:eastAsia="Times New Roman"/>
          <w:color w:val="000000"/>
          <w:sz w:val="28"/>
          <w:szCs w:val="28"/>
          <w:highlight w:val="white"/>
        </w:rPr>
        <w:tab/>
      </w:r>
      <w:r>
        <w:rPr>
          <w:rFonts w:ascii="Times New Roman" w:hAnsi="Times New Roman" w:eastAsia="Times New Roman"/>
          <w:color w:val="000000"/>
          <w:sz w:val="28"/>
          <w:szCs w:val="28"/>
          <w:highlight w:val="white"/>
        </w:rPr>
      </w:r>
      <w:r>
        <w:rPr>
          <w:rFonts w:ascii="Times New Roman" w:hAnsi="Times New Roman" w:eastAsia="Times New Roman"/>
          <w:color w:val="000000"/>
          <w:sz w:val="28"/>
          <w:szCs w:val="28"/>
          <w:highlight w:val="white"/>
        </w:rPr>
      </w:r>
    </w:p>
    <w:p>
      <w:pPr>
        <w:pStyle w:val="1227"/>
        <w:numPr>
          <w:ilvl w:val="0"/>
          <w:numId w:val="155"/>
        </w:numPr>
        <w:ind w:left="0" w:right="1" w:firstLine="709"/>
        <w:jc w:val="both"/>
        <w:spacing w:line="276" w:lineRule="auto"/>
        <w:rPr>
          <w:rFonts w:ascii="Times New Roman" w:hAnsi="Times New Roman" w:eastAsia="Times New Roman"/>
          <w:color w:val="000000"/>
          <w:sz w:val="28"/>
          <w:szCs w:val="28"/>
          <w:highlight w:val="white"/>
          <w:lang w:val="ru-RU"/>
        </w:rPr>
      </w:pPr>
      <w:r>
        <w:rPr>
          <w:rFonts w:ascii="Times New Roman" w:hAnsi="Times New Roman" w:eastAsia="Times New Roman"/>
          <w:color w:val="000000"/>
          <w:sz w:val="28"/>
          <w:szCs w:val="28"/>
          <w:highlight w:val="white"/>
          <w:lang w:val="ru-RU"/>
        </w:rPr>
        <w:t xml:space="preserve">качества атмосферного воздуха и воды в городе Родники;</w:t>
      </w:r>
      <w:r>
        <w:rPr>
          <w:rFonts w:ascii="Times New Roman" w:hAnsi="Times New Roman" w:eastAsia="Times New Roman"/>
          <w:color w:val="000000"/>
          <w:sz w:val="28"/>
          <w:szCs w:val="28"/>
          <w:highlight w:val="white"/>
          <w:lang w:val="ru-RU"/>
        </w:rPr>
        <w:tab/>
      </w:r>
      <w:r>
        <w:rPr>
          <w:rFonts w:ascii="Times New Roman" w:hAnsi="Times New Roman" w:eastAsia="Times New Roman"/>
          <w:color w:val="000000"/>
          <w:sz w:val="28"/>
          <w:szCs w:val="28"/>
          <w:highlight w:val="white"/>
          <w:lang w:val="ru-RU"/>
        </w:rPr>
      </w:r>
      <w:r>
        <w:rPr>
          <w:rFonts w:ascii="Times New Roman" w:hAnsi="Times New Roman" w:eastAsia="Times New Roman"/>
          <w:color w:val="000000"/>
          <w:sz w:val="28"/>
          <w:szCs w:val="28"/>
          <w:highlight w:val="white"/>
          <w:lang w:val="ru-RU"/>
        </w:rPr>
      </w:r>
    </w:p>
    <w:p>
      <w:pPr>
        <w:pStyle w:val="1227"/>
        <w:numPr>
          <w:ilvl w:val="0"/>
          <w:numId w:val="155"/>
        </w:numPr>
        <w:ind w:left="0" w:right="1" w:firstLine="709"/>
        <w:jc w:val="both"/>
        <w:spacing w:line="276" w:lineRule="auto"/>
        <w:rPr>
          <w:rFonts w:ascii="Times New Roman" w:hAnsi="Times New Roman" w:eastAsia="Times New Roman"/>
          <w:color w:val="000000"/>
          <w:sz w:val="28"/>
          <w:szCs w:val="28"/>
          <w:highlight w:val="white"/>
          <w:lang w:val="ru-RU"/>
        </w:rPr>
      </w:pPr>
      <w:r>
        <w:rPr>
          <w:rFonts w:ascii="Times New Roman" w:hAnsi="Times New Roman" w:eastAsia="Times New Roman"/>
          <w:color w:val="000000"/>
          <w:sz w:val="28"/>
          <w:szCs w:val="28"/>
          <w:highlight w:val="white"/>
          <w:lang w:val="ru-RU"/>
        </w:rPr>
        <w:t xml:space="preserve">воздействия выхлопных газов от автотранспортных средств, размещенных на парковке в городе Иваново;</w:t>
      </w:r>
      <w:r>
        <w:rPr>
          <w:rFonts w:ascii="Times New Roman" w:hAnsi="Times New Roman" w:eastAsia="Times New Roman"/>
          <w:color w:val="000000"/>
          <w:sz w:val="28"/>
          <w:szCs w:val="28"/>
          <w:highlight w:val="white"/>
          <w:lang w:val="ru-RU"/>
        </w:rPr>
        <w:tab/>
      </w:r>
      <w:r>
        <w:rPr>
          <w:rFonts w:ascii="Times New Roman" w:hAnsi="Times New Roman" w:eastAsia="Times New Roman"/>
          <w:color w:val="000000"/>
          <w:sz w:val="28"/>
          <w:szCs w:val="28"/>
          <w:highlight w:val="white"/>
          <w:lang w:val="ru-RU"/>
        </w:rPr>
      </w:r>
      <w:r>
        <w:rPr>
          <w:rFonts w:ascii="Times New Roman" w:hAnsi="Times New Roman" w:eastAsia="Times New Roman"/>
          <w:color w:val="000000"/>
          <w:sz w:val="28"/>
          <w:szCs w:val="28"/>
          <w:highlight w:val="white"/>
          <w:lang w:val="ru-RU"/>
        </w:rPr>
      </w:r>
    </w:p>
    <w:p>
      <w:pPr>
        <w:pStyle w:val="1227"/>
        <w:numPr>
          <w:ilvl w:val="0"/>
          <w:numId w:val="155"/>
        </w:numPr>
        <w:ind w:left="0" w:right="1" w:firstLine="709"/>
        <w:jc w:val="both"/>
        <w:spacing w:line="276" w:lineRule="auto"/>
        <w:rPr>
          <w:rFonts w:ascii="Times New Roman" w:hAnsi="Times New Roman" w:eastAsia="Times New Roman"/>
          <w:color w:val="000000"/>
          <w:sz w:val="28"/>
          <w:szCs w:val="28"/>
          <w:highlight w:val="white"/>
          <w:lang w:val="ru-RU"/>
        </w:rPr>
      </w:pPr>
      <w:r>
        <w:rPr>
          <w:rFonts w:ascii="Times New Roman" w:hAnsi="Times New Roman" w:eastAsia="Times New Roman"/>
          <w:color w:val="000000"/>
          <w:sz w:val="28"/>
          <w:szCs w:val="28"/>
          <w:highlight w:val="white"/>
          <w:lang w:val="ru-RU"/>
        </w:rPr>
        <w:t xml:space="preserve">несанкционированного размещения автотранспорта в зеленой зоне;</w:t>
      </w:r>
      <w:r>
        <w:rPr>
          <w:rFonts w:ascii="Times New Roman" w:hAnsi="Times New Roman" w:eastAsia="Times New Roman"/>
          <w:color w:val="000000"/>
          <w:sz w:val="28"/>
          <w:szCs w:val="28"/>
          <w:highlight w:val="white"/>
          <w:lang w:val="ru-RU"/>
        </w:rPr>
        <w:tab/>
      </w:r>
      <w:r>
        <w:rPr>
          <w:rFonts w:ascii="Times New Roman" w:hAnsi="Times New Roman" w:eastAsia="Times New Roman"/>
          <w:color w:val="000000"/>
          <w:sz w:val="28"/>
          <w:szCs w:val="28"/>
          <w:highlight w:val="white"/>
          <w:lang w:val="ru-RU"/>
        </w:rPr>
      </w:r>
      <w:r>
        <w:rPr>
          <w:rFonts w:ascii="Times New Roman" w:hAnsi="Times New Roman" w:eastAsia="Times New Roman"/>
          <w:color w:val="000000"/>
          <w:sz w:val="28"/>
          <w:szCs w:val="28"/>
          <w:highlight w:val="white"/>
          <w:lang w:val="ru-RU"/>
        </w:rPr>
      </w:r>
    </w:p>
    <w:p>
      <w:pPr>
        <w:pStyle w:val="1227"/>
        <w:numPr>
          <w:ilvl w:val="0"/>
          <w:numId w:val="155"/>
        </w:numPr>
        <w:ind w:left="0" w:right="1" w:firstLine="709"/>
        <w:jc w:val="both"/>
        <w:spacing w:line="276" w:lineRule="auto"/>
        <w:rPr>
          <w:rFonts w:ascii="Times New Roman" w:hAnsi="Times New Roman"/>
          <w:color w:val="000000"/>
          <w:sz w:val="28"/>
          <w:szCs w:val="28"/>
          <w:highlight w:val="white"/>
          <w:lang w:val="ru-RU"/>
        </w:rPr>
      </w:pPr>
      <w:r>
        <w:rPr>
          <w:rFonts w:ascii="Times New Roman" w:hAnsi="Times New Roman" w:eastAsia="Times New Roman"/>
          <w:color w:val="000000"/>
          <w:sz w:val="28"/>
          <w:szCs w:val="28"/>
          <w:highlight w:val="white"/>
          <w:lang w:val="ru-RU"/>
        </w:rPr>
        <w:t xml:space="preserve">вывоза твердых коммунальных отходов в частном секторе.</w:t>
      </w:r>
      <w:r>
        <w:rPr>
          <w:rFonts w:ascii="Times New Roman" w:hAnsi="Times New Roman"/>
          <w:color w:val="000000"/>
          <w:sz w:val="28"/>
          <w:szCs w:val="28"/>
          <w:highlight w:val="white"/>
          <w:lang w:val="ru-RU"/>
        </w:rPr>
      </w:r>
      <w:r>
        <w:rPr>
          <w:rFonts w:ascii="Times New Roman" w:hAnsi="Times New Roman"/>
          <w:color w:val="000000"/>
          <w:sz w:val="28"/>
          <w:szCs w:val="28"/>
          <w:highlight w:val="white"/>
          <w:lang w:val="ru-RU"/>
        </w:rPr>
      </w:r>
    </w:p>
    <w:p>
      <w:pPr>
        <w:ind w:right="1" w:firstLine="709"/>
        <w:jc w:val="both"/>
        <w:spacing w:after="0"/>
        <w:rPr>
          <w:rFonts w:ascii="Times New Roman" w:hAnsi="Times New Roman"/>
          <w:color w:val="000000"/>
          <w:sz w:val="28"/>
          <w:szCs w:val="28"/>
          <w:highlight w:val="white"/>
        </w:rPr>
      </w:pPr>
      <w:r>
        <w:rPr>
          <w:rFonts w:ascii="Times New Roman" w:hAnsi="Times New Roman" w:eastAsia="Times New Roman"/>
          <w:color w:val="000000"/>
          <w:sz w:val="28"/>
          <w:szCs w:val="28"/>
          <w:highlight w:val="white"/>
        </w:rPr>
        <w:t xml:space="preserve"> Заявители получили разъяснения по своим ситуациям. Намечены контрольные мероприятия, направленные на защиту окружающей среды.</w:t>
      </w:r>
      <w:r>
        <w:rPr>
          <w:rFonts w:ascii="Times New Roman" w:hAnsi="Times New Roman"/>
          <w:color w:val="000000"/>
          <w:sz w:val="28"/>
          <w:szCs w:val="28"/>
          <w:highlight w:val="white"/>
        </w:rPr>
      </w:r>
      <w:r>
        <w:rPr>
          <w:rFonts w:ascii="Times New Roman" w:hAnsi="Times New Roman"/>
          <w:color w:val="000000"/>
          <w:sz w:val="28"/>
          <w:szCs w:val="28"/>
          <w:highlight w:val="white"/>
        </w:rPr>
      </w:r>
    </w:p>
    <w:p>
      <w:pPr>
        <w:ind w:right="1" w:firstLine="709"/>
        <w:jc w:val="both"/>
        <w:spacing w:after="0"/>
        <w:rPr>
          <w:rFonts w:ascii="Times New Roman" w:hAnsi="Times New Roman"/>
          <w:sz w:val="28"/>
          <w:szCs w:val="28"/>
        </w:rPr>
      </w:pPr>
      <w:r>
        <w:rPr>
          <w:rFonts w:ascii="Times New Roman" w:hAnsi="Times New Roman" w:eastAsia="Times New Roman"/>
          <w:color w:val="000000"/>
          <w:sz w:val="28"/>
          <w:szCs w:val="28"/>
          <w:highlight w:val="white"/>
        </w:rPr>
        <w:t xml:space="preserve"> Вместе с тем, поступили отклики от местных жителей </w:t>
      </w:r>
      <w:r>
        <w:rPr>
          <w:rFonts w:ascii="Times New Roman" w:hAnsi="Times New Roman" w:eastAsia="Times New Roman"/>
          <w:color w:val="000000"/>
          <w:sz w:val="28"/>
          <w:szCs w:val="28"/>
          <w:highlight w:val="white"/>
        </w:rPr>
        <w:t xml:space="preserve">Гаврилово</w:t>
      </w:r>
      <w:r>
        <w:rPr>
          <w:rFonts w:ascii="Times New Roman" w:hAnsi="Times New Roman" w:eastAsia="Times New Roman"/>
          <w:color w:val="000000"/>
          <w:sz w:val="28"/>
          <w:szCs w:val="28"/>
          <w:highlight w:val="white"/>
        </w:rPr>
        <w:t xml:space="preserve"> – Посадского и </w:t>
      </w:r>
      <w:r>
        <w:rPr>
          <w:rFonts w:ascii="Times New Roman" w:hAnsi="Times New Roman" w:eastAsia="Times New Roman"/>
          <w:color w:val="000000"/>
          <w:sz w:val="28"/>
          <w:szCs w:val="28"/>
          <w:highlight w:val="white"/>
        </w:rPr>
        <w:t xml:space="preserve">Фурмановского</w:t>
      </w:r>
      <w:r>
        <w:rPr>
          <w:rFonts w:ascii="Times New Roman" w:hAnsi="Times New Roman" w:eastAsia="Times New Roman"/>
          <w:color w:val="000000"/>
          <w:sz w:val="28"/>
          <w:szCs w:val="28"/>
          <w:highlight w:val="white"/>
        </w:rPr>
        <w:t xml:space="preserve"> районов, которые сообщили об улучшении качества городской среды по благоустройству местных территорий, что создает благоприятные условия для жизни земляков.</w:t>
      </w:r>
      <w:r>
        <w:rPr>
          <w:rFonts w:ascii="Times New Roman" w:hAnsi="Times New Roman"/>
          <w:sz w:val="28"/>
          <w:szCs w:val="28"/>
        </w:rPr>
      </w:r>
      <w:r>
        <w:rPr>
          <w:rFonts w:ascii="Times New Roman" w:hAnsi="Times New Roman"/>
          <w:sz w:val="28"/>
          <w:szCs w:val="28"/>
        </w:rPr>
      </w:r>
    </w:p>
    <w:p>
      <w:pPr>
        <w:ind w:right="1" w:firstLine="709"/>
        <w:jc w:val="both"/>
        <w:spacing w:after="0"/>
        <w:rPr>
          <w:rFonts w:ascii="Times New Roman" w:hAnsi="Times New Roman"/>
          <w:color w:val="000000"/>
          <w:sz w:val="28"/>
          <w:szCs w:val="28"/>
          <w:highlight w:val="white"/>
        </w:rPr>
      </w:pPr>
      <w:r>
        <w:rPr>
          <w:rFonts w:ascii="Times New Roman" w:hAnsi="Times New Roman" w:eastAsia="Times New Roman"/>
          <w:sz w:val="28"/>
          <w:szCs w:val="28"/>
        </w:rPr>
      </w:r>
      <w:r>
        <w:rPr>
          <w:rFonts w:ascii="Times New Roman" w:hAnsi="Times New Roman" w:eastAsia="Times New Roman"/>
          <w:sz w:val="28"/>
          <w:szCs w:val="28"/>
          <w:lang w:eastAsia="ru-RU"/>
        </w:rPr>
        <mc:AlternateContent>
          <mc:Choice Requires="wpg">
            <w:drawing>
              <wp:anchor xmlns:wp="http://schemas.openxmlformats.org/drawingml/2006/wordprocessingDrawing" xmlns:wp14="http://schemas.microsoft.com/office/word/2010/wordprocessingDrawing" distT="0" distB="0" distL="114300" distR="114300" simplePos="0" relativeHeight="251662336" behindDoc="0" locked="0" layoutInCell="1" allowOverlap="1">
                <wp:simplePos x="0" y="0"/>
                <wp:positionH relativeFrom="page">
                  <wp:posOffset>535305</wp:posOffset>
                </wp:positionH>
                <wp:positionV relativeFrom="page">
                  <wp:posOffset>8176895</wp:posOffset>
                </wp:positionV>
                <wp:extent cx="8890" cy="8890"/>
                <wp:effectExtent l="0" t="0" r="0" b="0"/>
                <wp:wrapSquare wrapText="bothSides"/>
                <wp:docPr id="22"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14000" name="Picture 4"/>
                        <pic:cNvPicPr>
                          <a:picLocks noChangeAspect="1"/>
                        </pic:cNvPicPr>
                        <pic:nvPr/>
                      </pic:nvPicPr>
                      <pic:blipFill>
                        <a:blip r:embed="rId36"/>
                        <a:stretch/>
                      </pic:blipFill>
                      <pic:spPr bwMode="auto">
                        <a:xfrm>
                          <a:off x="0" y="0"/>
                          <a:ext cx="8889" cy="8889"/>
                        </a:xfrm>
                        <a:prstGeom prst="rect">
                          <a:avLst/>
                        </a:prstGeom>
                        <a:noFill/>
                        <a:ln w="9525">
                          <a:noFill/>
                          <a:miter lim="800000"/>
                          <a:headEnd/>
                          <a:tailEnd/>
                        </a:ln>
                      </pic:spPr>
                    </pic:pic>
                  </a:graphicData>
                </a:graphic>
              </wp:anchor>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2" o:spid="_x0000_s12" type="#_x0000_t75" style="position:absolute;z-index:251662336;o:allowoverlap:true;o:allowincell:true;mso-position-horizontal-relative:page;margin-left:42.15pt;mso-position-horizontal:absolute;mso-position-vertical-relative:page;margin-top:643.85pt;mso-position-vertical:absolute;width:0.70pt;height:0.70pt;mso-wrap-distance-left:9.00pt;mso-wrap-distance-top:0.00pt;mso-wrap-distance-right:9.00pt;mso-wrap-distance-bottom:0.00pt;" stroked="f" strokeweight="0.75pt">
                <v:path textboxrect="0,0,0,0"/>
                <w10:wrap type="square"/>
                <v:imagedata r:id="rId36" o:title=""/>
              </v:shape>
            </w:pict>
          </mc:Fallback>
        </mc:AlternateContent>
      </w:r>
      <w:r>
        <w:rPr>
          <w:rFonts w:ascii="Times New Roman" w:hAnsi="Times New Roman" w:eastAsia="Times New Roman"/>
          <w:sz w:val="28"/>
          <w:szCs w:val="28"/>
        </w:rPr>
        <w:t xml:space="preserve">В целях обеспечения санитарно-эпидемиологического благополучия населения, снижения вредного воздействия на здоровье жителей региона биологических, химических, физических, социальных факторов среды обитания Управлением </w:t>
      </w:r>
      <w:r>
        <w:rPr>
          <w:rFonts w:ascii="Times New Roman" w:hAnsi="Times New Roman" w:eastAsia="Times New Roman"/>
          <w:sz w:val="28"/>
          <w:szCs w:val="28"/>
        </w:rPr>
        <w:t xml:space="preserve">Роспотребнадзора</w:t>
      </w:r>
      <w:r>
        <w:rPr>
          <w:rFonts w:ascii="Times New Roman" w:hAnsi="Times New Roman" w:eastAsia="Times New Roman"/>
          <w:sz w:val="28"/>
          <w:szCs w:val="28"/>
        </w:rPr>
        <w:t xml:space="preserve"> по Ивановской области (далее Управление) совместно с Центром гигиены и эпидемиологии осуществляется мониторинг качества атмосферного воздуха, питьевой воды, продуктов питания, почвы, товаров народного потребления.</w:t>
      </w:r>
      <w:r>
        <w:rPr>
          <w:rFonts w:ascii="Times New Roman" w:hAnsi="Times New Roman"/>
          <w:color w:val="000000"/>
          <w:sz w:val="28"/>
          <w:szCs w:val="28"/>
          <w:highlight w:val="white"/>
        </w:rPr>
      </w:r>
      <w:r>
        <w:rPr>
          <w:rFonts w:ascii="Times New Roman" w:hAnsi="Times New Roman"/>
          <w:color w:val="000000"/>
          <w:sz w:val="28"/>
          <w:szCs w:val="28"/>
          <w:highlight w:val="white"/>
        </w:rPr>
      </w:r>
    </w:p>
    <w:p>
      <w:pPr>
        <w:ind w:right="1" w:firstLine="709"/>
        <w:jc w:val="both"/>
        <w:spacing w:after="0"/>
        <w:rPr>
          <w:rFonts w:ascii="Times New Roman" w:hAnsi="Times New Roman"/>
          <w:sz w:val="28"/>
          <w:szCs w:val="28"/>
        </w:rPr>
      </w:pPr>
      <w:r>
        <w:rPr>
          <w:rFonts w:ascii="Times New Roman" w:hAnsi="Times New Roman" w:eastAsia="Times New Roman"/>
          <w:sz w:val="28"/>
          <w:szCs w:val="28"/>
        </w:rPr>
        <w:t xml:space="preserve">Мониторинг качества атмосферного воздуха, проводимый комплексом испытательных лабораторных центров государственного и ведомственного уровней, позволяет предположить, что на протяжении ряда лет основной вклад в загрязнение воздушной среды региона </w:t>
      </w:r>
      <w:r>
        <w:rPr>
          <w:rFonts w:ascii="Times New Roman" w:hAnsi="Times New Roman" w:eastAsia="Times New Roman"/>
          <w:sz w:val="28"/>
          <w:szCs w:val="28"/>
        </w:rPr>
        <w:t xml:space="preserve">вносится за счет автотранспорта Крупные промышленные объекты утратили</w:t>
      </w:r>
      <w:r>
        <w:rPr>
          <w:rFonts w:ascii="Times New Roman" w:hAnsi="Times New Roman" w:eastAsia="Times New Roman"/>
          <w:sz w:val="28"/>
          <w:szCs w:val="28"/>
        </w:rPr>
        <w:t xml:space="preserve"> свое значение как источники загрязнения окружающей среды в связи с присущими региону депрессивными экономическими процессами.</w:t>
      </w:r>
      <w:r>
        <w:rPr>
          <w:rFonts w:ascii="Times New Roman" w:hAnsi="Times New Roman"/>
          <w:sz w:val="28"/>
          <w:szCs w:val="28"/>
        </w:rPr>
      </w:r>
      <w:r>
        <w:rPr>
          <w:rFonts w:ascii="Times New Roman" w:hAnsi="Times New Roman"/>
          <w:sz w:val="28"/>
          <w:szCs w:val="28"/>
        </w:rPr>
      </w:r>
    </w:p>
    <w:p>
      <w:pPr>
        <w:ind w:right="1" w:firstLine="709"/>
        <w:jc w:val="both"/>
        <w:spacing w:after="0"/>
        <w:rPr>
          <w:rFonts w:ascii="Times New Roman" w:hAnsi="Times New Roman"/>
          <w:sz w:val="28"/>
          <w:szCs w:val="28"/>
        </w:rPr>
      </w:pPr>
      <w:r>
        <w:rPr>
          <w:rFonts w:ascii="Times New Roman" w:hAnsi="Times New Roman" w:eastAsia="Times New Roman"/>
          <w:sz w:val="28"/>
          <w:szCs w:val="28"/>
        </w:rPr>
        <w:t xml:space="preserve">При отборе проб атмосферного воздуха ИЛЦ ФБУЗ «Центр гигиены и эпидемиологии в Ивановской области» содержание загрязняющих веществ в концентрациях, превышающих ПДК, не регистрировалось.</w:t>
      </w:r>
      <w:r>
        <w:rPr>
          <w:rFonts w:ascii="Times New Roman" w:hAnsi="Times New Roman"/>
          <w:sz w:val="28"/>
          <w:szCs w:val="28"/>
        </w:rPr>
      </w:r>
      <w:r>
        <w:rPr>
          <w:rFonts w:ascii="Times New Roman" w:hAnsi="Times New Roman"/>
          <w:sz w:val="28"/>
          <w:szCs w:val="28"/>
        </w:rPr>
      </w:r>
    </w:p>
    <w:p>
      <w:pPr>
        <w:ind w:right="1" w:firstLine="709"/>
        <w:jc w:val="both"/>
        <w:spacing w:after="0"/>
        <w:rPr>
          <w:rFonts w:ascii="Times New Roman" w:hAnsi="Times New Roman"/>
          <w:sz w:val="28"/>
          <w:szCs w:val="28"/>
        </w:rPr>
      </w:pPr>
      <w:r>
        <w:rPr>
          <w:rFonts w:ascii="Times New Roman" w:hAnsi="Times New Roman" w:eastAsia="Times New Roman"/>
          <w:sz w:val="28"/>
          <w:szCs w:val="28"/>
        </w:rPr>
        <w:t xml:space="preserve">Под надзором Управления </w:t>
      </w:r>
      <w:r>
        <w:rPr>
          <w:rFonts w:ascii="Times New Roman" w:hAnsi="Times New Roman" w:eastAsia="Times New Roman"/>
          <w:sz w:val="28"/>
          <w:szCs w:val="28"/>
        </w:rPr>
        <w:t xml:space="preserve">Роспотребнадзора</w:t>
      </w:r>
      <w:r>
        <w:rPr>
          <w:rFonts w:ascii="Times New Roman" w:hAnsi="Times New Roman" w:eastAsia="Times New Roman"/>
          <w:sz w:val="28"/>
          <w:szCs w:val="28"/>
        </w:rPr>
        <w:t xml:space="preserve"> по Ивановской области находится 968 источников централизованного водоснабжения, из них: 8 поверхностных источников, 960 подземных источника, 589 водопровод, 3573 источников нецентрализованного водоснабжения.</w:t>
      </w:r>
      <w:r>
        <w:rPr>
          <w:rFonts w:ascii="Times New Roman" w:hAnsi="Times New Roman"/>
          <w:sz w:val="28"/>
          <w:szCs w:val="28"/>
        </w:rPr>
      </w:r>
      <w:r>
        <w:rPr>
          <w:rFonts w:ascii="Times New Roman" w:hAnsi="Times New Roman"/>
          <w:sz w:val="28"/>
          <w:szCs w:val="28"/>
        </w:rPr>
      </w:r>
    </w:p>
    <w:p>
      <w:pPr>
        <w:ind w:right="1" w:firstLine="709"/>
        <w:jc w:val="both"/>
        <w:spacing w:after="0"/>
        <w:rPr>
          <w:rFonts w:ascii="Times New Roman" w:hAnsi="Times New Roman"/>
          <w:sz w:val="28"/>
          <w:szCs w:val="28"/>
        </w:rPr>
      </w:pPr>
      <w:r>
        <w:rPr>
          <w:rFonts w:ascii="Times New Roman" w:hAnsi="Times New Roman" w:eastAsia="Times New Roman"/>
          <w:sz w:val="28"/>
          <w:szCs w:val="28"/>
        </w:rPr>
        <w:t xml:space="preserve">Наибольший вклад в удельный вес неудовлетворительных результатов по санитарно-химическим показателям вносят пробы, не отвечающие требованиям по содержанию железа, что объясняется геохимическими характеристиками водоносных горизонтов.</w:t>
      </w:r>
      <w:r>
        <w:rPr>
          <w:rFonts w:ascii="Times New Roman" w:hAnsi="Times New Roman"/>
          <w:sz w:val="28"/>
          <w:szCs w:val="28"/>
        </w:rPr>
      </w:r>
      <w:r>
        <w:rPr>
          <w:rFonts w:ascii="Times New Roman" w:hAnsi="Times New Roman"/>
          <w:sz w:val="28"/>
          <w:szCs w:val="28"/>
        </w:rPr>
      </w:r>
    </w:p>
    <w:p>
      <w:pPr>
        <w:ind w:right="1" w:firstLine="709"/>
        <w:jc w:val="both"/>
        <w:spacing w:after="0"/>
        <w:rPr>
          <w:rFonts w:ascii="Times New Roman" w:hAnsi="Times New Roman"/>
          <w:sz w:val="28"/>
          <w:szCs w:val="28"/>
        </w:rPr>
      </w:pPr>
      <w:r>
        <w:rPr>
          <w:rFonts w:ascii="Times New Roman" w:hAnsi="Times New Roman" w:eastAsia="Times New Roman"/>
          <w:sz w:val="28"/>
          <w:szCs w:val="28"/>
        </w:rPr>
        <w:t xml:space="preserve">В 2025 году на территории Ивановской области проводился мониторинг за содержанием радионуклидов в пищевых продуктах, воде, почве, воздухе жилых и общественных зданий, в атмосферных выпадениях. Данные мониторинга </w:t>
      </w:r>
      <w:r>
        <w:rPr>
          <w:rFonts w:ascii="Times New Roman" w:hAnsi="Times New Roman" w:eastAsia="Times New Roman"/>
          <w:sz w:val="28"/>
          <w:szCs w:val="28"/>
          <w:lang w:eastAsia="ru-RU"/>
        </w:rPr>
        <mc:AlternateContent>
          <mc:Choice Requires="wpg">
            <w:drawing>
              <wp:inline xmlns:wp="http://schemas.openxmlformats.org/drawingml/2006/wordprocessingDrawing" distT="0" distB="0" distL="0" distR="0">
                <wp:extent cx="28575" cy="9525"/>
                <wp:effectExtent l="19050" t="0" r="9525" b="0"/>
                <wp:docPr id="2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9255995" name="Picture 1"/>
                        <pic:cNvPicPr>
                          <a:picLocks noChangeAspect="1"/>
                        </pic:cNvPicPr>
                        <pic:nvPr/>
                      </pic:nvPicPr>
                      <pic:blipFill>
                        <a:blip r:embed="rId37"/>
                        <a:stretch/>
                      </pic:blipFill>
                      <pic:spPr bwMode="auto">
                        <a:xfrm>
                          <a:off x="0" y="0"/>
                          <a:ext cx="28575" cy="9524"/>
                        </a:xfrm>
                        <a:prstGeom prst="rect">
                          <a:avLst/>
                        </a:prstGeom>
                        <a:noFill/>
                        <a:ln w="9525">
                          <a:noFill/>
                          <a:miter lim="800000"/>
                          <a:headEnd/>
                          <a:tailEnd/>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3" o:spid="_x0000_s13" type="#_x0000_t75" style="width:2.25pt;height:0.75pt;mso-wrap-distance-left:0.00pt;mso-wrap-distance-top:0.00pt;mso-wrap-distance-right:0.00pt;mso-wrap-distance-bottom:0.00pt;" stroked="f" strokeweight="0.75pt">
                <v:path textboxrect="0,0,0,0"/>
                <v:imagedata r:id="rId37" o:title=""/>
              </v:shape>
            </w:pict>
          </mc:Fallback>
        </mc:AlternateContent>
      </w:r>
      <w:r>
        <w:rPr>
          <w:rFonts w:ascii="Times New Roman" w:hAnsi="Times New Roman" w:eastAsia="Times New Roman"/>
          <w:sz w:val="28"/>
          <w:szCs w:val="28"/>
        </w:rPr>
        <w:t xml:space="preserve">позволяют заключить, что в целом радиационная обстановка в области благополучная, по сравнению с предыдущими годами существенно не изменилась. Радиационный фактор не является ведущим фактором вредного воздействия на здоровье населения.</w:t>
      </w:r>
      <w:r>
        <w:rPr>
          <w:rFonts w:ascii="Times New Roman" w:hAnsi="Times New Roman"/>
          <w:sz w:val="28"/>
          <w:szCs w:val="28"/>
        </w:rPr>
      </w:r>
      <w:r>
        <w:rPr>
          <w:rFonts w:ascii="Times New Roman" w:hAnsi="Times New Roman"/>
          <w:sz w:val="28"/>
          <w:szCs w:val="28"/>
        </w:rPr>
      </w:r>
    </w:p>
    <w:p>
      <w:pPr>
        <w:ind w:right="1" w:firstLine="709"/>
        <w:jc w:val="both"/>
        <w:spacing w:after="0"/>
        <w:rPr>
          <w:rFonts w:ascii="Times New Roman" w:hAnsi="Times New Roman"/>
          <w:sz w:val="28"/>
          <w:szCs w:val="28"/>
        </w:rPr>
      </w:pPr>
      <w:r>
        <w:rPr>
          <w:rFonts w:ascii="Times New Roman" w:hAnsi="Times New Roman" w:eastAsia="Times New Roman"/>
          <w:sz w:val="28"/>
          <w:szCs w:val="28"/>
        </w:rPr>
        <w:t xml:space="preserve">В 2025 году массовые инфекционные и неинфекционные заболевания, связанные с употреблением недоброкачественных продовольственного сырья и пищевых продуктов, на территории Ивановской области не регистрировались.</w:t>
      </w:r>
      <w:r>
        <w:rPr>
          <w:rFonts w:ascii="Times New Roman" w:hAnsi="Times New Roman"/>
          <w:sz w:val="28"/>
          <w:szCs w:val="28"/>
        </w:rPr>
      </w:r>
      <w:r>
        <w:rPr>
          <w:rFonts w:ascii="Times New Roman" w:hAnsi="Times New Roman"/>
          <w:sz w:val="28"/>
          <w:szCs w:val="28"/>
        </w:rPr>
      </w:r>
    </w:p>
    <w:p>
      <w:pPr>
        <w:ind w:right="1" w:firstLine="709"/>
        <w:jc w:val="both"/>
        <w:spacing w:after="0"/>
        <w:rPr>
          <w:rFonts w:ascii="Times New Roman" w:hAnsi="Times New Roman"/>
          <w:sz w:val="28"/>
          <w:szCs w:val="28"/>
        </w:rPr>
      </w:pPr>
      <w:r>
        <w:rPr>
          <w:rFonts w:ascii="Times New Roman" w:hAnsi="Times New Roman" w:eastAsia="Times New Roman"/>
          <w:sz w:val="28"/>
          <w:szCs w:val="28"/>
        </w:rPr>
        <w:t xml:space="preserve">Управлением в рамках установленных полномочий в сфере защиты прав потребителей осуществляется </w:t>
      </w:r>
      <w:r>
        <w:rPr>
          <w:rFonts w:ascii="Times New Roman" w:hAnsi="Times New Roman" w:eastAsia="Times New Roman"/>
          <w:sz w:val="28"/>
          <w:szCs w:val="28"/>
        </w:rPr>
        <w:t xml:space="preserve">контроль за</w:t>
      </w:r>
      <w:r>
        <w:rPr>
          <w:rFonts w:ascii="Times New Roman" w:hAnsi="Times New Roman" w:eastAsia="Times New Roman"/>
          <w:sz w:val="28"/>
          <w:szCs w:val="28"/>
        </w:rPr>
        <w:t xml:space="preserve"> соблюдением требований к цифровой маркировке товаров.</w:t>
      </w:r>
      <w:r>
        <w:rPr>
          <w:rFonts w:ascii="Times New Roman" w:hAnsi="Times New Roman"/>
          <w:sz w:val="28"/>
          <w:szCs w:val="28"/>
        </w:rPr>
      </w:r>
      <w:r>
        <w:rPr>
          <w:rFonts w:ascii="Times New Roman" w:hAnsi="Times New Roman"/>
          <w:sz w:val="28"/>
          <w:szCs w:val="28"/>
        </w:rPr>
      </w:r>
    </w:p>
    <w:p>
      <w:pPr>
        <w:ind w:right="1" w:firstLine="709"/>
        <w:jc w:val="both"/>
        <w:spacing w:after="0"/>
        <w:rPr>
          <w:rFonts w:ascii="Times New Roman" w:hAnsi="Times New Roman"/>
          <w:sz w:val="28"/>
          <w:szCs w:val="28"/>
        </w:rPr>
      </w:pPr>
      <w:r>
        <w:rPr>
          <w:rFonts w:ascii="Times New Roman" w:hAnsi="Times New Roman" w:eastAsia="Times New Roman"/>
          <w:sz w:val="28"/>
          <w:szCs w:val="28"/>
        </w:rPr>
        <w:t xml:space="preserve">Обязательной маркировке средствами идентификации подлежат 79 групп товаров. Основанием проведения таких мероприятий явилось срабатывание индикаторов риска нарушения обязательных требований.</w:t>
      </w:r>
      <w:r>
        <w:rPr>
          <w:rFonts w:ascii="Times New Roman" w:hAnsi="Times New Roman"/>
          <w:sz w:val="28"/>
          <w:szCs w:val="28"/>
        </w:rPr>
      </w:r>
      <w:r>
        <w:rPr>
          <w:rFonts w:ascii="Times New Roman" w:hAnsi="Times New Roman"/>
          <w:sz w:val="28"/>
          <w:szCs w:val="28"/>
        </w:rPr>
      </w:r>
    </w:p>
    <w:p>
      <w:pPr>
        <w:pStyle w:val="1227"/>
        <w:ind w:left="0" w:right="1" w:firstLine="709"/>
        <w:jc w:val="both"/>
        <w:spacing w:line="276" w:lineRule="auto"/>
        <w:rPr>
          <w:rFonts w:ascii="Times New Roman" w:hAnsi="Times New Roman"/>
          <w:sz w:val="28"/>
          <w:szCs w:val="28"/>
        </w:rPr>
      </w:pPr>
      <w:r>
        <w:rPr>
          <w:rFonts w:ascii="Times New Roman" w:hAnsi="Times New Roman" w:eastAsia="Times New Roman"/>
          <w:sz w:val="28"/>
          <w:szCs w:val="28"/>
        </w:rPr>
        <w:t xml:space="preserve">Выявлялись</w:t>
      </w:r>
      <w:r>
        <w:rPr>
          <w:rFonts w:ascii="Times New Roman" w:hAnsi="Times New Roman" w:eastAsia="Times New Roman"/>
          <w:sz w:val="28"/>
          <w:szCs w:val="28"/>
        </w:rPr>
        <w:t xml:space="preserve"> </w:t>
      </w:r>
      <w:r>
        <w:rPr>
          <w:rFonts w:ascii="Times New Roman" w:hAnsi="Times New Roman" w:eastAsia="Times New Roman"/>
          <w:sz w:val="28"/>
          <w:szCs w:val="28"/>
        </w:rPr>
        <w:t xml:space="preserve">такие</w:t>
      </w:r>
      <w:r>
        <w:rPr>
          <w:rFonts w:ascii="Times New Roman" w:hAnsi="Times New Roman" w:eastAsia="Times New Roman"/>
          <w:sz w:val="28"/>
          <w:szCs w:val="28"/>
        </w:rPr>
        <w:t xml:space="preserve"> </w:t>
      </w:r>
      <w:r>
        <w:rPr>
          <w:rFonts w:ascii="Times New Roman" w:hAnsi="Times New Roman" w:eastAsia="Times New Roman"/>
          <w:sz w:val="28"/>
          <w:szCs w:val="28"/>
        </w:rPr>
        <w:t xml:space="preserve">нарушения</w:t>
      </w:r>
      <w:r>
        <w:rPr>
          <w:rFonts w:ascii="Times New Roman" w:hAnsi="Times New Roman" w:eastAsia="Times New Roman"/>
          <w:sz w:val="28"/>
          <w:szCs w:val="28"/>
        </w:rPr>
        <w:t xml:space="preserve"> </w:t>
      </w:r>
      <w:r>
        <w:rPr>
          <w:rFonts w:ascii="Times New Roman" w:hAnsi="Times New Roman" w:eastAsia="Times New Roman"/>
          <w:sz w:val="28"/>
          <w:szCs w:val="28"/>
        </w:rPr>
        <w:t xml:space="preserve">как</w:t>
      </w:r>
      <w:r>
        <w:rPr>
          <w:rFonts w:ascii="Times New Roman" w:hAnsi="Times New Roman" w:eastAsia="Times New Roman"/>
          <w:sz w:val="28"/>
          <w:szCs w:val="28"/>
        </w:rPr>
        <w:t xml:space="preserve">:</w:t>
      </w:r>
      <w:r>
        <w:rPr>
          <w:rFonts w:ascii="Times New Roman" w:hAnsi="Times New Roman"/>
          <w:sz w:val="28"/>
          <w:szCs w:val="28"/>
        </w:rPr>
      </w:r>
      <w:r>
        <w:rPr>
          <w:rFonts w:ascii="Times New Roman" w:hAnsi="Times New Roman"/>
          <w:sz w:val="28"/>
          <w:szCs w:val="28"/>
        </w:rPr>
      </w:r>
    </w:p>
    <w:p>
      <w:pPr>
        <w:numPr>
          <w:ilvl w:val="0"/>
          <w:numId w:val="156"/>
        </w:numPr>
        <w:ind w:left="0" w:right="1" w:firstLine="709"/>
        <w:jc w:val="both"/>
        <w:spacing w:after="0" w:line="276" w:lineRule="auto"/>
        <w:rPr>
          <w:rFonts w:ascii="Times New Roman" w:hAnsi="Times New Roman"/>
          <w:sz w:val="28"/>
          <w:szCs w:val="28"/>
        </w:rPr>
      </w:pPr>
      <w:r>
        <w:rPr>
          <w:rFonts w:ascii="Times New Roman" w:hAnsi="Times New Roman" w:eastAsia="Times New Roman"/>
          <w:sz w:val="28"/>
          <w:szCs w:val="28"/>
        </w:rPr>
        <w:t xml:space="preserve">нахождение в реализации товаров, ранее выведенных из оборота;</w:t>
      </w:r>
      <w:r>
        <w:rPr>
          <w:rFonts w:ascii="Times New Roman" w:hAnsi="Times New Roman"/>
          <w:sz w:val="28"/>
          <w:szCs w:val="28"/>
        </w:rPr>
      </w:r>
      <w:r>
        <w:rPr>
          <w:rFonts w:ascii="Times New Roman" w:hAnsi="Times New Roman"/>
          <w:sz w:val="28"/>
          <w:szCs w:val="28"/>
        </w:rPr>
      </w:r>
    </w:p>
    <w:p>
      <w:pPr>
        <w:numPr>
          <w:ilvl w:val="0"/>
          <w:numId w:val="156"/>
        </w:numPr>
        <w:ind w:left="0" w:right="1" w:firstLine="709"/>
        <w:jc w:val="both"/>
        <w:spacing w:after="0" w:line="276" w:lineRule="auto"/>
        <w:rPr>
          <w:rFonts w:ascii="Times New Roman" w:hAnsi="Times New Roman"/>
          <w:sz w:val="28"/>
          <w:szCs w:val="28"/>
        </w:rPr>
      </w:pPr>
      <w:r>
        <w:rPr>
          <w:rFonts w:ascii="Times New Roman" w:hAnsi="Times New Roman" w:eastAsia="Times New Roman"/>
          <w:sz w:val="28"/>
          <w:szCs w:val="28"/>
        </w:rPr>
        <w:t xml:space="preserve">продажа товаров с кодами </w:t>
      </w:r>
      <w:r>
        <w:rPr>
          <w:rFonts w:ascii="Times New Roman" w:hAnsi="Times New Roman" w:eastAsia="Times New Roman"/>
          <w:sz w:val="28"/>
          <w:szCs w:val="28"/>
        </w:rPr>
        <w:t xml:space="preserve">маркировки</w:t>
      </w:r>
      <w:r>
        <w:rPr>
          <w:rFonts w:ascii="Times New Roman" w:hAnsi="Times New Roman" w:eastAsia="Times New Roman"/>
          <w:sz w:val="28"/>
          <w:szCs w:val="28"/>
        </w:rPr>
        <w:t xml:space="preserve"> которые не соответствовали установленным требованиям;</w:t>
      </w:r>
      <w:r>
        <w:rPr>
          <w:rFonts w:ascii="Times New Roman" w:hAnsi="Times New Roman"/>
          <w:sz w:val="28"/>
          <w:szCs w:val="28"/>
        </w:rPr>
      </w:r>
      <w:r>
        <w:rPr>
          <w:rFonts w:ascii="Times New Roman" w:hAnsi="Times New Roman"/>
          <w:sz w:val="28"/>
          <w:szCs w:val="28"/>
        </w:rPr>
      </w:r>
    </w:p>
    <w:p>
      <w:pPr>
        <w:numPr>
          <w:ilvl w:val="0"/>
          <w:numId w:val="156"/>
        </w:numPr>
        <w:ind w:left="0" w:right="1" w:firstLine="709"/>
        <w:jc w:val="both"/>
        <w:spacing w:after="0" w:line="276" w:lineRule="auto"/>
        <w:rPr>
          <w:rFonts w:ascii="Times New Roman" w:hAnsi="Times New Roman"/>
          <w:sz w:val="28"/>
          <w:szCs w:val="28"/>
        </w:rPr>
      </w:pPr>
      <w:r>
        <w:rPr>
          <w:rFonts w:ascii="Times New Roman" w:hAnsi="Times New Roman" w:eastAsia="Times New Roman"/>
          <w:sz w:val="28"/>
          <w:szCs w:val="28"/>
        </w:rPr>
        <w:t xml:space="preserve">товаров</w:t>
      </w:r>
      <w:r>
        <w:rPr>
          <w:rFonts w:ascii="Times New Roman" w:hAnsi="Times New Roman" w:eastAsia="Times New Roman"/>
          <w:sz w:val="28"/>
          <w:szCs w:val="28"/>
        </w:rPr>
        <w:t xml:space="preserve"> не введенных производителем-импортером в оборот;</w:t>
      </w:r>
      <w:r>
        <w:rPr>
          <w:rFonts w:ascii="Times New Roman" w:hAnsi="Times New Roman"/>
          <w:sz w:val="28"/>
          <w:szCs w:val="28"/>
        </w:rPr>
      </w:r>
      <w:r>
        <w:rPr>
          <w:rFonts w:ascii="Times New Roman" w:hAnsi="Times New Roman"/>
          <w:sz w:val="28"/>
          <w:szCs w:val="28"/>
        </w:rPr>
      </w:r>
    </w:p>
    <w:p>
      <w:pPr>
        <w:numPr>
          <w:ilvl w:val="0"/>
          <w:numId w:val="156"/>
        </w:numPr>
        <w:ind w:left="0" w:right="1" w:firstLine="709"/>
        <w:jc w:val="both"/>
        <w:spacing w:after="0"/>
        <w:rPr>
          <w:rFonts w:ascii="Times New Roman" w:hAnsi="Times New Roman"/>
          <w:sz w:val="28"/>
          <w:szCs w:val="28"/>
        </w:rPr>
      </w:pPr>
      <w:r>
        <w:rPr>
          <w:rFonts w:ascii="Times New Roman" w:hAnsi="Times New Roman" w:eastAsia="Times New Roman"/>
          <w:sz w:val="28"/>
          <w:szCs w:val="28"/>
        </w:rPr>
        <w:t xml:space="preserve">имело </w:t>
      </w:r>
      <w:r>
        <w:rPr>
          <w:rFonts w:ascii="Times New Roman" w:hAnsi="Times New Roman" w:eastAsia="Times New Roman"/>
          <w:sz w:val="28"/>
          <w:szCs w:val="28"/>
        </w:rPr>
        <w:t xml:space="preserve">место нахождение</w:t>
      </w:r>
      <w:r>
        <w:rPr>
          <w:rFonts w:ascii="Times New Roman" w:hAnsi="Times New Roman" w:eastAsia="Times New Roman"/>
          <w:sz w:val="28"/>
          <w:szCs w:val="28"/>
        </w:rPr>
        <w:t xml:space="preserve"> в реализации табачной и </w:t>
      </w:r>
      <w:r>
        <w:rPr>
          <w:rFonts w:ascii="Times New Roman" w:hAnsi="Times New Roman" w:eastAsia="Times New Roman"/>
          <w:sz w:val="28"/>
          <w:szCs w:val="28"/>
        </w:rPr>
        <w:t xml:space="preserve">никотинсодержащей</w:t>
      </w:r>
      <w:r>
        <w:rPr>
          <w:rFonts w:ascii="Times New Roman" w:hAnsi="Times New Roman" w:eastAsia="Times New Roman"/>
          <w:sz w:val="28"/>
          <w:szCs w:val="28"/>
        </w:rPr>
        <w:t xml:space="preserve"> продукции с нарушением установленных требований к ценообразованию, что рассматривается как стимулирование продажи табака, табачной и </w:t>
      </w:r>
      <w:r>
        <w:rPr>
          <w:rFonts w:ascii="Times New Roman" w:hAnsi="Times New Roman" w:eastAsia="Times New Roman"/>
          <w:sz w:val="28"/>
          <w:szCs w:val="28"/>
        </w:rPr>
        <w:t xml:space="preserve">никотинсодержащей</w:t>
      </w:r>
      <w:r>
        <w:rPr>
          <w:rFonts w:ascii="Times New Roman" w:hAnsi="Times New Roman" w:eastAsia="Times New Roman"/>
          <w:sz w:val="28"/>
          <w:szCs w:val="28"/>
        </w:rPr>
        <w:t xml:space="preserve"> продукции.</w:t>
      </w:r>
      <w:r>
        <w:rPr>
          <w:rFonts w:ascii="Times New Roman" w:hAnsi="Times New Roman"/>
          <w:sz w:val="28"/>
          <w:szCs w:val="28"/>
        </w:rPr>
      </w:r>
      <w:r>
        <w:rPr>
          <w:rFonts w:ascii="Times New Roman" w:hAnsi="Times New Roman"/>
          <w:sz w:val="28"/>
          <w:szCs w:val="28"/>
        </w:rPr>
      </w:r>
    </w:p>
    <w:p>
      <w:pPr>
        <w:ind w:right="1" w:firstLine="709"/>
        <w:jc w:val="both"/>
        <w:spacing w:after="0"/>
        <w:rPr>
          <w:rFonts w:ascii="Times New Roman" w:hAnsi="Times New Roman"/>
          <w:sz w:val="28"/>
          <w:szCs w:val="28"/>
        </w:rPr>
      </w:pPr>
      <w:r>
        <w:rPr>
          <w:rFonts w:ascii="Times New Roman" w:hAnsi="Times New Roman" w:eastAsia="Times New Roman"/>
          <w:sz w:val="28"/>
          <w:szCs w:val="28"/>
        </w:rPr>
        <w:t xml:space="preserve">В отношении виновных лиц возбуждено 173 дела об административном правонарушении.</w:t>
      </w:r>
      <w:r>
        <w:rPr>
          <w:rFonts w:ascii="Times New Roman" w:hAnsi="Times New Roman"/>
          <w:sz w:val="28"/>
          <w:szCs w:val="28"/>
        </w:rPr>
      </w:r>
      <w:r>
        <w:rPr>
          <w:rFonts w:ascii="Times New Roman" w:hAnsi="Times New Roman"/>
          <w:sz w:val="28"/>
          <w:szCs w:val="28"/>
        </w:rPr>
      </w:r>
    </w:p>
    <w:p>
      <w:pPr>
        <w:ind w:right="1" w:firstLine="709"/>
        <w:jc w:val="both"/>
        <w:spacing w:after="0"/>
        <w:rPr>
          <w:rFonts w:ascii="Times New Roman" w:hAnsi="Times New Roman"/>
          <w:sz w:val="28"/>
          <w:szCs w:val="28"/>
        </w:rPr>
      </w:pPr>
      <w:r>
        <w:rPr>
          <w:rFonts w:ascii="Times New Roman" w:hAnsi="Times New Roman" w:eastAsia="Times New Roman"/>
          <w:sz w:val="28"/>
          <w:szCs w:val="28"/>
        </w:rPr>
        <w:t xml:space="preserve">Назначено административных штрафов на сумму 800,4 тысяч рублей. Выданы предписания об устранении выявленных нарушений и объявлены предостережения о недопустимости обязательных требований.</w:t>
      </w:r>
      <w:r>
        <w:rPr>
          <w:rFonts w:ascii="Times New Roman" w:hAnsi="Times New Roman"/>
          <w:sz w:val="28"/>
          <w:szCs w:val="28"/>
        </w:rPr>
      </w:r>
      <w:r>
        <w:rPr>
          <w:rFonts w:ascii="Times New Roman" w:hAnsi="Times New Roman"/>
          <w:sz w:val="28"/>
          <w:szCs w:val="28"/>
        </w:rPr>
      </w:r>
    </w:p>
    <w:p>
      <w:pPr>
        <w:ind w:right="1" w:firstLine="709"/>
        <w:jc w:val="both"/>
        <w:spacing w:after="0"/>
        <w:rPr>
          <w:rFonts w:ascii="Times New Roman" w:hAnsi="Times New Roman"/>
          <w:sz w:val="28"/>
          <w:szCs w:val="28"/>
        </w:rPr>
      </w:pPr>
      <w:r>
        <w:rPr>
          <w:rFonts w:ascii="Times New Roman" w:hAnsi="Times New Roman" w:eastAsia="Times New Roman"/>
          <w:sz w:val="28"/>
          <w:szCs w:val="28"/>
        </w:rPr>
        <w:t xml:space="preserve">Кроме того, в 2025 направлено в суды 28 </w:t>
      </w:r>
      <w:r>
        <w:rPr>
          <w:rFonts w:ascii="Times New Roman" w:hAnsi="Times New Roman" w:eastAsia="Times New Roman"/>
          <w:sz w:val="28"/>
          <w:szCs w:val="28"/>
        </w:rPr>
        <w:t xml:space="preserve">административных</w:t>
      </w:r>
      <w:r>
        <w:rPr>
          <w:rFonts w:ascii="Times New Roman" w:hAnsi="Times New Roman" w:eastAsia="Times New Roman"/>
          <w:sz w:val="28"/>
          <w:szCs w:val="28"/>
        </w:rPr>
        <w:t xml:space="preserve"> исковых заявлений в защиту прав и законных интересов неопределенного круга потребителей о признании запрещенной для распространения в Российской Федерации информации о дистанционной продаже табачной и </w:t>
      </w:r>
      <w:r>
        <w:rPr>
          <w:rFonts w:ascii="Times New Roman" w:hAnsi="Times New Roman" w:eastAsia="Times New Roman"/>
          <w:sz w:val="28"/>
          <w:szCs w:val="28"/>
        </w:rPr>
        <w:t xml:space="preserve">никотинсодержащей</w:t>
      </w:r>
      <w:r>
        <w:rPr>
          <w:rFonts w:ascii="Times New Roman" w:hAnsi="Times New Roman" w:eastAsia="Times New Roman"/>
          <w:sz w:val="28"/>
          <w:szCs w:val="28"/>
        </w:rPr>
        <w:t xml:space="preserve"> продукции, размешенной в сети «Интернет.</w:t>
      </w:r>
      <w:r>
        <w:rPr>
          <w:rFonts w:ascii="Times New Roman" w:hAnsi="Times New Roman"/>
          <w:sz w:val="28"/>
          <w:szCs w:val="28"/>
        </w:rPr>
      </w:r>
      <w:r>
        <w:rPr>
          <w:rFonts w:ascii="Times New Roman" w:hAnsi="Times New Roman"/>
          <w:sz w:val="28"/>
          <w:szCs w:val="28"/>
        </w:rPr>
      </w:r>
    </w:p>
    <w:p>
      <w:pPr>
        <w:ind w:right="1" w:firstLine="709"/>
        <w:jc w:val="both"/>
        <w:spacing w:after="0"/>
        <w:rPr>
          <w:rFonts w:ascii="Times New Roman" w:hAnsi="Times New Roman" w:eastAsia="Times New Roman"/>
          <w:sz w:val="28"/>
          <w:szCs w:val="28"/>
        </w:rPr>
      </w:pPr>
      <w:r>
        <w:rPr>
          <w:rFonts w:ascii="Times New Roman" w:hAnsi="Times New Roman" w:eastAsia="Times New Roman"/>
          <w:sz w:val="28"/>
          <w:szCs w:val="28"/>
        </w:rPr>
        <w:t xml:space="preserve">По результатам рассмотрения всех вышеуказанных дел, сайты допустившие размещение информации о дистанционной продаже табачной и </w:t>
      </w:r>
      <w:r>
        <w:rPr>
          <w:rFonts w:ascii="Times New Roman" w:hAnsi="Times New Roman" w:eastAsia="Times New Roman"/>
          <w:sz w:val="28"/>
          <w:szCs w:val="28"/>
        </w:rPr>
        <w:t xml:space="preserve">никотинсодержащей</w:t>
      </w:r>
      <w:r>
        <w:rPr>
          <w:rFonts w:ascii="Times New Roman" w:hAnsi="Times New Roman" w:eastAsia="Times New Roman"/>
          <w:sz w:val="28"/>
          <w:szCs w:val="28"/>
        </w:rPr>
        <w:t xml:space="preserve"> продукции были заблокированы и внесены в единый реестр запрещенных </w:t>
      </w:r>
      <w:r>
        <w:rPr>
          <w:rFonts w:ascii="Times New Roman" w:hAnsi="Times New Roman" w:eastAsia="Times New Roman"/>
          <w:sz w:val="28"/>
          <w:szCs w:val="28"/>
        </w:rPr>
        <w:t xml:space="preserve">интернет-ресурсов</w:t>
      </w:r>
      <w:r>
        <w:rPr>
          <w:rFonts w:ascii="Times New Roman" w:hAnsi="Times New Roman" w:eastAsia="Times New Roman"/>
          <w:sz w:val="28"/>
          <w:szCs w:val="28"/>
        </w:rPr>
        <w:t xml:space="preserve">.</w:t>
      </w:r>
      <w:r>
        <w:rPr>
          <w:rFonts w:ascii="Times New Roman" w:hAnsi="Times New Roman" w:eastAsia="Times New Roman"/>
          <w:sz w:val="28"/>
          <w:szCs w:val="28"/>
        </w:rPr>
      </w:r>
      <w:r>
        <w:rPr>
          <w:rFonts w:ascii="Times New Roman" w:hAnsi="Times New Roman" w:eastAsia="Times New Roman"/>
          <w:sz w:val="28"/>
          <w:szCs w:val="28"/>
        </w:rPr>
      </w:r>
    </w:p>
    <w:p>
      <w:pPr>
        <w:ind w:right="1" w:firstLine="709"/>
        <w:jc w:val="both"/>
        <w:spacing w:after="0"/>
        <w:tabs>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rPr>
          <w:rFonts w:ascii="Times New Roman" w:hAnsi="Times New Roman"/>
          <w:sz w:val="28"/>
          <w:szCs w:val="28"/>
        </w:rPr>
      </w:pPr>
      <w:r>
        <w:rPr>
          <w:rFonts w:ascii="Times New Roman" w:hAnsi="Times New Roman"/>
          <w:sz w:val="28"/>
          <w:szCs w:val="28"/>
        </w:rPr>
        <w:t xml:space="preserve">Необходимо отметить, что вопрос экологических прав человека в Ивановской области постоянно держит в центре внимания надзорный орган  – Ивановская межрайонная природоохранная прокуратура.</w:t>
      </w:r>
      <w:r>
        <w:rPr>
          <w:rFonts w:ascii="Times New Roman" w:hAnsi="Times New Roman"/>
          <w:sz w:val="28"/>
          <w:szCs w:val="28"/>
        </w:rPr>
      </w:r>
      <w:r>
        <w:rPr>
          <w:rFonts w:ascii="Times New Roman" w:hAnsi="Times New Roman"/>
          <w:sz w:val="28"/>
          <w:szCs w:val="28"/>
        </w:rPr>
      </w:r>
    </w:p>
    <w:p>
      <w:pPr>
        <w:ind w:right="1" w:firstLine="709"/>
        <w:jc w:val="both"/>
        <w:spacing w:after="0"/>
        <w:rPr>
          <w:rFonts w:ascii="Times New Roman" w:hAnsi="Times New Roman"/>
          <w:sz w:val="28"/>
          <w:szCs w:val="28"/>
        </w:rPr>
      </w:pPr>
      <w:r>
        <w:rPr>
          <w:rFonts w:ascii="Times New Roman" w:hAnsi="Times New Roman" w:eastAsia="Times New Roman"/>
          <w:sz w:val="28"/>
          <w:szCs w:val="28"/>
        </w:rPr>
        <w:t xml:space="preserve">Т</w:t>
      </w:r>
      <w:r>
        <w:rPr>
          <w:rFonts w:ascii="Times New Roman" w:hAnsi="Times New Roman" w:eastAsia="Times New Roman"/>
          <w:sz w:val="28"/>
          <w:szCs w:val="28"/>
        </w:rPr>
        <w:t xml:space="preserve">ак, в 2025 году прокуратурой выявлено более 800 нарушений в рассматриваемой сфере. Наиболее подверженными нарушениям стали сферы лесопользования — 135, законодательство об охране вод и атмосферного воздуха — 69, об отходах производства и потребления - 106.</w:t>
      </w:r>
      <w:r>
        <w:rPr>
          <w:rFonts w:ascii="Times New Roman" w:hAnsi="Times New Roman"/>
          <w:sz w:val="28"/>
          <w:szCs w:val="28"/>
        </w:rPr>
      </w:r>
      <w:r>
        <w:rPr>
          <w:rFonts w:ascii="Times New Roman" w:hAnsi="Times New Roman"/>
          <w:sz w:val="28"/>
          <w:szCs w:val="28"/>
        </w:rPr>
      </w:r>
    </w:p>
    <w:p>
      <w:pPr>
        <w:ind w:firstLine="709"/>
        <w:jc w:val="both"/>
        <w:spacing w:after="0"/>
        <w:rPr>
          <w:rFonts w:ascii="Times New Roman" w:hAnsi="Times New Roman"/>
          <w:sz w:val="28"/>
          <w:szCs w:val="28"/>
        </w:rPr>
      </w:pPr>
      <w:r>
        <w:rPr>
          <w:rFonts w:ascii="Times New Roman" w:hAnsi="Times New Roman" w:eastAsia="Times New Roman"/>
          <w:sz w:val="28"/>
          <w:szCs w:val="28"/>
        </w:rPr>
        <w:t xml:space="preserve">По всем выявленным нарушениям приняты меры прокурорского реагирования: принесе</w:t>
      </w:r>
      <w:r>
        <w:rPr>
          <w:rFonts w:ascii="Times New Roman" w:hAnsi="Times New Roman" w:eastAsia="Times New Roman"/>
          <w:sz w:val="28"/>
          <w:szCs w:val="28"/>
        </w:rPr>
        <w:t xml:space="preserve">но 104 протеста, в суды направлено 49 исковых заявлений, внесено 213 представлений, 94 лица по постановлениям прокурора привлечено к административной ответственности, в следственные органы направлено 9 материалов проверки в порядке п. 2 ч. 2 ст. 37 УПК РФ.</w:t>
      </w:r>
      <w:r>
        <w:rPr>
          <w:rFonts w:ascii="Times New Roman" w:hAnsi="Times New Roman"/>
          <w:sz w:val="28"/>
          <w:szCs w:val="28"/>
        </w:rPr>
      </w:r>
      <w:r>
        <w:rPr>
          <w:rFonts w:ascii="Times New Roman" w:hAnsi="Times New Roman"/>
          <w:sz w:val="28"/>
          <w:szCs w:val="28"/>
        </w:rPr>
      </w:r>
    </w:p>
    <w:p>
      <w:pPr>
        <w:ind w:firstLine="709"/>
        <w:jc w:val="both"/>
        <w:spacing w:after="0"/>
        <w:rPr>
          <w:rFonts w:ascii="Times New Roman" w:hAnsi="Times New Roman"/>
          <w:sz w:val="28"/>
          <w:szCs w:val="28"/>
        </w:rPr>
      </w:pPr>
      <w:r>
        <w:rPr>
          <w:rFonts w:ascii="Times New Roman" w:hAnsi="Times New Roman" w:eastAsia="Times New Roman"/>
          <w:sz w:val="28"/>
          <w:szCs w:val="28"/>
        </w:rPr>
        <w:t xml:space="preserve">С целью информирования населения о состоянии законности в экологической сфере сотрудниками прокуратуры в текущем го</w:t>
      </w:r>
      <w:r>
        <w:rPr>
          <w:rFonts w:ascii="Times New Roman" w:hAnsi="Times New Roman" w:eastAsia="Times New Roman"/>
          <w:sz w:val="28"/>
          <w:szCs w:val="28"/>
        </w:rPr>
        <w:t xml:space="preserve">ду проведено 157 бесед с трудовыми коллективами, учащимися образовательных учреждений, сотрудниками органов государственной власти и местного самоуправления. В сетевых и печатных изданиях размещено более 180 публикаций о результатах надзорной деятельности.</w:t>
      </w:r>
      <w:r>
        <w:rPr>
          <w:rFonts w:ascii="Times New Roman" w:hAnsi="Times New Roman"/>
          <w:sz w:val="28"/>
          <w:szCs w:val="28"/>
        </w:rPr>
      </w:r>
      <w:r>
        <w:rPr>
          <w:rFonts w:ascii="Times New Roman" w:hAnsi="Times New Roman"/>
          <w:sz w:val="28"/>
          <w:szCs w:val="28"/>
        </w:rPr>
      </w:r>
    </w:p>
    <w:p>
      <w:pPr>
        <w:ind w:right="1" w:firstLine="709"/>
        <w:jc w:val="both"/>
        <w:spacing w:after="0"/>
        <w:rPr>
          <w:rFonts w:ascii="Times New Roman" w:hAnsi="Times New Roman"/>
          <w:sz w:val="28"/>
          <w:szCs w:val="28"/>
        </w:rPr>
      </w:pPr>
      <w:r>
        <w:rPr>
          <w:rFonts w:ascii="Times New Roman" w:hAnsi="Times New Roman" w:eastAsia="Times New Roman"/>
          <w:sz w:val="28"/>
          <w:szCs w:val="28"/>
          <w:highlight w:val="white"/>
        </w:rPr>
        <w:t xml:space="preserve">В адрес же ивановского правозащитника в прошедшем году поступило 47 обращений (11 письменных и 36 устных), на 9,6  %  меньше, чем в прошлом году. </w:t>
      </w:r>
      <w:r>
        <w:rPr>
          <w:rFonts w:ascii="Times New Roman" w:hAnsi="Times New Roman"/>
          <w:sz w:val="28"/>
          <w:szCs w:val="28"/>
        </w:rPr>
      </w:r>
      <w:r>
        <w:rPr>
          <w:rFonts w:ascii="Times New Roman" w:hAnsi="Times New Roman"/>
          <w:sz w:val="28"/>
          <w:szCs w:val="28"/>
        </w:rPr>
      </w:r>
    </w:p>
    <w:p>
      <w:pPr>
        <w:ind w:right="1" w:firstLine="709"/>
        <w:jc w:val="both"/>
        <w:spacing w:after="0"/>
        <w:rPr>
          <w:rFonts w:ascii="Times New Roman" w:hAnsi="Times New Roman" w:eastAsia="Times New Roman"/>
          <w:bCs/>
          <w:i/>
          <w:sz w:val="28"/>
          <w:szCs w:val="28"/>
        </w:rPr>
      </w:pPr>
      <w:r>
        <w:rPr>
          <w:rFonts w:ascii="Times New Roman" w:hAnsi="Times New Roman" w:eastAsia="Times New Roman"/>
          <w:i/>
          <w:iCs/>
          <w:sz w:val="28"/>
          <w:szCs w:val="28"/>
        </w:rPr>
        <w:t xml:space="preserve">Одно из обращений касалось горения на мусорном полигоне. </w:t>
      </w:r>
      <w:r>
        <w:rPr>
          <w:rFonts w:ascii="Times New Roman" w:hAnsi="Times New Roman" w:eastAsia="Times New Roman"/>
          <w:bCs/>
          <w:i/>
          <w:sz w:val="28"/>
          <w:szCs w:val="28"/>
        </w:rPr>
      </w:r>
      <w:r>
        <w:rPr>
          <w:rFonts w:ascii="Times New Roman" w:hAnsi="Times New Roman" w:eastAsia="Times New Roman"/>
          <w:bCs/>
          <w:i/>
          <w:sz w:val="28"/>
          <w:szCs w:val="28"/>
        </w:rPr>
      </w:r>
    </w:p>
    <w:p>
      <w:pPr>
        <w:ind w:right="1" w:firstLine="709"/>
        <w:jc w:val="both"/>
        <w:spacing w:after="0"/>
        <w:rPr>
          <w:rFonts w:ascii="Times New Roman" w:hAnsi="Times New Roman"/>
          <w:bCs/>
          <w:i/>
          <w:color w:val="000000"/>
          <w:sz w:val="28"/>
          <w:szCs w:val="28"/>
          <w:highlight w:val="white"/>
        </w:rPr>
      </w:pPr>
      <w:r>
        <w:rPr>
          <w:rFonts w:ascii="Times New Roman" w:hAnsi="Times New Roman" w:eastAsia="Times New Roman"/>
          <w:i/>
          <w:iCs/>
          <w:color w:val="000000"/>
          <w:sz w:val="28"/>
          <w:szCs w:val="28"/>
          <w:highlight w:val="white"/>
        </w:rPr>
        <w:t xml:space="preserve">Всем известно, что свалки и полигоны - это объекты, на которых сосредоточены большие объемы горючих материалов: бумага, полиэтилен, пластик (последний при горении выделяет особо опасные для жизнедеятельности человека канцерогены).</w:t>
      </w:r>
      <w:r>
        <w:rPr>
          <w:rFonts w:ascii="Times New Roman" w:hAnsi="Times New Roman"/>
          <w:bCs/>
          <w:i/>
          <w:color w:val="000000"/>
          <w:sz w:val="28"/>
          <w:szCs w:val="28"/>
          <w:highlight w:val="white"/>
        </w:rPr>
      </w:r>
      <w:r>
        <w:rPr>
          <w:rFonts w:ascii="Times New Roman" w:hAnsi="Times New Roman"/>
          <w:bCs/>
          <w:i/>
          <w:color w:val="000000"/>
          <w:sz w:val="28"/>
          <w:szCs w:val="28"/>
          <w:highlight w:val="white"/>
        </w:rPr>
      </w:r>
    </w:p>
    <w:p>
      <w:pPr>
        <w:ind w:right="1" w:firstLine="709"/>
        <w:jc w:val="both"/>
        <w:spacing w:after="0"/>
        <w:rPr>
          <w:rFonts w:ascii="Times New Roman" w:hAnsi="Times New Roman"/>
          <w:bCs/>
          <w:i/>
          <w:sz w:val="28"/>
          <w:szCs w:val="28"/>
        </w:rPr>
      </w:pPr>
      <w:r>
        <w:rPr>
          <w:rFonts w:ascii="Times New Roman" w:hAnsi="Times New Roman" w:eastAsia="Times New Roman"/>
          <w:i/>
          <w:iCs/>
          <w:color w:val="000000"/>
          <w:sz w:val="28"/>
          <w:szCs w:val="28"/>
          <w:highlight w:val="white"/>
        </w:rPr>
        <w:t xml:space="preserve">В соответствии с санитарными правилами, на территории свалки сжигание мусора не допускается. Кроме того, ответственные лица должны принимать необходимые меры по недопущению самовозгорания отходов.</w:t>
      </w:r>
      <w:r>
        <w:rPr>
          <w:rFonts w:ascii="Times New Roman" w:hAnsi="Times New Roman"/>
          <w:bCs/>
          <w:i/>
          <w:sz w:val="28"/>
          <w:szCs w:val="28"/>
        </w:rPr>
      </w:r>
      <w:r>
        <w:rPr>
          <w:rFonts w:ascii="Times New Roman" w:hAnsi="Times New Roman"/>
          <w:bCs/>
          <w:i/>
          <w:sz w:val="28"/>
          <w:szCs w:val="28"/>
        </w:rPr>
      </w:r>
    </w:p>
    <w:p>
      <w:pPr>
        <w:ind w:right="1" w:firstLine="709"/>
        <w:jc w:val="both"/>
        <w:spacing w:after="0"/>
        <w:rPr>
          <w:rFonts w:ascii="Times New Roman" w:hAnsi="Times New Roman"/>
          <w:bCs/>
          <w:i/>
          <w:color w:val="000000"/>
          <w:sz w:val="28"/>
          <w:szCs w:val="28"/>
          <w:highlight w:val="white"/>
        </w:rPr>
      </w:pPr>
      <w:r>
        <w:rPr>
          <w:rFonts w:ascii="Times New Roman" w:hAnsi="Times New Roman" w:eastAsia="Times New Roman"/>
          <w:i/>
          <w:iCs/>
          <w:color w:val="000000"/>
          <w:sz w:val="28"/>
          <w:szCs w:val="28"/>
          <w:highlight w:val="white"/>
        </w:rPr>
        <w:t xml:space="preserve">Однако </w:t>
      </w:r>
      <w:r>
        <w:rPr>
          <w:rFonts w:ascii="Times New Roman" w:hAnsi="Times New Roman" w:eastAsia="Times New Roman"/>
          <w:i/>
          <w:iCs/>
          <w:color w:val="000000"/>
          <w:sz w:val="28"/>
          <w:szCs w:val="28"/>
          <w:highlight w:val="white"/>
        </w:rPr>
        <w:t xml:space="preserve">мусорки</w:t>
      </w:r>
      <w:r>
        <w:rPr>
          <w:rFonts w:ascii="Times New Roman" w:hAnsi="Times New Roman" w:eastAsia="Times New Roman"/>
          <w:i/>
          <w:iCs/>
          <w:color w:val="000000"/>
          <w:sz w:val="28"/>
          <w:szCs w:val="28"/>
          <w:highlight w:val="white"/>
        </w:rPr>
        <w:t xml:space="preserve"> горят и горят довольно часто.</w:t>
      </w:r>
      <w:r>
        <w:rPr>
          <w:rFonts w:ascii="Times New Roman" w:hAnsi="Times New Roman"/>
          <w:bCs/>
          <w:i/>
          <w:color w:val="000000"/>
          <w:sz w:val="28"/>
          <w:szCs w:val="28"/>
          <w:highlight w:val="white"/>
        </w:rPr>
      </w:r>
      <w:r>
        <w:rPr>
          <w:rFonts w:ascii="Times New Roman" w:hAnsi="Times New Roman"/>
          <w:bCs/>
          <w:i/>
          <w:color w:val="000000"/>
          <w:sz w:val="28"/>
          <w:szCs w:val="28"/>
          <w:highlight w:val="white"/>
        </w:rPr>
      </w:r>
    </w:p>
    <w:p>
      <w:pPr>
        <w:ind w:right="1" w:firstLine="709"/>
        <w:jc w:val="both"/>
        <w:spacing w:after="0"/>
        <w:rPr>
          <w:rFonts w:ascii="Times New Roman" w:hAnsi="Times New Roman"/>
          <w:bCs/>
          <w:i/>
          <w:color w:val="000000"/>
          <w:sz w:val="28"/>
          <w:szCs w:val="28"/>
        </w:rPr>
      </w:pPr>
      <w:r>
        <w:rPr>
          <w:rFonts w:ascii="Times New Roman" w:hAnsi="Times New Roman" w:eastAsia="Times New Roman"/>
          <w:i/>
          <w:iCs/>
          <w:color w:val="000000"/>
          <w:sz w:val="28"/>
          <w:szCs w:val="28"/>
          <w:highlight w:val="white"/>
        </w:rPr>
        <w:t xml:space="preserve">Причины разные – это самовозгорание под воздействием высокой температуры под плотными слоями мусора и внешних факторов, неправильная утилизация отдельных видов отходов и поджоги.</w:t>
      </w:r>
      <w:r>
        <w:rPr>
          <w:rFonts w:ascii="Times New Roman" w:hAnsi="Times New Roman" w:eastAsia="Times New Roman"/>
          <w:i/>
          <w:iCs/>
          <w:color w:val="000000"/>
          <w:sz w:val="28"/>
          <w:szCs w:val="28"/>
          <w:highlight w:val="white"/>
        </w:rPr>
        <w:br/>
        <w:t xml:space="preserve">Следствие таких возгораний – плохое самочувствие у людей, так как все примеси в воздухе мы вдыхаем в свои легкие. В зависимости от концентрации вредных веществ и времени их воздействия реакции организма могут быть разными. </w:t>
      </w:r>
      <w:r>
        <w:rPr>
          <w:rFonts w:ascii="Times New Roman" w:hAnsi="Times New Roman"/>
          <w:bCs/>
          <w:i/>
          <w:color w:val="000000"/>
          <w:sz w:val="28"/>
          <w:szCs w:val="28"/>
        </w:rPr>
      </w:r>
      <w:r>
        <w:rPr>
          <w:rFonts w:ascii="Times New Roman" w:hAnsi="Times New Roman"/>
          <w:bCs/>
          <w:i/>
          <w:color w:val="000000"/>
          <w:sz w:val="28"/>
          <w:szCs w:val="28"/>
        </w:rPr>
      </w:r>
    </w:p>
    <w:p>
      <w:pPr>
        <w:ind w:right="1" w:firstLine="709"/>
        <w:jc w:val="both"/>
        <w:spacing w:after="0"/>
        <w:rPr>
          <w:rFonts w:ascii="Times New Roman" w:hAnsi="Times New Roman"/>
          <w:bCs/>
          <w:i/>
          <w:color w:val="000000"/>
          <w:sz w:val="28"/>
          <w:szCs w:val="28"/>
        </w:rPr>
      </w:pPr>
      <w:r>
        <w:rPr>
          <w:rFonts w:ascii="Times New Roman" w:hAnsi="Times New Roman" w:eastAsia="Times New Roman"/>
          <w:i/>
          <w:iCs/>
          <w:color w:val="000000"/>
          <w:sz w:val="28"/>
          <w:szCs w:val="28"/>
        </w:rPr>
        <w:t xml:space="preserve">В адрес регионального омбудсмена поступило обращение жителей городского округа Вичуга, в котором сообщалось о возгорании на полигоне твердых коммунальных отходов МКУ г.о. Вичуга «САХ и благоустройство».</w:t>
      </w:r>
      <w:r>
        <w:rPr>
          <w:rFonts w:ascii="Times New Roman" w:hAnsi="Times New Roman"/>
          <w:bCs/>
          <w:i/>
          <w:color w:val="000000"/>
          <w:sz w:val="28"/>
          <w:szCs w:val="28"/>
        </w:rPr>
      </w:r>
      <w:r>
        <w:rPr>
          <w:rFonts w:ascii="Times New Roman" w:hAnsi="Times New Roman"/>
          <w:bCs/>
          <w:i/>
          <w:color w:val="000000"/>
          <w:sz w:val="28"/>
          <w:szCs w:val="28"/>
        </w:rPr>
      </w:r>
    </w:p>
    <w:p>
      <w:pPr>
        <w:ind w:right="1" w:firstLine="709"/>
        <w:jc w:val="both"/>
        <w:spacing w:after="0"/>
        <w:rPr>
          <w:rFonts w:ascii="Times New Roman" w:hAnsi="Times New Roman"/>
          <w:bCs/>
          <w:i/>
          <w:color w:val="000000"/>
          <w:sz w:val="28"/>
          <w:szCs w:val="28"/>
        </w:rPr>
      </w:pPr>
      <w:r>
        <w:rPr>
          <w:rFonts w:ascii="Times New Roman" w:hAnsi="Times New Roman" w:eastAsia="Times New Roman"/>
          <w:i/>
          <w:iCs/>
          <w:color w:val="000000"/>
          <w:sz w:val="28"/>
          <w:szCs w:val="28"/>
        </w:rPr>
        <w:t xml:space="preserve">Незамедлительно сделан запрос в Ивановскую межрайонную природоохранную прокуратуру с просьбой </w:t>
      </w:r>
      <w:r>
        <w:rPr>
          <w:rFonts w:ascii="Times New Roman" w:hAnsi="Times New Roman" w:eastAsia="Times New Roman"/>
          <w:i/>
          <w:iCs/>
          <w:color w:val="000000"/>
          <w:sz w:val="28"/>
          <w:szCs w:val="28"/>
        </w:rPr>
        <w:t xml:space="preserve">провести</w:t>
      </w:r>
      <w:r>
        <w:rPr>
          <w:rFonts w:ascii="Times New Roman" w:hAnsi="Times New Roman" w:eastAsia="Times New Roman"/>
          <w:i/>
          <w:iCs/>
          <w:color w:val="000000"/>
          <w:sz w:val="28"/>
          <w:szCs w:val="28"/>
        </w:rPr>
        <w:t xml:space="preserve"> проверку по вышеуказанному факту. </w:t>
      </w:r>
      <w:r>
        <w:rPr>
          <w:rFonts w:ascii="Times New Roman" w:hAnsi="Times New Roman"/>
          <w:bCs/>
          <w:i/>
          <w:color w:val="000000"/>
          <w:sz w:val="28"/>
          <w:szCs w:val="28"/>
        </w:rPr>
      </w:r>
      <w:r>
        <w:rPr>
          <w:rFonts w:ascii="Times New Roman" w:hAnsi="Times New Roman"/>
          <w:bCs/>
          <w:i/>
          <w:color w:val="000000"/>
          <w:sz w:val="28"/>
          <w:szCs w:val="28"/>
        </w:rPr>
      </w:r>
    </w:p>
    <w:p>
      <w:pPr>
        <w:ind w:right="1" w:firstLine="709"/>
        <w:jc w:val="both"/>
        <w:spacing w:after="0"/>
        <w:rPr>
          <w:rFonts w:ascii="Times New Roman" w:hAnsi="Times New Roman"/>
          <w:bCs/>
          <w:i/>
          <w:color w:val="000000"/>
          <w:sz w:val="28"/>
          <w:szCs w:val="28"/>
        </w:rPr>
      </w:pPr>
      <w:r>
        <w:rPr>
          <w:rFonts w:ascii="Times New Roman" w:hAnsi="Times New Roman" w:eastAsia="Times New Roman"/>
          <w:i/>
          <w:iCs/>
          <w:color w:val="000000"/>
          <w:sz w:val="28"/>
          <w:szCs w:val="28"/>
        </w:rPr>
        <w:t xml:space="preserve">Установлено, что учреждением допущены нарушения требований природоохранного законодательства при организации размещения отходов производства и потребления.</w:t>
      </w:r>
      <w:r>
        <w:rPr>
          <w:rFonts w:ascii="Times New Roman" w:hAnsi="Times New Roman"/>
          <w:bCs/>
          <w:i/>
          <w:color w:val="000000"/>
          <w:sz w:val="28"/>
          <w:szCs w:val="28"/>
        </w:rPr>
      </w:r>
      <w:r>
        <w:rPr>
          <w:rFonts w:ascii="Times New Roman" w:hAnsi="Times New Roman"/>
          <w:bCs/>
          <w:i/>
          <w:color w:val="000000"/>
          <w:sz w:val="28"/>
          <w:szCs w:val="28"/>
        </w:rPr>
      </w:r>
    </w:p>
    <w:p>
      <w:pPr>
        <w:ind w:right="1" w:firstLine="709"/>
        <w:jc w:val="both"/>
        <w:spacing w:after="0"/>
        <w:rPr>
          <w:rFonts w:ascii="Times New Roman" w:hAnsi="Times New Roman"/>
          <w:bCs/>
          <w:i/>
          <w:color w:val="000000"/>
          <w:sz w:val="28"/>
          <w:szCs w:val="28"/>
        </w:rPr>
      </w:pPr>
      <w:r>
        <w:rPr>
          <w:rFonts w:ascii="Times New Roman" w:hAnsi="Times New Roman" w:eastAsia="Times New Roman"/>
          <w:i/>
          <w:iCs/>
          <w:color w:val="000000"/>
          <w:sz w:val="28"/>
          <w:szCs w:val="28"/>
        </w:rPr>
        <w:t xml:space="preserve">В связи с выявленными нарушениями в Волжскую межрегиональную природоохранную прокуратуру для согласования направлен проект постановления о возбуждении</w:t>
      </w:r>
      <w:r>
        <w:rPr>
          <w:rFonts w:ascii="Times New Roman" w:hAnsi="Times New Roman" w:eastAsia="Times New Roman"/>
          <w:i/>
          <w:iCs/>
          <w:color w:val="000000"/>
          <w:sz w:val="28"/>
          <w:szCs w:val="28"/>
        </w:rPr>
        <w:t xml:space="preserve"> дела об административном правонарушении по ст. 8.2. </w:t>
      </w:r>
      <w:r>
        <w:rPr>
          <w:rFonts w:ascii="Times New Roman" w:hAnsi="Times New Roman" w:eastAsia="Times New Roman"/>
          <w:i/>
          <w:iCs/>
          <w:color w:val="000000"/>
          <w:sz w:val="28"/>
          <w:szCs w:val="28"/>
        </w:rPr>
        <w:t xml:space="preserve">КоАП</w:t>
      </w:r>
      <w:r>
        <w:rPr>
          <w:rFonts w:ascii="Times New Roman" w:hAnsi="Times New Roman" w:eastAsia="Times New Roman"/>
          <w:i/>
          <w:iCs/>
          <w:color w:val="000000"/>
          <w:sz w:val="28"/>
          <w:szCs w:val="28"/>
        </w:rPr>
        <w:t xml:space="preserve"> РФ (несоблюдение требований охраны окружающей среды при размещении отходов производства и потребления). </w:t>
      </w:r>
      <w:r>
        <w:rPr>
          <w:rFonts w:ascii="Times New Roman" w:hAnsi="Times New Roman"/>
          <w:bCs/>
          <w:i/>
          <w:color w:val="000000"/>
          <w:sz w:val="28"/>
          <w:szCs w:val="28"/>
        </w:rPr>
      </w:r>
      <w:r>
        <w:rPr>
          <w:rFonts w:ascii="Times New Roman" w:hAnsi="Times New Roman"/>
          <w:bCs/>
          <w:i/>
          <w:color w:val="000000"/>
          <w:sz w:val="28"/>
          <w:szCs w:val="28"/>
        </w:rPr>
      </w:r>
    </w:p>
    <w:p>
      <w:pPr>
        <w:ind w:right="1" w:firstLine="709"/>
        <w:jc w:val="both"/>
        <w:spacing w:after="0"/>
        <w:rPr>
          <w:rFonts w:ascii="Times New Roman" w:hAnsi="Times New Roman"/>
          <w:color w:val="000000"/>
          <w:sz w:val="28"/>
          <w:szCs w:val="28"/>
        </w:rPr>
      </w:pPr>
      <w:r>
        <w:rPr>
          <w:rFonts w:ascii="Times New Roman" w:hAnsi="Times New Roman" w:eastAsia="Times New Roman"/>
          <w:color w:val="000000"/>
          <w:sz w:val="28"/>
          <w:szCs w:val="28"/>
        </w:rPr>
        <w:t xml:space="preserve">Тема вырубки лесов также была на повестке регионального омбудсмена в 2025 году. Ведь л</w:t>
      </w:r>
      <w:r>
        <w:rPr>
          <w:rFonts w:ascii="Times New Roman" w:hAnsi="Times New Roman" w:eastAsia="Times New Roman"/>
          <w:color w:val="000000"/>
          <w:sz w:val="28"/>
          <w:szCs w:val="28"/>
          <w:highlight w:val="white"/>
        </w:rPr>
        <w:t xml:space="preserve">ес — не просто скопление деревьев. Это живой организм, дышащий, пульсирующий, хранящий тысячелетнюю мудрость природы.</w:t>
      </w:r>
      <w:r>
        <w:rPr>
          <w:rFonts w:ascii="Times New Roman" w:hAnsi="Times New Roman"/>
          <w:color w:val="000000"/>
          <w:sz w:val="28"/>
          <w:szCs w:val="28"/>
        </w:rPr>
      </w:r>
      <w:r>
        <w:rPr>
          <w:rFonts w:ascii="Times New Roman" w:hAnsi="Times New Roman"/>
          <w:color w:val="000000"/>
          <w:sz w:val="28"/>
          <w:szCs w:val="28"/>
        </w:rPr>
      </w:r>
    </w:p>
    <w:p>
      <w:pPr>
        <w:ind w:right="1" w:firstLine="709"/>
        <w:jc w:val="both"/>
        <w:spacing w:after="0"/>
        <w:rPr>
          <w:rFonts w:ascii="Times New Roman" w:hAnsi="Times New Roman"/>
          <w:color w:val="000000"/>
          <w:sz w:val="28"/>
          <w:szCs w:val="28"/>
          <w:highlight w:val="white"/>
        </w:rPr>
      </w:pPr>
      <w:r>
        <w:rPr>
          <w:rFonts w:ascii="Times New Roman" w:hAnsi="Times New Roman" w:eastAsia="Times New Roman"/>
          <w:color w:val="000000"/>
          <w:sz w:val="28"/>
          <w:szCs w:val="28"/>
          <w:highlight w:val="white"/>
        </w:rPr>
        <w:t xml:space="preserve">Когда падает очередное дерево, мы теряем не только древесину, так как вырубка лесов оказывает прямое влияние на здоровье и жизнь человека через ряд экологических, климатических и социально-экономических последствий. </w:t>
      </w:r>
      <w:r>
        <w:rPr>
          <w:rFonts w:ascii="Times New Roman" w:hAnsi="Times New Roman"/>
          <w:color w:val="000000"/>
          <w:sz w:val="28"/>
          <w:szCs w:val="28"/>
          <w:highlight w:val="white"/>
        </w:rPr>
      </w:r>
      <w:r>
        <w:rPr>
          <w:rFonts w:ascii="Times New Roman" w:hAnsi="Times New Roman"/>
          <w:color w:val="000000"/>
          <w:sz w:val="28"/>
          <w:szCs w:val="28"/>
          <w:highlight w:val="white"/>
        </w:rPr>
      </w:r>
    </w:p>
    <w:p>
      <w:pPr>
        <w:ind w:right="1" w:firstLine="709"/>
        <w:jc w:val="both"/>
        <w:spacing w:after="0"/>
        <w:rPr>
          <w:rFonts w:ascii="Times New Roman" w:hAnsi="Times New Roman"/>
          <w:color w:val="000000"/>
          <w:sz w:val="28"/>
          <w:szCs w:val="28"/>
        </w:rPr>
      </w:pPr>
      <w:r>
        <w:rPr>
          <w:rFonts w:ascii="Times New Roman" w:hAnsi="Times New Roman" w:eastAsia="Times New Roman"/>
          <w:color w:val="000000"/>
          <w:sz w:val="28"/>
          <w:szCs w:val="28"/>
          <w:highlight w:val="white"/>
        </w:rPr>
        <w:t xml:space="preserve">Леса выполняют ключевые функции, которые поддерживают баланс природы и обеспечивают благополучие человечества. Их уничтожение нарушает этот баланс, что приводит к серьезным последствиям.</w:t>
      </w:r>
      <w:r>
        <w:rPr>
          <w:rFonts w:ascii="Times New Roman" w:hAnsi="Times New Roman"/>
          <w:color w:val="000000"/>
          <w:sz w:val="28"/>
          <w:szCs w:val="28"/>
        </w:rPr>
      </w:r>
      <w:r>
        <w:rPr>
          <w:rFonts w:ascii="Times New Roman" w:hAnsi="Times New Roman"/>
          <w:color w:val="000000"/>
          <w:sz w:val="28"/>
          <w:szCs w:val="28"/>
        </w:rPr>
      </w:r>
    </w:p>
    <w:p>
      <w:pPr>
        <w:ind w:right="1" w:firstLine="709"/>
        <w:jc w:val="both"/>
        <w:spacing w:after="0"/>
        <w:rPr>
          <w:rFonts w:ascii="Times New Roman" w:hAnsi="Times New Roman" w:eastAsia="Times New Roman"/>
          <w:bCs/>
          <w:i/>
          <w:color w:val="000000"/>
          <w:sz w:val="28"/>
          <w:szCs w:val="28"/>
          <w:highlight w:val="white"/>
        </w:rPr>
      </w:pPr>
      <w:r>
        <w:rPr>
          <w:rFonts w:ascii="Times New Roman" w:hAnsi="Times New Roman" w:eastAsia="Times New Roman"/>
          <w:i/>
          <w:iCs/>
          <w:color w:val="000000"/>
          <w:sz w:val="28"/>
          <w:szCs w:val="28"/>
          <w:highlight w:val="white"/>
        </w:rPr>
        <w:t xml:space="preserve">Очередной тревожный сигнал о  вырубке леса озвучен жителями                          </w:t>
      </w:r>
      <w:r>
        <w:rPr>
          <w:rFonts w:ascii="Times New Roman" w:hAnsi="Times New Roman" w:eastAsia="Times New Roman"/>
          <w:i/>
          <w:iCs/>
          <w:color w:val="000000"/>
          <w:sz w:val="28"/>
          <w:szCs w:val="28"/>
          <w:highlight w:val="white"/>
        </w:rPr>
        <w:t xml:space="preserve">г</w:t>
      </w:r>
      <w:r>
        <w:rPr>
          <w:rFonts w:ascii="Times New Roman" w:hAnsi="Times New Roman" w:eastAsia="Times New Roman"/>
          <w:i/>
          <w:iCs/>
          <w:color w:val="000000"/>
          <w:sz w:val="28"/>
          <w:szCs w:val="28"/>
          <w:highlight w:val="white"/>
        </w:rPr>
        <w:t xml:space="preserve">. Наволоки. Граждане обеспокоены. По их </w:t>
      </w:r>
      <w:r>
        <w:rPr>
          <w:rFonts w:ascii="Times New Roman" w:hAnsi="Times New Roman" w:eastAsia="Times New Roman"/>
          <w:i/>
          <w:iCs/>
          <w:color w:val="000000"/>
          <w:sz w:val="28"/>
          <w:szCs w:val="28"/>
          <w:highlight w:val="white"/>
        </w:rPr>
        <w:t xml:space="preserve">мнению</w:t>
      </w:r>
      <w:r>
        <w:rPr>
          <w:rFonts w:ascii="Times New Roman" w:hAnsi="Times New Roman" w:eastAsia="Times New Roman"/>
          <w:i/>
          <w:iCs/>
          <w:color w:val="000000"/>
          <w:sz w:val="28"/>
          <w:szCs w:val="28"/>
          <w:highlight w:val="white"/>
        </w:rPr>
        <w:t xml:space="preserve"> пилят не старые, больные или аварийные деревья, а сильные и красивые.</w:t>
      </w:r>
      <w:r>
        <w:rPr>
          <w:rFonts w:ascii="Times New Roman" w:hAnsi="Times New Roman" w:eastAsia="Times New Roman"/>
          <w:bCs/>
          <w:i/>
          <w:color w:val="000000"/>
          <w:sz w:val="28"/>
          <w:szCs w:val="28"/>
          <w:highlight w:val="white"/>
        </w:rPr>
      </w:r>
      <w:r>
        <w:rPr>
          <w:rFonts w:ascii="Times New Roman" w:hAnsi="Times New Roman" w:eastAsia="Times New Roman"/>
          <w:bCs/>
          <w:i/>
          <w:color w:val="000000"/>
          <w:sz w:val="28"/>
          <w:szCs w:val="28"/>
          <w:highlight w:val="white"/>
        </w:rPr>
      </w:r>
    </w:p>
    <w:p>
      <w:pPr>
        <w:ind w:right="1" w:firstLine="709"/>
        <w:jc w:val="both"/>
        <w:spacing w:after="0"/>
        <w:rPr>
          <w:rFonts w:ascii="Times New Roman" w:hAnsi="Times New Roman"/>
          <w:bCs/>
          <w:i/>
          <w:color w:val="000000"/>
          <w:sz w:val="28"/>
          <w:szCs w:val="28"/>
        </w:rPr>
      </w:pPr>
      <w:r>
        <w:rPr>
          <w:rFonts w:ascii="Times New Roman" w:hAnsi="Times New Roman" w:eastAsia="Times New Roman"/>
          <w:i/>
          <w:iCs/>
          <w:color w:val="000000"/>
          <w:sz w:val="28"/>
          <w:szCs w:val="28"/>
          <w:highlight w:val="white"/>
        </w:rPr>
        <w:t xml:space="preserve">Уполномоченный взяла в работу озвученную историю и направила письмо в природоохранную прокуратуру с просьбой проведения проверки по данному факту.</w:t>
      </w:r>
      <w:r>
        <w:rPr>
          <w:rFonts w:ascii="Times New Roman" w:hAnsi="Times New Roman"/>
          <w:bCs/>
          <w:i/>
          <w:color w:val="000000"/>
          <w:sz w:val="28"/>
          <w:szCs w:val="28"/>
        </w:rPr>
      </w:r>
      <w:r>
        <w:rPr>
          <w:rFonts w:ascii="Times New Roman" w:hAnsi="Times New Roman"/>
          <w:bCs/>
          <w:i/>
          <w:color w:val="000000"/>
          <w:sz w:val="28"/>
          <w:szCs w:val="28"/>
        </w:rPr>
      </w:r>
    </w:p>
    <w:p>
      <w:pPr>
        <w:ind w:right="1" w:firstLine="709"/>
        <w:jc w:val="both"/>
        <w:spacing w:after="0"/>
        <w:rPr>
          <w:rFonts w:ascii="Times New Roman" w:hAnsi="Times New Roman" w:eastAsia="Times New Roman"/>
          <w:color w:val="000000"/>
          <w:sz w:val="28"/>
          <w:szCs w:val="28"/>
        </w:rPr>
      </w:pPr>
      <w:r>
        <w:rPr>
          <w:rFonts w:ascii="Times New Roman" w:hAnsi="Times New Roman" w:eastAsia="Times New Roman"/>
          <w:color w:val="000000"/>
          <w:sz w:val="28"/>
          <w:szCs w:val="28"/>
          <w:highlight w:val="white"/>
        </w:rPr>
        <w:t xml:space="preserve">Важно понять, если не</w:t>
      </w:r>
      <w:r>
        <w:rPr>
          <w:rFonts w:ascii="Times New Roman" w:hAnsi="Times New Roman" w:eastAsia="Times New Roman"/>
          <w:color w:val="000000"/>
          <w:sz w:val="28"/>
          <w:szCs w:val="28"/>
          <w:highlight w:val="white"/>
        </w:rPr>
        <w:t xml:space="preserve"> решать проблемы экологической обстановки, просто ждать, то они станут необратимыми.  Омбудсмен отмечает, что руководством и сотрудниками комплекса регионального правительства, отвечающего за экологическую безопасн</w:t>
      </w:r>
      <w:r>
        <w:rPr>
          <w:rFonts w:ascii="Times New Roman" w:hAnsi="Times New Roman" w:eastAsia="Times New Roman"/>
          <w:color w:val="000000"/>
          <w:sz w:val="28"/>
          <w:szCs w:val="28"/>
          <w:highlight w:val="white"/>
        </w:rPr>
        <w:t xml:space="preserve">ость и реализацию конституционных прав граждан, выстроена работа прозрачно, адресно. Действовать нужно сейчас. Каждый шаг, даже самый маленький, имеет значение. Когда таких шагов становится много — они превращаются в движение, которое меняет мир к лучшему.</w:t>
      </w:r>
      <w:r>
        <w:rPr>
          <w:rFonts w:ascii="Times New Roman" w:hAnsi="Times New Roman" w:eastAsia="Times New Roman"/>
          <w:color w:val="000000"/>
          <w:sz w:val="28"/>
          <w:szCs w:val="28"/>
        </w:rPr>
      </w:r>
      <w:r>
        <w:rPr>
          <w:rFonts w:ascii="Times New Roman" w:hAnsi="Times New Roman" w:eastAsia="Times New Roman"/>
          <w:color w:val="000000"/>
          <w:sz w:val="28"/>
          <w:szCs w:val="28"/>
        </w:rPr>
      </w:r>
    </w:p>
    <w:p>
      <w:pPr>
        <w:ind w:right="440" w:firstLine="709"/>
        <w:jc w:val="both"/>
        <w:spacing w:after="0"/>
        <w:rPr>
          <w:rFonts w:ascii="Times New Roman" w:hAnsi="Times New Roman"/>
          <w:bCs/>
          <w:i/>
          <w:sz w:val="28"/>
          <w:szCs w:val="28"/>
        </w:rPr>
      </w:pPr>
      <w:r>
        <w:rPr>
          <w:rFonts w:ascii="Times New Roman" w:hAnsi="Times New Roman"/>
          <w:bCs/>
          <w:i/>
          <w:sz w:val="28"/>
          <w:szCs w:val="28"/>
        </w:rPr>
      </w:r>
      <w:r>
        <w:rPr>
          <w:rFonts w:ascii="Times New Roman" w:hAnsi="Times New Roman"/>
          <w:bCs/>
          <w:i/>
          <w:sz w:val="28"/>
          <w:szCs w:val="28"/>
        </w:rPr>
      </w:r>
      <w:r>
        <w:rPr>
          <w:rFonts w:ascii="Times New Roman" w:hAnsi="Times New Roman"/>
          <w:bCs/>
          <w:i/>
          <w:sz w:val="28"/>
          <w:szCs w:val="28"/>
        </w:rPr>
      </w:r>
    </w:p>
    <w:p>
      <w:pPr>
        <w:pStyle w:val="1226"/>
        <w:rPr>
          <w:rFonts w:ascii="Times New Roman" w:hAnsi="Times New Roman"/>
          <w:b/>
          <w:bCs/>
          <w:sz w:val="28"/>
          <w:szCs w:val="28"/>
        </w:rPr>
      </w:pPr>
      <w:r/>
      <w:bookmarkStart w:id="54" w:name="_Toc32"/>
      <w:r>
        <w:rPr>
          <w:rStyle w:val="1252"/>
          <w:rFonts w:ascii="Times New Roman" w:hAnsi="Times New Roman" w:eastAsia="Times New Roman" w:cs="Times New Roman"/>
          <w:color w:val="000000" w:themeColor="text1"/>
          <w:sz w:val="28"/>
          <w:szCs w:val="28"/>
        </w:rPr>
        <w:t xml:space="preserve">Уполномоченный рекомендует</w:t>
      </w:r>
      <w:r>
        <w:rPr>
          <w:rFonts w:ascii="Times New Roman" w:hAnsi="Times New Roman" w:eastAsia="Times New Roman"/>
          <w:b/>
          <w:bCs/>
          <w:color w:val="000000"/>
          <w:sz w:val="28"/>
          <w:szCs w:val="28"/>
        </w:rPr>
        <w:t xml:space="preserve">:</w:t>
      </w:r>
      <w:r>
        <w:rPr>
          <w:rFonts w:ascii="Times New Roman" w:hAnsi="Times New Roman"/>
          <w:b/>
          <w:bCs/>
          <w:sz w:val="28"/>
          <w:szCs w:val="28"/>
        </w:rPr>
      </w:r>
      <w:bookmarkEnd w:id="54"/>
      <w:r>
        <w:rPr>
          <w:rFonts w:ascii="Times New Roman" w:hAnsi="Times New Roman"/>
          <w:b/>
          <w:bCs/>
          <w:sz w:val="28"/>
          <w:szCs w:val="28"/>
        </w:rPr>
      </w:r>
      <w:r>
        <w:rPr>
          <w:rFonts w:ascii="Times New Roman" w:hAnsi="Times New Roman"/>
          <w:b/>
          <w:bCs/>
          <w:sz w:val="28"/>
          <w:szCs w:val="28"/>
        </w:rPr>
      </w:r>
    </w:p>
    <w:p>
      <w:pPr>
        <w:ind w:right="440" w:firstLine="709"/>
        <w:jc w:val="both"/>
        <w:spacing w:after="0"/>
        <w:rPr>
          <w:rFonts w:ascii="Times New Roman" w:hAnsi="Times New Roman"/>
          <w:b/>
          <w:bCs/>
          <w:sz w:val="28"/>
          <w:szCs w:val="28"/>
        </w:rPr>
      </w:pPr>
      <w:r>
        <w:rPr>
          <w:rFonts w:ascii="Times New Roman" w:hAnsi="Times New Roman"/>
          <w:b/>
          <w:bCs/>
          <w:sz w:val="28"/>
          <w:szCs w:val="28"/>
        </w:rPr>
      </w:r>
      <w:r>
        <w:rPr>
          <w:rFonts w:ascii="Times New Roman" w:hAnsi="Times New Roman"/>
          <w:b/>
          <w:bCs/>
          <w:sz w:val="28"/>
          <w:szCs w:val="28"/>
        </w:rPr>
      </w:r>
      <w:r>
        <w:rPr>
          <w:rFonts w:ascii="Times New Roman" w:hAnsi="Times New Roman"/>
          <w:b/>
          <w:bCs/>
          <w:sz w:val="28"/>
          <w:szCs w:val="28"/>
        </w:rPr>
      </w:r>
    </w:p>
    <w:p>
      <w:pPr>
        <w:ind w:right="1" w:firstLine="709"/>
        <w:jc w:val="both"/>
        <w:spacing w:after="0"/>
        <w:rPr>
          <w:rFonts w:ascii="Times New Roman" w:hAnsi="Times New Roman"/>
          <w:i/>
          <w:sz w:val="28"/>
          <w:szCs w:val="28"/>
        </w:rPr>
      </w:pPr>
      <w:r>
        <w:rPr>
          <w:rFonts w:ascii="Times New Roman" w:hAnsi="Times New Roman" w:eastAsia="Times New Roman"/>
          <w:b/>
          <w:i/>
          <w:sz w:val="28"/>
          <w:szCs w:val="28"/>
        </w:rPr>
        <w:t xml:space="preserve">Правительству Ивановской области: </w:t>
      </w:r>
      <w:r>
        <w:rPr>
          <w:rFonts w:ascii="Times New Roman" w:hAnsi="Times New Roman"/>
          <w:i/>
          <w:sz w:val="28"/>
          <w:szCs w:val="28"/>
        </w:rPr>
      </w:r>
      <w:r>
        <w:rPr>
          <w:rFonts w:ascii="Times New Roman" w:hAnsi="Times New Roman"/>
          <w:i/>
          <w:sz w:val="28"/>
          <w:szCs w:val="28"/>
        </w:rPr>
      </w:r>
    </w:p>
    <w:p>
      <w:pPr>
        <w:numPr>
          <w:ilvl w:val="0"/>
          <w:numId w:val="157"/>
        </w:numPr>
        <w:ind w:right="1" w:firstLine="709"/>
        <w:jc w:val="both"/>
        <w:spacing w:after="0"/>
        <w:rPr>
          <w:rFonts w:ascii="Times New Roman" w:hAnsi="Times New Roman"/>
          <w:sz w:val="28"/>
          <w:szCs w:val="28"/>
        </w:rPr>
      </w:pPr>
      <w:r>
        <w:rPr>
          <w:rFonts w:ascii="Times New Roman" w:hAnsi="Times New Roman" w:eastAsia="Times New Roman"/>
          <w:sz w:val="28"/>
          <w:szCs w:val="28"/>
        </w:rPr>
        <w:t xml:space="preserve">рассмотреть возможность внесения изменений в Дополнительные </w:t>
      </w:r>
      <w:r>
        <w:rPr>
          <w:rFonts w:ascii="Times New Roman" w:hAnsi="Times New Roman" w:eastAsia="Times New Roman"/>
          <w:sz w:val="28"/>
          <w:szCs w:val="28"/>
        </w:rPr>
        <w:t xml:space="preserve">требования к содержанию домашних животных, в том числе к их выгулу, на территории Ивановской области (утв. постановлением Правительства Ивановской области от 04.12.2023  593-п) в части обязательной регистрации домашних животных для повышения уровня правосо</w:t>
      </w:r>
      <w:r>
        <w:rPr>
          <w:rFonts w:ascii="Times New Roman" w:hAnsi="Times New Roman" w:eastAsia="Times New Roman"/>
          <w:b/>
          <w:sz w:val="28"/>
          <w:szCs w:val="28"/>
        </w:rPr>
        <w:t xml:space="preserve">з</w:t>
      </w:r>
      <w:r>
        <w:rPr>
          <w:rFonts w:ascii="Times New Roman" w:hAnsi="Times New Roman" w:eastAsia="Times New Roman"/>
          <w:sz w:val="28"/>
          <w:szCs w:val="28"/>
        </w:rPr>
        <w:t xml:space="preserve">нания и ответственности владельцев как в случаях причинения вреда животными здоровью и имуществу третьих лиц, так и в случаях причинения вреда самим</w:t>
      </w:r>
      <w:r>
        <w:rPr>
          <w:rFonts w:ascii="Times New Roman" w:hAnsi="Times New Roman" w:eastAsia="Times New Roman"/>
          <w:sz w:val="28"/>
          <w:szCs w:val="28"/>
        </w:rPr>
        <w:t xml:space="preserve"> животным. Обязательная регистрация позволит создать систему учета домашних животных, что упростит процесс идентификации </w:t>
      </w:r>
      <w:r>
        <w:rPr>
          <w:rFonts w:ascii="Times New Roman" w:hAnsi="Times New Roman" w:eastAsia="Times New Roman"/>
          <w:sz w:val="28"/>
          <w:szCs w:val="28"/>
        </w:rPr>
        <w:t xml:space="preserve">владельца</w:t>
      </w:r>
      <w:r>
        <w:rPr>
          <w:rFonts w:ascii="Times New Roman" w:hAnsi="Times New Roman" w:eastAsia="Times New Roman"/>
          <w:sz w:val="28"/>
          <w:szCs w:val="28"/>
        </w:rPr>
        <w:t xml:space="preserve"> и привлечения его к ответственности в случае нарушения правил содержания или выгула.  </w:t>
      </w:r>
      <w:r>
        <w:rPr>
          <w:rFonts w:ascii="Times New Roman" w:hAnsi="Times New Roman"/>
          <w:sz w:val="28"/>
          <w:szCs w:val="28"/>
        </w:rPr>
      </w:r>
      <w:r>
        <w:rPr>
          <w:rFonts w:ascii="Times New Roman" w:hAnsi="Times New Roman"/>
          <w:sz w:val="28"/>
          <w:szCs w:val="28"/>
        </w:rPr>
      </w:r>
    </w:p>
    <w:p>
      <w:pPr>
        <w:ind w:right="440" w:firstLine="709"/>
        <w:jc w:val="both"/>
        <w:spacing w:after="0"/>
        <w:rPr>
          <w:rFonts w:ascii="Times New Roman" w:hAnsi="Times New Roman"/>
          <w:sz w:val="28"/>
          <w:szCs w:val="28"/>
        </w:rPr>
      </w:pPr>
      <w:r>
        <w:rPr>
          <w:rFonts w:ascii="Times New Roman" w:hAnsi="Times New Roman" w:eastAsia="Times New Roman"/>
          <w:sz w:val="28"/>
          <w:szCs w:val="28"/>
        </w:rPr>
        <w:t xml:space="preserve"> </w:t>
      </w:r>
      <w:r>
        <w:rPr>
          <w:rFonts w:ascii="Times New Roman" w:hAnsi="Times New Roman"/>
          <w:sz w:val="28"/>
          <w:szCs w:val="28"/>
        </w:rPr>
      </w:r>
      <w:r>
        <w:rPr>
          <w:rFonts w:ascii="Times New Roman" w:hAnsi="Times New Roman"/>
          <w:sz w:val="28"/>
          <w:szCs w:val="28"/>
        </w:rPr>
      </w:r>
    </w:p>
    <w:p>
      <w:pPr>
        <w:ind w:right="1" w:firstLine="709"/>
        <w:jc w:val="both"/>
        <w:spacing w:after="0"/>
        <w:rPr>
          <w:rFonts w:ascii="Times New Roman" w:hAnsi="Times New Roman"/>
          <w:i/>
          <w:sz w:val="28"/>
          <w:szCs w:val="28"/>
        </w:rPr>
      </w:pPr>
      <w:r>
        <w:rPr>
          <w:rFonts w:ascii="Times New Roman" w:hAnsi="Times New Roman" w:eastAsia="Times New Roman"/>
          <w:b/>
          <w:i/>
          <w:sz w:val="28"/>
          <w:szCs w:val="28"/>
        </w:rPr>
        <w:t xml:space="preserve">Природоохранной прокуратуре Ивановской области, Межрегиональному управлению </w:t>
      </w:r>
      <w:r>
        <w:rPr>
          <w:rFonts w:ascii="Times New Roman" w:hAnsi="Times New Roman" w:eastAsia="Times New Roman"/>
          <w:b/>
          <w:i/>
          <w:sz w:val="28"/>
          <w:szCs w:val="28"/>
        </w:rPr>
        <w:t xml:space="preserve">Росприроднадзора</w:t>
      </w:r>
      <w:r>
        <w:rPr>
          <w:rFonts w:ascii="Times New Roman" w:hAnsi="Times New Roman" w:eastAsia="Times New Roman"/>
          <w:b/>
          <w:i/>
          <w:sz w:val="28"/>
          <w:szCs w:val="28"/>
        </w:rPr>
        <w:t xml:space="preserve"> по Ивановской и Владимирской областям: </w:t>
      </w:r>
      <w:r>
        <w:rPr>
          <w:rFonts w:ascii="Times New Roman" w:hAnsi="Times New Roman"/>
          <w:i/>
          <w:sz w:val="28"/>
          <w:szCs w:val="28"/>
        </w:rPr>
      </w:r>
      <w:r>
        <w:rPr>
          <w:rFonts w:ascii="Times New Roman" w:hAnsi="Times New Roman"/>
          <w:i/>
          <w:sz w:val="28"/>
          <w:szCs w:val="28"/>
        </w:rPr>
      </w:r>
    </w:p>
    <w:p>
      <w:pPr>
        <w:numPr>
          <w:ilvl w:val="0"/>
          <w:numId w:val="158"/>
        </w:numPr>
        <w:ind w:right="1" w:firstLine="709"/>
        <w:jc w:val="both"/>
        <w:spacing w:after="0"/>
        <w:rPr>
          <w:rFonts w:ascii="Times New Roman" w:hAnsi="Times New Roman"/>
          <w:sz w:val="28"/>
          <w:szCs w:val="28"/>
        </w:rPr>
      </w:pPr>
      <w:r>
        <w:rPr>
          <w:rFonts w:ascii="Times New Roman" w:hAnsi="Times New Roman" w:eastAsia="Times New Roman"/>
          <w:sz w:val="28"/>
          <w:szCs w:val="28"/>
        </w:rPr>
        <w:t xml:space="preserve">усилить </w:t>
      </w:r>
      <w:r>
        <w:rPr>
          <w:rFonts w:ascii="Times New Roman" w:hAnsi="Times New Roman" w:eastAsia="Times New Roman"/>
          <w:sz w:val="28"/>
          <w:szCs w:val="28"/>
        </w:rPr>
        <w:t xml:space="preserve">контроль за</w:t>
      </w:r>
      <w:r>
        <w:rPr>
          <w:rFonts w:ascii="Times New Roman" w:hAnsi="Times New Roman" w:eastAsia="Times New Roman"/>
          <w:sz w:val="28"/>
          <w:szCs w:val="28"/>
        </w:rPr>
        <w:t xml:space="preserve"> экологической обстановкой в регионе посредством систематического проведения инспекционных рейдов; </w:t>
      </w:r>
      <w:r>
        <w:rPr>
          <w:rFonts w:ascii="Times New Roman" w:hAnsi="Times New Roman"/>
          <w:sz w:val="28"/>
          <w:szCs w:val="28"/>
        </w:rPr>
      </w:r>
      <w:r>
        <w:rPr>
          <w:rFonts w:ascii="Times New Roman" w:hAnsi="Times New Roman"/>
          <w:sz w:val="28"/>
          <w:szCs w:val="28"/>
        </w:rPr>
      </w:r>
    </w:p>
    <w:p>
      <w:pPr>
        <w:numPr>
          <w:ilvl w:val="0"/>
          <w:numId w:val="158"/>
        </w:numPr>
        <w:ind w:right="1" w:firstLine="709"/>
        <w:jc w:val="both"/>
        <w:spacing w:after="0"/>
        <w:rPr>
          <w:rFonts w:ascii="Times New Roman" w:hAnsi="Times New Roman"/>
          <w:sz w:val="28"/>
          <w:szCs w:val="28"/>
        </w:rPr>
      </w:pPr>
      <w:r>
        <w:rPr>
          <w:rFonts w:ascii="Times New Roman" w:hAnsi="Times New Roman" w:eastAsia="Times New Roman"/>
          <w:sz w:val="28"/>
          <w:szCs w:val="28"/>
        </w:rPr>
        <w:t xml:space="preserve">продолжить цикл </w:t>
      </w:r>
      <w:r>
        <w:rPr>
          <w:rFonts w:ascii="Times New Roman" w:hAnsi="Times New Roman" w:eastAsia="Times New Roman"/>
          <w:sz w:val="28"/>
          <w:szCs w:val="28"/>
        </w:rPr>
        <w:t xml:space="preserve">правопросветительских</w:t>
      </w:r>
      <w:r>
        <w:rPr>
          <w:rFonts w:ascii="Times New Roman" w:hAnsi="Times New Roman" w:eastAsia="Times New Roman"/>
          <w:sz w:val="28"/>
          <w:szCs w:val="28"/>
        </w:rPr>
        <w:t xml:space="preserve"> программ в образовательных организациях и в СМИ по обозначенной проблеме сохранения окружающей среды. </w:t>
      </w:r>
      <w:r>
        <w:rPr>
          <w:rFonts w:ascii="Times New Roman" w:hAnsi="Times New Roman"/>
          <w:sz w:val="28"/>
          <w:szCs w:val="28"/>
        </w:rPr>
      </w:r>
      <w:r>
        <w:rPr>
          <w:rFonts w:ascii="Times New Roman" w:hAnsi="Times New Roman"/>
          <w:sz w:val="28"/>
          <w:szCs w:val="28"/>
        </w:rPr>
      </w:r>
    </w:p>
    <w:p>
      <w:pPr>
        <w:ind w:right="1" w:firstLine="709"/>
        <w:jc w:val="both"/>
        <w:spacing w:after="0"/>
        <w:rPr>
          <w:rFonts w:ascii="Times New Roman" w:hAnsi="Times New Roman"/>
          <w:sz w:val="28"/>
          <w:szCs w:val="28"/>
        </w:rPr>
      </w:pPr>
      <w:r>
        <w:rPr>
          <w:rFonts w:ascii="Times New Roman" w:hAnsi="Times New Roman" w:eastAsia="Times New Roman"/>
          <w:sz w:val="28"/>
          <w:szCs w:val="28"/>
        </w:rPr>
        <w:t xml:space="preserve"> </w:t>
      </w:r>
      <w:r>
        <w:rPr>
          <w:rFonts w:ascii="Times New Roman" w:hAnsi="Times New Roman"/>
          <w:sz w:val="28"/>
          <w:szCs w:val="28"/>
        </w:rPr>
      </w:r>
      <w:r>
        <w:rPr>
          <w:rFonts w:ascii="Times New Roman" w:hAnsi="Times New Roman"/>
          <w:sz w:val="28"/>
          <w:szCs w:val="28"/>
        </w:rPr>
      </w:r>
    </w:p>
    <w:p>
      <w:pPr>
        <w:ind w:right="1" w:firstLine="709"/>
        <w:jc w:val="both"/>
        <w:spacing w:after="0"/>
        <w:rPr>
          <w:rFonts w:ascii="Times New Roman" w:hAnsi="Times New Roman"/>
          <w:i/>
          <w:sz w:val="28"/>
          <w:szCs w:val="28"/>
        </w:rPr>
      </w:pPr>
      <w:r>
        <w:rPr>
          <w:rFonts w:ascii="Times New Roman" w:hAnsi="Times New Roman" w:eastAsia="Times New Roman"/>
          <w:b/>
          <w:i/>
          <w:sz w:val="28"/>
          <w:szCs w:val="28"/>
        </w:rPr>
        <w:t xml:space="preserve">Органам исполнительной власти муниципальных образований Ивановской области: </w:t>
      </w:r>
      <w:r>
        <w:rPr>
          <w:rFonts w:ascii="Times New Roman" w:hAnsi="Times New Roman"/>
          <w:i/>
          <w:sz w:val="28"/>
          <w:szCs w:val="28"/>
        </w:rPr>
      </w:r>
      <w:r>
        <w:rPr>
          <w:rFonts w:ascii="Times New Roman" w:hAnsi="Times New Roman"/>
          <w:i/>
          <w:sz w:val="28"/>
          <w:szCs w:val="28"/>
        </w:rPr>
      </w:r>
    </w:p>
    <w:p>
      <w:pPr>
        <w:numPr>
          <w:ilvl w:val="0"/>
          <w:numId w:val="159"/>
        </w:numPr>
        <w:ind w:right="1" w:firstLine="709"/>
        <w:jc w:val="both"/>
        <w:spacing w:after="0"/>
        <w:rPr>
          <w:rFonts w:ascii="Times New Roman" w:hAnsi="Times New Roman"/>
          <w:sz w:val="28"/>
          <w:szCs w:val="28"/>
        </w:rPr>
      </w:pPr>
      <w:r>
        <w:rPr>
          <w:rFonts w:ascii="Times New Roman" w:hAnsi="Times New Roman" w:eastAsia="Times New Roman"/>
          <w:sz w:val="28"/>
          <w:szCs w:val="28"/>
        </w:rPr>
        <w:t xml:space="preserve">рассмотреть возможность внедрения практики для управляющих компаний и ТСЖ  в городе Иваново по установке специальных контейнеров («</w:t>
      </w:r>
      <w:r>
        <w:rPr>
          <w:rFonts w:ascii="Times New Roman" w:hAnsi="Times New Roman" w:eastAsia="Times New Roman"/>
          <w:sz w:val="28"/>
          <w:szCs w:val="28"/>
        </w:rPr>
        <w:t xml:space="preserve">спам-урн</w:t>
      </w:r>
      <w:r>
        <w:rPr>
          <w:rFonts w:ascii="Times New Roman" w:hAnsi="Times New Roman" w:eastAsia="Times New Roman"/>
          <w:sz w:val="28"/>
          <w:szCs w:val="28"/>
        </w:rPr>
        <w:t xml:space="preserve">») в подъездах многоквартирных домов для сбора ненужной полиграфической продукции (рекламных листовок, буклетов и т.п.) с последующей передачей ее на переработку; </w:t>
      </w:r>
      <w:r>
        <w:rPr>
          <w:rFonts w:ascii="Times New Roman" w:hAnsi="Times New Roman"/>
          <w:sz w:val="28"/>
          <w:szCs w:val="28"/>
        </w:rPr>
      </w:r>
      <w:r>
        <w:rPr>
          <w:rFonts w:ascii="Times New Roman" w:hAnsi="Times New Roman"/>
          <w:sz w:val="28"/>
          <w:szCs w:val="28"/>
        </w:rPr>
      </w:r>
    </w:p>
    <w:p>
      <w:pPr>
        <w:numPr>
          <w:ilvl w:val="0"/>
          <w:numId w:val="159"/>
        </w:numPr>
        <w:ind w:right="1" w:firstLine="709"/>
        <w:jc w:val="both"/>
        <w:spacing w:after="0"/>
        <w:rPr>
          <w:rFonts w:ascii="Times New Roman" w:hAnsi="Times New Roman"/>
          <w:sz w:val="28"/>
          <w:szCs w:val="28"/>
        </w:rPr>
      </w:pPr>
      <w:r>
        <w:rPr>
          <w:rFonts w:ascii="Times New Roman" w:hAnsi="Times New Roman" w:eastAsia="Times New Roman"/>
          <w:sz w:val="28"/>
          <w:szCs w:val="28"/>
        </w:rPr>
        <w:t xml:space="preserve">разработать стандарты по строительству и обслуживанию зеленых объектов; </w:t>
      </w:r>
      <w:r>
        <w:rPr>
          <w:rFonts w:ascii="Times New Roman" w:hAnsi="Times New Roman"/>
          <w:sz w:val="28"/>
          <w:szCs w:val="28"/>
        </w:rPr>
      </w:r>
      <w:r>
        <w:rPr>
          <w:rFonts w:ascii="Times New Roman" w:hAnsi="Times New Roman"/>
          <w:sz w:val="28"/>
          <w:szCs w:val="28"/>
        </w:rPr>
      </w:r>
    </w:p>
    <w:p>
      <w:pPr>
        <w:numPr>
          <w:ilvl w:val="0"/>
          <w:numId w:val="159"/>
        </w:numPr>
        <w:ind w:right="1" w:firstLine="709"/>
        <w:jc w:val="both"/>
        <w:spacing w:after="0"/>
        <w:rPr>
          <w:rFonts w:ascii="Times New Roman" w:hAnsi="Times New Roman"/>
          <w:sz w:val="28"/>
          <w:szCs w:val="28"/>
        </w:rPr>
      </w:pPr>
      <w:r>
        <w:rPr>
          <w:rFonts w:ascii="Times New Roman" w:hAnsi="Times New Roman" w:eastAsia="Times New Roman"/>
          <w:sz w:val="28"/>
          <w:szCs w:val="28"/>
        </w:rPr>
        <w:t xml:space="preserve">разработать регламенты по инвентаризации зеленых насаждений на городских территориях; </w:t>
      </w:r>
      <w:r>
        <w:rPr>
          <w:rFonts w:ascii="Times New Roman" w:hAnsi="Times New Roman"/>
          <w:sz w:val="28"/>
          <w:szCs w:val="28"/>
        </w:rPr>
      </w:r>
      <w:r>
        <w:rPr>
          <w:rFonts w:ascii="Times New Roman" w:hAnsi="Times New Roman"/>
          <w:sz w:val="28"/>
          <w:szCs w:val="28"/>
        </w:rPr>
      </w:r>
    </w:p>
    <w:p>
      <w:pPr>
        <w:numPr>
          <w:ilvl w:val="0"/>
          <w:numId w:val="159"/>
        </w:numPr>
        <w:ind w:right="1" w:firstLine="709"/>
        <w:jc w:val="both"/>
        <w:spacing w:after="0"/>
        <w:rPr>
          <w:rFonts w:ascii="Times New Roman" w:hAnsi="Times New Roman"/>
          <w:sz w:val="28"/>
          <w:szCs w:val="28"/>
        </w:rPr>
      </w:pPr>
      <w:r>
        <w:rPr>
          <w:rFonts w:ascii="Times New Roman" w:hAnsi="Times New Roman" w:eastAsia="Times New Roman"/>
          <w:sz w:val="28"/>
          <w:szCs w:val="28"/>
        </w:rPr>
        <w:t xml:space="preserve">провести инвентаризацию зеленых насаждений на городских территориях; </w:t>
      </w:r>
      <w:r>
        <w:rPr>
          <w:rFonts w:ascii="Times New Roman" w:hAnsi="Times New Roman"/>
          <w:sz w:val="28"/>
          <w:szCs w:val="28"/>
        </w:rPr>
      </w:r>
      <w:r>
        <w:rPr>
          <w:rFonts w:ascii="Times New Roman" w:hAnsi="Times New Roman"/>
          <w:sz w:val="28"/>
          <w:szCs w:val="28"/>
        </w:rPr>
      </w:r>
    </w:p>
    <w:p>
      <w:pPr>
        <w:numPr>
          <w:ilvl w:val="0"/>
          <w:numId w:val="159"/>
        </w:numPr>
        <w:ind w:right="1" w:firstLine="709"/>
        <w:jc w:val="both"/>
        <w:spacing w:after="0"/>
        <w:rPr>
          <w:rFonts w:ascii="Times New Roman" w:hAnsi="Times New Roman"/>
          <w:sz w:val="28"/>
          <w:szCs w:val="28"/>
        </w:rPr>
      </w:pPr>
      <w:r>
        <w:rPr>
          <w:rFonts w:ascii="Times New Roman" w:hAnsi="Times New Roman" w:eastAsia="Times New Roman"/>
          <w:sz w:val="28"/>
          <w:szCs w:val="28"/>
        </w:rPr>
        <w:t xml:space="preserve">разработать муниципальные программы по реконструкции старых зеленых насаждений и озеленению новых территорий; </w:t>
      </w:r>
      <w:r>
        <w:rPr>
          <w:rFonts w:ascii="Times New Roman" w:hAnsi="Times New Roman"/>
          <w:sz w:val="28"/>
          <w:szCs w:val="28"/>
        </w:rPr>
      </w:r>
      <w:r>
        <w:rPr>
          <w:rFonts w:ascii="Times New Roman" w:hAnsi="Times New Roman"/>
          <w:sz w:val="28"/>
          <w:szCs w:val="28"/>
        </w:rPr>
      </w:r>
    </w:p>
    <w:p>
      <w:pPr>
        <w:numPr>
          <w:ilvl w:val="0"/>
          <w:numId w:val="159"/>
        </w:numPr>
        <w:ind w:right="1" w:firstLine="709"/>
        <w:jc w:val="both"/>
        <w:spacing w:after="0"/>
        <w:rPr>
          <w:rFonts w:ascii="Times New Roman" w:hAnsi="Times New Roman"/>
          <w:sz w:val="28"/>
          <w:szCs w:val="28"/>
        </w:rPr>
      </w:pPr>
      <w:r>
        <w:rPr>
          <w:rFonts w:ascii="Times New Roman" w:hAnsi="Times New Roman" w:eastAsia="Times New Roman"/>
          <w:sz w:val="28"/>
          <w:szCs w:val="28"/>
        </w:rPr>
        <w:t xml:space="preserve">разработать план мероприятий по  возможному строительству </w:t>
      </w:r>
      <w:r>
        <w:rPr>
          <w:rFonts w:ascii="Times New Roman" w:hAnsi="Times New Roman" w:eastAsia="Times New Roman"/>
          <w:sz w:val="28"/>
          <w:szCs w:val="28"/>
        </w:rPr>
        <w:t xml:space="preserve">воднозеленого</w:t>
      </w:r>
      <w:r>
        <w:rPr>
          <w:rFonts w:ascii="Times New Roman" w:hAnsi="Times New Roman" w:eastAsia="Times New Roman"/>
          <w:sz w:val="28"/>
          <w:szCs w:val="28"/>
        </w:rPr>
        <w:t xml:space="preserve"> городского каркаса, что позволит повысить безопасность зеленой зоны. </w:t>
      </w:r>
      <w:r>
        <w:rPr>
          <w:rFonts w:ascii="Times New Roman" w:hAnsi="Times New Roman"/>
          <w:sz w:val="28"/>
          <w:szCs w:val="28"/>
        </w:rPr>
      </w:r>
      <w:r>
        <w:rPr>
          <w:rFonts w:ascii="Times New Roman" w:hAnsi="Times New Roman"/>
          <w:sz w:val="28"/>
          <w:szCs w:val="28"/>
        </w:rPr>
      </w:r>
    </w:p>
    <w:p>
      <w:pPr>
        <w:ind w:right="1" w:firstLine="709"/>
        <w:jc w:val="both"/>
        <w:spacing w:after="0"/>
        <w:rPr>
          <w:rFonts w:ascii="Times New Roman" w:hAnsi="Times New Roman"/>
          <w:sz w:val="28"/>
          <w:szCs w:val="28"/>
        </w:rPr>
      </w:pPr>
      <w:r>
        <w:rPr>
          <w:rFonts w:ascii="Times New Roman" w:hAnsi="Times New Roman" w:eastAsia="Times New Roman"/>
          <w:b/>
          <w:sz w:val="28"/>
          <w:szCs w:val="28"/>
        </w:rPr>
        <w:t xml:space="preserve"> </w:t>
      </w:r>
      <w:r>
        <w:rPr>
          <w:rFonts w:ascii="Times New Roman" w:hAnsi="Times New Roman"/>
          <w:sz w:val="28"/>
          <w:szCs w:val="28"/>
        </w:rPr>
      </w:r>
      <w:r>
        <w:rPr>
          <w:rFonts w:ascii="Times New Roman" w:hAnsi="Times New Roman"/>
          <w:sz w:val="28"/>
          <w:szCs w:val="28"/>
        </w:rPr>
      </w:r>
    </w:p>
    <w:p>
      <w:pPr>
        <w:ind w:right="1" w:firstLine="709"/>
        <w:jc w:val="both"/>
        <w:spacing w:after="0"/>
        <w:rPr>
          <w:rFonts w:ascii="Times New Roman" w:hAnsi="Times New Roman"/>
          <w:i/>
          <w:sz w:val="28"/>
          <w:szCs w:val="28"/>
        </w:rPr>
      </w:pPr>
      <w:r>
        <w:rPr>
          <w:rFonts w:ascii="Times New Roman" w:hAnsi="Times New Roman" w:eastAsia="Times New Roman"/>
          <w:b/>
          <w:i/>
          <w:sz w:val="28"/>
          <w:szCs w:val="28"/>
        </w:rPr>
        <w:t xml:space="preserve">Департаменту образованию и науки Ивановской области:  </w:t>
      </w:r>
      <w:r>
        <w:rPr>
          <w:rFonts w:ascii="Times New Roman" w:hAnsi="Times New Roman"/>
          <w:i/>
          <w:sz w:val="28"/>
          <w:szCs w:val="28"/>
        </w:rPr>
      </w:r>
      <w:r>
        <w:rPr>
          <w:rFonts w:ascii="Times New Roman" w:hAnsi="Times New Roman"/>
          <w:i/>
          <w:sz w:val="28"/>
          <w:szCs w:val="28"/>
        </w:rPr>
      </w:r>
    </w:p>
    <w:p>
      <w:pPr>
        <w:numPr>
          <w:ilvl w:val="0"/>
          <w:numId w:val="160"/>
        </w:numPr>
        <w:ind w:right="1" w:firstLine="709"/>
        <w:jc w:val="both"/>
        <w:spacing w:after="0"/>
        <w:rPr>
          <w:rFonts w:ascii="Times New Roman" w:hAnsi="Times New Roman"/>
          <w:sz w:val="28"/>
          <w:szCs w:val="28"/>
        </w:rPr>
      </w:pPr>
      <w:r>
        <w:rPr>
          <w:rFonts w:ascii="Times New Roman" w:hAnsi="Times New Roman" w:eastAsia="Times New Roman"/>
          <w:sz w:val="28"/>
          <w:szCs w:val="28"/>
        </w:rPr>
        <w:t xml:space="preserve">продолжить изучение полезных практик системы образования других субъектов страны по реализации экологических прав детей и молодёжи</w:t>
      </w:r>
      <w:r>
        <w:rPr>
          <w:rFonts w:ascii="Times New Roman" w:hAnsi="Times New Roman" w:eastAsia="Times New Roman"/>
          <w:sz w:val="28"/>
          <w:szCs w:val="28"/>
        </w:rPr>
        <w:t xml:space="preserve">;</w:t>
      </w:r>
      <w:r>
        <w:rPr>
          <w:rFonts w:ascii="Times New Roman" w:hAnsi="Times New Roman"/>
          <w:sz w:val="28"/>
          <w:szCs w:val="28"/>
        </w:rPr>
      </w:r>
      <w:r>
        <w:rPr>
          <w:rFonts w:ascii="Times New Roman" w:hAnsi="Times New Roman"/>
          <w:sz w:val="28"/>
          <w:szCs w:val="28"/>
        </w:rPr>
      </w:r>
    </w:p>
    <w:p>
      <w:pPr>
        <w:numPr>
          <w:ilvl w:val="0"/>
          <w:numId w:val="161"/>
        </w:numPr>
        <w:ind w:right="1" w:firstLine="709"/>
        <w:jc w:val="both"/>
        <w:spacing w:after="0"/>
        <w:rPr>
          <w:rFonts w:ascii="Times New Roman" w:hAnsi="Times New Roman"/>
          <w:sz w:val="28"/>
          <w:szCs w:val="28"/>
        </w:rPr>
      </w:pPr>
      <w:r>
        <w:rPr>
          <w:rFonts w:ascii="Times New Roman" w:hAnsi="Times New Roman" w:eastAsia="Times New Roman"/>
          <w:sz w:val="28"/>
          <w:szCs w:val="28"/>
        </w:rPr>
        <w:t xml:space="preserve">предусмотреть тиражирование проведения </w:t>
      </w:r>
      <w:r>
        <w:rPr>
          <w:rFonts w:ascii="Times New Roman" w:hAnsi="Times New Roman" w:eastAsia="Times New Roman"/>
          <w:sz w:val="28"/>
          <w:szCs w:val="28"/>
        </w:rPr>
        <w:t xml:space="preserve">эко-уроков и других форм воспитательной работы </w:t>
      </w:r>
      <w:r>
        <w:rPr>
          <w:rFonts w:ascii="Times New Roman" w:hAnsi="Times New Roman" w:eastAsia="Times New Roman"/>
          <w:sz w:val="28"/>
          <w:szCs w:val="28"/>
        </w:rPr>
        <w:t xml:space="preserve">в общеобразовательных учреждениях Ивановской области с выпуском информационно – аналитических материалов по повышению экологической культуры подрастающего поколения; </w:t>
      </w:r>
      <w:r>
        <w:rPr>
          <w:rFonts w:ascii="Times New Roman" w:hAnsi="Times New Roman"/>
          <w:sz w:val="28"/>
          <w:szCs w:val="28"/>
        </w:rPr>
      </w:r>
      <w:r>
        <w:rPr>
          <w:rFonts w:ascii="Times New Roman" w:hAnsi="Times New Roman"/>
          <w:sz w:val="28"/>
          <w:szCs w:val="28"/>
        </w:rPr>
      </w:r>
    </w:p>
    <w:p>
      <w:pPr>
        <w:numPr>
          <w:ilvl w:val="0"/>
          <w:numId w:val="161"/>
        </w:numPr>
        <w:ind w:right="1" w:firstLine="709"/>
        <w:jc w:val="both"/>
        <w:spacing w:after="0"/>
        <w:rPr>
          <w:rFonts w:ascii="Times New Roman" w:hAnsi="Times New Roman"/>
          <w:sz w:val="28"/>
          <w:szCs w:val="28"/>
        </w:rPr>
      </w:pPr>
      <w:r>
        <w:rPr>
          <w:rFonts w:ascii="Times New Roman" w:hAnsi="Times New Roman" w:eastAsia="Times New Roman"/>
          <w:sz w:val="28"/>
          <w:szCs w:val="28"/>
        </w:rPr>
        <w:t xml:space="preserve">предусмотреть стимулирование деятельности педагогов, внедряющих экологические проекты и целевые программы (на примере МОУ «</w:t>
      </w:r>
      <w:r>
        <w:rPr>
          <w:rFonts w:ascii="Times New Roman" w:hAnsi="Times New Roman" w:eastAsia="Times New Roman"/>
          <w:sz w:val="28"/>
          <w:szCs w:val="28"/>
        </w:rPr>
        <w:t xml:space="preserve">Иванковская</w:t>
      </w:r>
      <w:r>
        <w:rPr>
          <w:rFonts w:ascii="Times New Roman" w:hAnsi="Times New Roman" w:eastAsia="Times New Roman"/>
          <w:sz w:val="28"/>
          <w:szCs w:val="28"/>
        </w:rPr>
        <w:t xml:space="preserve"> средняя школа» </w:t>
      </w:r>
      <w:r>
        <w:rPr>
          <w:rFonts w:ascii="Times New Roman" w:hAnsi="Times New Roman" w:eastAsia="Times New Roman"/>
          <w:sz w:val="28"/>
          <w:szCs w:val="28"/>
        </w:rPr>
        <w:t xml:space="preserve">Фурмановского</w:t>
      </w:r>
      <w:r>
        <w:rPr>
          <w:rFonts w:ascii="Times New Roman" w:hAnsi="Times New Roman" w:eastAsia="Times New Roman"/>
          <w:sz w:val="28"/>
          <w:szCs w:val="28"/>
        </w:rPr>
        <w:t xml:space="preserve"> муниципального образования). </w:t>
      </w:r>
      <w:r>
        <w:rPr>
          <w:rFonts w:ascii="Times New Roman" w:hAnsi="Times New Roman"/>
          <w:sz w:val="28"/>
          <w:szCs w:val="28"/>
        </w:rPr>
      </w:r>
      <w:r>
        <w:rPr>
          <w:rFonts w:ascii="Times New Roman" w:hAnsi="Times New Roman"/>
          <w:sz w:val="28"/>
          <w:szCs w:val="28"/>
        </w:rPr>
      </w:r>
    </w:p>
    <w:p>
      <w:pPr>
        <w:ind w:right="1" w:firstLine="709"/>
        <w:jc w:val="both"/>
        <w:spacing w:after="0"/>
        <w:rPr>
          <w:rFonts w:ascii="Times New Roman" w:hAnsi="Times New Roman"/>
          <w:sz w:val="28"/>
          <w:szCs w:val="28"/>
        </w:rPr>
      </w:pPr>
      <w:r>
        <w:rPr>
          <w:rFonts w:ascii="Times New Roman" w:hAnsi="Times New Roman" w:eastAsia="Times New Roman"/>
          <w:sz w:val="28"/>
          <w:szCs w:val="28"/>
        </w:rPr>
        <w:t xml:space="preserve"> </w:t>
      </w:r>
      <w:r>
        <w:rPr>
          <w:rFonts w:ascii="Times New Roman" w:hAnsi="Times New Roman"/>
          <w:sz w:val="28"/>
          <w:szCs w:val="28"/>
        </w:rPr>
      </w:r>
      <w:r>
        <w:rPr>
          <w:rFonts w:ascii="Times New Roman" w:hAnsi="Times New Roman"/>
          <w:sz w:val="28"/>
          <w:szCs w:val="28"/>
        </w:rPr>
      </w:r>
    </w:p>
    <w:p>
      <w:pPr>
        <w:ind w:right="1" w:firstLine="709"/>
        <w:jc w:val="both"/>
        <w:spacing w:after="0"/>
        <w:rPr>
          <w:rFonts w:ascii="Times New Roman" w:hAnsi="Times New Roman"/>
          <w:i/>
          <w:sz w:val="28"/>
          <w:szCs w:val="28"/>
        </w:rPr>
      </w:pPr>
      <w:r>
        <w:rPr>
          <w:rFonts w:ascii="Times New Roman" w:hAnsi="Times New Roman" w:eastAsia="Times New Roman"/>
          <w:b/>
          <w:i/>
          <w:sz w:val="28"/>
          <w:szCs w:val="28"/>
        </w:rPr>
        <w:t xml:space="preserve">Органам местного самоуправления, организациям, имеющим родники на подведомственной территории: </w:t>
      </w:r>
      <w:r>
        <w:rPr>
          <w:rFonts w:ascii="Times New Roman" w:hAnsi="Times New Roman"/>
          <w:i/>
          <w:sz w:val="28"/>
          <w:szCs w:val="28"/>
        </w:rPr>
      </w:r>
      <w:r>
        <w:rPr>
          <w:rFonts w:ascii="Times New Roman" w:hAnsi="Times New Roman"/>
          <w:i/>
          <w:sz w:val="28"/>
          <w:szCs w:val="28"/>
        </w:rPr>
      </w:r>
    </w:p>
    <w:p>
      <w:pPr>
        <w:numPr>
          <w:ilvl w:val="0"/>
          <w:numId w:val="162"/>
        </w:numPr>
        <w:ind w:right="1" w:firstLine="709"/>
        <w:jc w:val="both"/>
        <w:spacing w:after="0" w:line="276" w:lineRule="auto"/>
        <w:rPr>
          <w:rFonts w:ascii="Times New Roman" w:hAnsi="Times New Roman"/>
          <w:sz w:val="28"/>
          <w:szCs w:val="28"/>
        </w:rPr>
      </w:pPr>
      <w:r>
        <w:rPr>
          <w:rFonts w:ascii="Times New Roman" w:hAnsi="Times New Roman" w:eastAsia="Times New Roman"/>
          <w:sz w:val="28"/>
          <w:szCs w:val="28"/>
        </w:rPr>
        <w:t xml:space="preserve">разместить информационные таблички с предупреждением о пригодности/непригодности родниковой воды для питьевого использования; </w:t>
      </w:r>
      <w:r>
        <w:rPr>
          <w:rFonts w:ascii="Times New Roman" w:hAnsi="Times New Roman"/>
          <w:sz w:val="28"/>
          <w:szCs w:val="28"/>
        </w:rPr>
      </w:r>
      <w:r>
        <w:rPr>
          <w:rFonts w:ascii="Times New Roman" w:hAnsi="Times New Roman"/>
          <w:sz w:val="28"/>
          <w:szCs w:val="28"/>
        </w:rPr>
      </w:r>
    </w:p>
    <w:p>
      <w:pPr>
        <w:numPr>
          <w:ilvl w:val="0"/>
          <w:numId w:val="162"/>
        </w:numPr>
        <w:ind w:right="1" w:firstLine="709"/>
        <w:jc w:val="both"/>
        <w:spacing w:after="0" w:line="276" w:lineRule="auto"/>
        <w:rPr>
          <w:rFonts w:ascii="Times New Roman" w:hAnsi="Times New Roman"/>
          <w:sz w:val="28"/>
          <w:szCs w:val="28"/>
        </w:rPr>
      </w:pPr>
      <w:r>
        <w:rPr>
          <w:rFonts w:ascii="Times New Roman" w:hAnsi="Times New Roman" w:eastAsia="Times New Roman"/>
          <w:sz w:val="28"/>
          <w:szCs w:val="28"/>
        </w:rPr>
        <w:t xml:space="preserve">сформировать рабочие группы, ответственные за методологическое сопровождение мероприятий в сфере экологического просвещения населения; </w:t>
      </w:r>
      <w:r>
        <w:rPr>
          <w:rFonts w:ascii="Times New Roman" w:hAnsi="Times New Roman"/>
          <w:sz w:val="28"/>
          <w:szCs w:val="28"/>
        </w:rPr>
      </w:r>
      <w:r>
        <w:rPr>
          <w:rFonts w:ascii="Times New Roman" w:hAnsi="Times New Roman"/>
          <w:sz w:val="28"/>
          <w:szCs w:val="28"/>
        </w:rPr>
      </w:r>
    </w:p>
    <w:p>
      <w:pPr>
        <w:numPr>
          <w:ilvl w:val="0"/>
          <w:numId w:val="162"/>
        </w:numPr>
        <w:ind w:right="1" w:firstLine="709"/>
        <w:jc w:val="both"/>
        <w:spacing w:after="0" w:line="276" w:lineRule="auto"/>
        <w:rPr>
          <w:rFonts w:ascii="Times New Roman" w:hAnsi="Times New Roman"/>
          <w:sz w:val="28"/>
          <w:szCs w:val="28"/>
        </w:rPr>
      </w:pPr>
      <w:r>
        <w:rPr>
          <w:rFonts w:ascii="Times New Roman" w:hAnsi="Times New Roman" w:eastAsia="Times New Roman"/>
          <w:sz w:val="28"/>
          <w:szCs w:val="28"/>
        </w:rPr>
        <w:t xml:space="preserve">предусмотреть размещение экологической социальной рекламы на обратной стороне квитанций по оплате услуг по обращению с твердыми коммунальными отходами; </w:t>
      </w:r>
      <w:r>
        <w:rPr>
          <w:rFonts w:ascii="Times New Roman" w:hAnsi="Times New Roman"/>
          <w:sz w:val="28"/>
          <w:szCs w:val="28"/>
        </w:rPr>
      </w:r>
      <w:r>
        <w:rPr>
          <w:rFonts w:ascii="Times New Roman" w:hAnsi="Times New Roman"/>
          <w:sz w:val="28"/>
          <w:szCs w:val="28"/>
        </w:rPr>
      </w:r>
    </w:p>
    <w:p>
      <w:pPr>
        <w:numPr>
          <w:ilvl w:val="0"/>
          <w:numId w:val="162"/>
        </w:numPr>
        <w:ind w:right="1" w:firstLine="709"/>
        <w:jc w:val="both"/>
        <w:spacing w:after="0"/>
        <w:rPr>
          <w:rFonts w:ascii="Times New Roman" w:hAnsi="Times New Roman"/>
          <w:color w:val="ff0000"/>
          <w:sz w:val="28"/>
          <w:szCs w:val="28"/>
        </w:rPr>
      </w:pPr>
      <w:r>
        <w:rPr>
          <w:rFonts w:ascii="Times New Roman" w:hAnsi="Times New Roman" w:eastAsia="Times New Roman"/>
          <w:color w:val="auto"/>
          <w:sz w:val="28"/>
          <w:szCs w:val="28"/>
        </w:rPr>
        <w:t xml:space="preserve">создать реестр родников, расположенных на территории Ивановской области, с целью систематизации информации и обеспечения надлежащего экологического мониторинга. </w:t>
      </w:r>
      <w:r>
        <w:rPr>
          <w:rFonts w:ascii="Times New Roman" w:hAnsi="Times New Roman" w:eastAsia="Times New Roman"/>
          <w:color w:val="ff0000"/>
          <w:sz w:val="28"/>
          <w:szCs w:val="28"/>
        </w:rPr>
        <w:t xml:space="preserve"> </w:t>
      </w:r>
      <w:r>
        <w:rPr>
          <w:rFonts w:ascii="Times New Roman" w:hAnsi="Times New Roman"/>
          <w:color w:val="ff0000"/>
          <w:sz w:val="28"/>
          <w:szCs w:val="28"/>
        </w:rPr>
      </w:r>
      <w:r>
        <w:rPr>
          <w:rFonts w:ascii="Times New Roman" w:hAnsi="Times New Roman"/>
          <w:color w:val="ff0000"/>
          <w:sz w:val="28"/>
          <w:szCs w:val="28"/>
        </w:rPr>
      </w:r>
    </w:p>
    <w:p>
      <w:pPr>
        <w:ind w:right="1" w:firstLine="709"/>
        <w:jc w:val="both"/>
        <w:spacing w:after="0"/>
        <w:rPr>
          <w:rFonts w:ascii="Times New Roman" w:hAnsi="Times New Roman"/>
          <w:color w:val="ff0000"/>
          <w:sz w:val="28"/>
          <w:szCs w:val="28"/>
        </w:rPr>
      </w:pPr>
      <w:r>
        <w:rPr>
          <w:rFonts w:ascii="Times New Roman" w:hAnsi="Times New Roman" w:eastAsia="Times New Roman"/>
          <w:color w:val="ff0000"/>
          <w:sz w:val="28"/>
          <w:szCs w:val="28"/>
        </w:rPr>
        <w:t xml:space="preserve"> </w:t>
      </w:r>
      <w:r>
        <w:rPr>
          <w:rFonts w:ascii="Times New Roman" w:hAnsi="Times New Roman"/>
          <w:color w:val="ff0000"/>
          <w:sz w:val="28"/>
          <w:szCs w:val="28"/>
        </w:rPr>
      </w:r>
      <w:r>
        <w:rPr>
          <w:rFonts w:ascii="Times New Roman" w:hAnsi="Times New Roman"/>
          <w:color w:val="ff0000"/>
          <w:sz w:val="28"/>
          <w:szCs w:val="28"/>
        </w:rPr>
      </w:r>
    </w:p>
    <w:p>
      <w:pPr>
        <w:ind w:right="1" w:firstLine="709"/>
        <w:jc w:val="both"/>
        <w:spacing w:after="0"/>
        <w:rPr>
          <w:rFonts w:ascii="Times New Roman" w:hAnsi="Times New Roman"/>
          <w:i/>
          <w:sz w:val="28"/>
          <w:szCs w:val="28"/>
        </w:rPr>
      </w:pPr>
      <w:r>
        <w:rPr>
          <w:rFonts w:ascii="Times New Roman" w:hAnsi="Times New Roman" w:eastAsia="Times New Roman"/>
          <w:b/>
          <w:i/>
          <w:sz w:val="28"/>
          <w:szCs w:val="28"/>
        </w:rPr>
        <w:t xml:space="preserve">Органам местного самоуправления и профильным департаментам Ивановской области: </w:t>
      </w:r>
      <w:r>
        <w:rPr>
          <w:rFonts w:ascii="Times New Roman" w:hAnsi="Times New Roman"/>
          <w:i/>
          <w:sz w:val="28"/>
          <w:szCs w:val="28"/>
        </w:rPr>
      </w:r>
      <w:r>
        <w:rPr>
          <w:rFonts w:ascii="Times New Roman" w:hAnsi="Times New Roman"/>
          <w:i/>
          <w:sz w:val="28"/>
          <w:szCs w:val="28"/>
        </w:rPr>
      </w:r>
    </w:p>
    <w:p>
      <w:pPr>
        <w:numPr>
          <w:ilvl w:val="0"/>
          <w:numId w:val="163"/>
        </w:numPr>
        <w:ind w:right="1" w:firstLine="709"/>
        <w:jc w:val="both"/>
        <w:spacing w:after="0"/>
        <w:rPr>
          <w:rFonts w:ascii="Times New Roman" w:hAnsi="Times New Roman"/>
          <w:sz w:val="28"/>
          <w:szCs w:val="28"/>
        </w:rPr>
      </w:pPr>
      <w:r>
        <w:rPr>
          <w:rFonts w:ascii="Times New Roman" w:hAnsi="Times New Roman" w:eastAsia="Times New Roman"/>
          <w:sz w:val="28"/>
          <w:szCs w:val="28"/>
        </w:rPr>
        <w:t xml:space="preserve">разработать и утвердить комплексную программу озеленения населенных пунктов региона со сроком реализацией  до конца 2026 года. Программа должна включать мероприятия по учету зеленых насаждений в городах и поселках, соз</w:t>
      </w:r>
      <w:r>
        <w:rPr>
          <w:rFonts w:ascii="Times New Roman" w:hAnsi="Times New Roman" w:eastAsia="Times New Roman"/>
          <w:sz w:val="28"/>
          <w:szCs w:val="28"/>
        </w:rPr>
        <w:t xml:space="preserve">данию и модернизации городских парков, скверов и озелененных дворовых пространств. Особое внимание следует уделить внедрению принципов устойчивого озеленения, использованию местных видов растений, а также вовлечению жителей региона, образовательных учрежде</w:t>
      </w:r>
      <w:r>
        <w:rPr>
          <w:rFonts w:ascii="Times New Roman" w:hAnsi="Times New Roman" w:eastAsia="Times New Roman"/>
          <w:sz w:val="28"/>
          <w:szCs w:val="28"/>
        </w:rPr>
        <w:t xml:space="preserve">ний и экологических организаций в озеленительные инициативы. Реализация программы будет способствовать улучшению качества городской среды, повышению уровня экологической безопасности и формированию благоприятного микроклимата в населенных пунктах области. </w:t>
      </w:r>
      <w:r>
        <w:rPr>
          <w:rFonts w:ascii="Times New Roman" w:hAnsi="Times New Roman"/>
          <w:sz w:val="28"/>
          <w:szCs w:val="28"/>
        </w:rPr>
      </w:r>
      <w:r>
        <w:rPr>
          <w:rFonts w:ascii="Times New Roman" w:hAnsi="Times New Roman"/>
          <w:sz w:val="28"/>
          <w:szCs w:val="28"/>
        </w:rPr>
      </w:r>
    </w:p>
    <w:p>
      <w:pPr>
        <w:ind w:right="1" w:firstLine="709"/>
        <w:jc w:val="both"/>
        <w:spacing w:after="0"/>
        <w:rPr>
          <w:rFonts w:ascii="Times New Roman" w:hAnsi="Times New Roman"/>
          <w:sz w:val="28"/>
          <w:szCs w:val="28"/>
        </w:rPr>
      </w:pPr>
      <w:r>
        <w:rPr>
          <w:rFonts w:ascii="Times New Roman" w:hAnsi="Times New Roman" w:eastAsia="Times New Roman"/>
          <w:sz w:val="28"/>
          <w:szCs w:val="28"/>
        </w:rPr>
        <w:t xml:space="preserve"> </w:t>
      </w:r>
      <w:r>
        <w:rPr>
          <w:rFonts w:ascii="Times New Roman" w:hAnsi="Times New Roman"/>
          <w:sz w:val="28"/>
          <w:szCs w:val="28"/>
        </w:rPr>
      </w:r>
      <w:r>
        <w:rPr>
          <w:rFonts w:ascii="Times New Roman" w:hAnsi="Times New Roman"/>
          <w:sz w:val="28"/>
          <w:szCs w:val="28"/>
        </w:rPr>
      </w:r>
    </w:p>
    <w:p>
      <w:pPr>
        <w:ind w:right="1" w:firstLine="709"/>
        <w:jc w:val="both"/>
        <w:spacing w:after="0"/>
        <w:rPr>
          <w:rFonts w:ascii="Times New Roman" w:hAnsi="Times New Roman"/>
          <w:i/>
          <w:sz w:val="28"/>
          <w:szCs w:val="28"/>
        </w:rPr>
      </w:pPr>
      <w:r>
        <w:rPr>
          <w:rFonts w:ascii="Times New Roman" w:hAnsi="Times New Roman" w:eastAsia="Times New Roman"/>
          <w:b/>
          <w:i/>
          <w:sz w:val="28"/>
          <w:szCs w:val="28"/>
        </w:rPr>
        <w:t xml:space="preserve">Средствам массовой информации: </w:t>
      </w:r>
      <w:r>
        <w:rPr>
          <w:rFonts w:ascii="Times New Roman" w:hAnsi="Times New Roman"/>
          <w:i/>
          <w:sz w:val="28"/>
          <w:szCs w:val="28"/>
        </w:rPr>
      </w:r>
      <w:r>
        <w:rPr>
          <w:rFonts w:ascii="Times New Roman" w:hAnsi="Times New Roman"/>
          <w:i/>
          <w:sz w:val="28"/>
          <w:szCs w:val="28"/>
        </w:rPr>
      </w:r>
    </w:p>
    <w:p>
      <w:pPr>
        <w:numPr>
          <w:ilvl w:val="0"/>
          <w:numId w:val="164"/>
        </w:numPr>
        <w:ind w:right="1" w:firstLine="709"/>
        <w:jc w:val="both"/>
        <w:spacing w:after="0"/>
        <w:rPr>
          <w:rFonts w:ascii="Times New Roman" w:hAnsi="Times New Roman"/>
          <w:sz w:val="28"/>
          <w:szCs w:val="28"/>
        </w:rPr>
      </w:pPr>
      <w:r>
        <w:rPr>
          <w:rFonts w:ascii="Times New Roman" w:hAnsi="Times New Roman" w:eastAsia="Times New Roman"/>
          <w:sz w:val="28"/>
          <w:szCs w:val="28"/>
        </w:rPr>
        <w:t xml:space="preserve">соблюдать принципы объективности и информативности при освещении событий, касающихся вопросов качества и безопасности </w:t>
      </w:r>
      <w:r>
        <w:rPr>
          <w:rFonts w:ascii="Times New Roman" w:hAnsi="Times New Roman" w:eastAsia="Times New Roman"/>
          <w:sz w:val="28"/>
          <w:szCs w:val="28"/>
        </w:rPr>
        <w:t xml:space="preserve">окружающей среды, в целях возможности дальнейшего принятия комплекса необходимых мер по данной информации контрольными (надзорными) органами и органами власти. </w:t>
      </w:r>
      <w:r>
        <w:rPr>
          <w:rFonts w:ascii="Times New Roman" w:hAnsi="Times New Roman"/>
          <w:sz w:val="28"/>
          <w:szCs w:val="28"/>
        </w:rPr>
      </w:r>
      <w:r>
        <w:rPr>
          <w:rFonts w:ascii="Times New Roman" w:hAnsi="Times New Roman"/>
          <w:sz w:val="28"/>
          <w:szCs w:val="28"/>
        </w:rPr>
      </w:r>
    </w:p>
    <w:p>
      <w:pPr>
        <w:numPr>
          <w:ilvl w:val="0"/>
          <w:numId w:val="164"/>
        </w:numPr>
        <w:ind w:right="1" w:firstLine="709"/>
        <w:jc w:val="both"/>
        <w:spacing w:after="0"/>
        <w:rPr>
          <w:rFonts w:ascii="Times New Roman" w:hAnsi="Times New Roman"/>
          <w:sz w:val="28"/>
          <w:szCs w:val="28"/>
        </w:rPr>
      </w:pPr>
      <w:r>
        <w:rPr>
          <w:rFonts w:ascii="Times New Roman" w:hAnsi="Times New Roman" w:eastAsia="Times New Roman"/>
          <w:sz w:val="28"/>
          <w:szCs w:val="28"/>
        </w:rPr>
        <w:t xml:space="preserve">продолжить плодотворное взаимодействие с контрольными (надзорными) органами, региональным институтом </w:t>
      </w:r>
      <w:r>
        <w:rPr>
          <w:rFonts w:ascii="Times New Roman" w:hAnsi="Times New Roman" w:eastAsia="Times New Roman"/>
          <w:sz w:val="28"/>
          <w:szCs w:val="28"/>
        </w:rPr>
        <w:t xml:space="preserve">правозащиты</w:t>
      </w:r>
      <w:r>
        <w:rPr>
          <w:rFonts w:ascii="Times New Roman" w:hAnsi="Times New Roman" w:eastAsia="Times New Roman"/>
          <w:sz w:val="28"/>
          <w:szCs w:val="28"/>
        </w:rPr>
        <w:t xml:space="preserve"> в части предоставления дополнительной информации по публикуемым в СМИ сведениям о проблемах среды обитания человека, которые могут стать основанием для проведения контрольных (надзорных) или профилактических мероприятий.</w:t>
      </w:r>
      <w:r>
        <w:rPr>
          <w:rFonts w:ascii="Times New Roman" w:hAnsi="Times New Roman" w:eastAsia="Times New Roman"/>
          <w:b/>
          <w:sz w:val="28"/>
          <w:szCs w:val="28"/>
        </w:rPr>
        <w:t xml:space="preserve"> </w:t>
      </w:r>
      <w:r>
        <w:rPr>
          <w:rFonts w:ascii="Times New Roman" w:hAnsi="Times New Roman"/>
          <w:sz w:val="28"/>
          <w:szCs w:val="28"/>
        </w:rPr>
      </w:r>
      <w:r>
        <w:rPr>
          <w:rFonts w:ascii="Times New Roman" w:hAnsi="Times New Roman"/>
          <w:sz w:val="28"/>
          <w:szCs w:val="28"/>
        </w:rPr>
      </w:r>
    </w:p>
    <w:p>
      <w:pPr>
        <w:ind w:right="1" w:firstLine="709"/>
        <w:jc w:val="both"/>
        <w:spacing w:after="0"/>
        <w:rPr>
          <w:rFonts w:ascii="Times New Roman" w:hAnsi="Times New Roman"/>
          <w:sz w:val="28"/>
          <w:szCs w:val="28"/>
        </w:rPr>
      </w:pPr>
      <w:r>
        <w:rPr>
          <w:rFonts w:ascii="Times New Roman" w:hAnsi="Times New Roman" w:eastAsia="Times New Roman"/>
          <w:b/>
          <w:sz w:val="28"/>
          <w:szCs w:val="28"/>
        </w:rPr>
        <w:t xml:space="preserve"> </w:t>
      </w:r>
      <w:r>
        <w:rPr>
          <w:rFonts w:ascii="Times New Roman" w:hAnsi="Times New Roman"/>
          <w:sz w:val="28"/>
          <w:szCs w:val="28"/>
        </w:rPr>
      </w:r>
      <w:r>
        <w:rPr>
          <w:rFonts w:ascii="Times New Roman" w:hAnsi="Times New Roman"/>
          <w:sz w:val="28"/>
          <w:szCs w:val="28"/>
        </w:rPr>
      </w:r>
    </w:p>
    <w:p>
      <w:pPr>
        <w:ind w:right="1" w:firstLine="709"/>
        <w:jc w:val="both"/>
        <w:spacing w:after="0"/>
        <w:rPr>
          <w:rFonts w:ascii="Times New Roman" w:hAnsi="Times New Roman"/>
          <w:i/>
          <w:sz w:val="28"/>
          <w:szCs w:val="28"/>
        </w:rPr>
      </w:pPr>
      <w:r>
        <w:rPr>
          <w:rFonts w:ascii="Times New Roman" w:hAnsi="Times New Roman" w:eastAsia="Times New Roman"/>
          <w:b/>
          <w:i/>
          <w:sz w:val="28"/>
          <w:szCs w:val="28"/>
        </w:rPr>
        <w:t xml:space="preserve">Региональному оператору по ТКО, лицам, осуществляющим управление многоквартирными домами: </w:t>
      </w:r>
      <w:r>
        <w:rPr>
          <w:rFonts w:ascii="Times New Roman" w:hAnsi="Times New Roman"/>
          <w:i/>
          <w:sz w:val="28"/>
          <w:szCs w:val="28"/>
        </w:rPr>
      </w:r>
      <w:r>
        <w:rPr>
          <w:rFonts w:ascii="Times New Roman" w:hAnsi="Times New Roman"/>
          <w:i/>
          <w:sz w:val="28"/>
          <w:szCs w:val="28"/>
        </w:rPr>
      </w:r>
    </w:p>
    <w:p>
      <w:pPr>
        <w:numPr>
          <w:ilvl w:val="0"/>
          <w:numId w:val="165"/>
        </w:numPr>
        <w:ind w:right="1" w:firstLine="709"/>
        <w:jc w:val="both"/>
        <w:spacing w:after="0"/>
        <w:rPr>
          <w:rFonts w:ascii="Times New Roman" w:hAnsi="Times New Roman"/>
          <w:sz w:val="28"/>
          <w:szCs w:val="28"/>
        </w:rPr>
      </w:pPr>
      <w:r>
        <w:rPr>
          <w:rFonts w:ascii="Times New Roman" w:hAnsi="Times New Roman" w:eastAsia="Times New Roman"/>
          <w:sz w:val="28"/>
          <w:szCs w:val="28"/>
        </w:rPr>
        <w:t xml:space="preserve">усилить работу в сфере сохранения и поддержания надлежащего содержания контейнерных площадок в целях реализации прав граждан на благоприятную окружающую среду. </w:t>
      </w:r>
      <w:r>
        <w:rPr>
          <w:rFonts w:ascii="Times New Roman" w:hAnsi="Times New Roman"/>
          <w:sz w:val="28"/>
          <w:szCs w:val="28"/>
        </w:rPr>
      </w:r>
      <w:r>
        <w:rPr>
          <w:rFonts w:ascii="Times New Roman" w:hAnsi="Times New Roman"/>
          <w:sz w:val="28"/>
          <w:szCs w:val="28"/>
        </w:rPr>
      </w:r>
    </w:p>
    <w:p>
      <w:pPr>
        <w:ind w:right="1" w:firstLine="709"/>
        <w:jc w:val="both"/>
        <w:spacing w:after="0"/>
        <w:rPr>
          <w:rFonts w:ascii="Times New Roman" w:hAnsi="Times New Roman"/>
          <w:sz w:val="28"/>
          <w:szCs w:val="28"/>
          <w:highlight w:val="none"/>
        </w:rPr>
      </w:pPr>
      <w:r>
        <w:rPr>
          <w:rFonts w:ascii="Times New Roman" w:hAnsi="Times New Roman" w:eastAsia="Times New Roman"/>
          <w:b/>
          <w:sz w:val="28"/>
          <w:szCs w:val="28"/>
        </w:rPr>
        <w:t xml:space="preserve"> </w:t>
      </w:r>
      <w:r>
        <w:rPr>
          <w:rFonts w:ascii="Times New Roman" w:hAnsi="Times New Roman"/>
          <w:sz w:val="28"/>
          <w:szCs w:val="28"/>
          <w:highlight w:val="none"/>
        </w:rPr>
      </w:r>
      <w:r>
        <w:rPr>
          <w:rFonts w:ascii="Times New Roman" w:hAnsi="Times New Roman"/>
          <w:sz w:val="28"/>
          <w:szCs w:val="28"/>
          <w:highlight w:val="none"/>
        </w:rPr>
      </w:r>
    </w:p>
    <w:p>
      <w:pPr>
        <w:ind w:right="1" w:firstLine="709"/>
        <w:jc w:val="both"/>
        <w:spacing w:after="0"/>
        <w:rPr>
          <w:rFonts w:ascii="Times New Roman" w:hAnsi="Times New Roman"/>
          <w:sz w:val="28"/>
          <w:szCs w:val="28"/>
        </w:rPr>
      </w:pPr>
      <w:r>
        <w:rPr>
          <w:rFonts w:ascii="Times New Roman" w:hAnsi="Times New Roman"/>
          <w:sz w:val="28"/>
          <w:szCs w:val="28"/>
          <w:highlight w:val="none"/>
        </w:rPr>
      </w:r>
      <w:r>
        <w:rPr>
          <w:rFonts w:ascii="Times New Roman" w:hAnsi="Times New Roman"/>
          <w:sz w:val="28"/>
          <w:szCs w:val="28"/>
        </w:rPr>
      </w:r>
      <w:r>
        <w:rPr>
          <w:rFonts w:ascii="Times New Roman" w:hAnsi="Times New Roman"/>
          <w:sz w:val="28"/>
          <w:szCs w:val="28"/>
        </w:rPr>
      </w:r>
    </w:p>
    <w:p>
      <w:pPr>
        <w:ind w:right="1" w:firstLine="709"/>
        <w:jc w:val="both"/>
        <w:spacing w:after="0"/>
        <w:rPr>
          <w:rFonts w:ascii="Times New Roman" w:hAnsi="Times New Roman"/>
          <w:i/>
          <w:sz w:val="28"/>
          <w:szCs w:val="28"/>
        </w:rPr>
      </w:pPr>
      <w:r>
        <w:rPr>
          <w:rFonts w:ascii="Times New Roman" w:hAnsi="Times New Roman" w:eastAsia="Times New Roman"/>
          <w:b/>
          <w:i/>
          <w:color w:val="auto"/>
          <w:sz w:val="28"/>
          <w:szCs w:val="28"/>
        </w:rPr>
        <w:t xml:space="preserve">Высшим учебным заведениям и профессиональным образовательным организациям</w:t>
      </w:r>
      <w:r>
        <w:rPr>
          <w:rFonts w:ascii="Times New Roman" w:hAnsi="Times New Roman" w:eastAsia="Times New Roman"/>
          <w:b/>
          <w:i/>
          <w:color w:val="ff0000"/>
          <w:sz w:val="28"/>
          <w:szCs w:val="28"/>
        </w:rPr>
        <w:t xml:space="preserve"> </w:t>
      </w:r>
      <w:r>
        <w:rPr>
          <w:rFonts w:ascii="Times New Roman" w:hAnsi="Times New Roman" w:eastAsia="Times New Roman"/>
          <w:b/>
          <w:i/>
          <w:sz w:val="28"/>
          <w:szCs w:val="28"/>
        </w:rPr>
        <w:t xml:space="preserve">Ивановской области: </w:t>
      </w:r>
      <w:r>
        <w:rPr>
          <w:rFonts w:ascii="Times New Roman" w:hAnsi="Times New Roman"/>
          <w:i/>
          <w:sz w:val="28"/>
          <w:szCs w:val="28"/>
        </w:rPr>
      </w:r>
      <w:r>
        <w:rPr>
          <w:rFonts w:ascii="Times New Roman" w:hAnsi="Times New Roman"/>
          <w:i/>
          <w:sz w:val="28"/>
          <w:szCs w:val="28"/>
        </w:rPr>
      </w:r>
    </w:p>
    <w:p>
      <w:pPr>
        <w:numPr>
          <w:ilvl w:val="0"/>
          <w:numId w:val="166"/>
        </w:numPr>
        <w:ind w:right="1" w:firstLine="709"/>
        <w:jc w:val="both"/>
        <w:spacing w:after="0"/>
        <w:rPr>
          <w:rFonts w:ascii="Times New Roman" w:hAnsi="Times New Roman"/>
          <w:sz w:val="28"/>
          <w:szCs w:val="28"/>
        </w:rPr>
      </w:pPr>
      <w:r>
        <w:rPr>
          <w:rFonts w:ascii="Times New Roman" w:hAnsi="Times New Roman" w:eastAsia="Times New Roman"/>
          <w:sz w:val="28"/>
          <w:szCs w:val="28"/>
        </w:rPr>
        <w:t xml:space="preserve">изучить возможность внедрения в образовательный процесс курса «Экологическая психология»; </w:t>
      </w:r>
      <w:r>
        <w:rPr>
          <w:rFonts w:ascii="Times New Roman" w:hAnsi="Times New Roman"/>
          <w:sz w:val="28"/>
          <w:szCs w:val="28"/>
        </w:rPr>
      </w:r>
      <w:r>
        <w:rPr>
          <w:rFonts w:ascii="Times New Roman" w:hAnsi="Times New Roman"/>
          <w:sz w:val="28"/>
          <w:szCs w:val="28"/>
        </w:rPr>
      </w:r>
    </w:p>
    <w:p>
      <w:pPr>
        <w:numPr>
          <w:ilvl w:val="0"/>
          <w:numId w:val="166"/>
        </w:numPr>
        <w:ind w:right="1" w:firstLine="709"/>
        <w:jc w:val="both"/>
        <w:spacing w:after="0"/>
        <w:rPr>
          <w:rFonts w:ascii="Times New Roman" w:hAnsi="Times New Roman"/>
          <w:sz w:val="28"/>
          <w:szCs w:val="28"/>
        </w:rPr>
      </w:pPr>
      <w:r>
        <w:rPr>
          <w:rFonts w:ascii="Times New Roman" w:hAnsi="Times New Roman" w:eastAsia="Times New Roman"/>
          <w:sz w:val="28"/>
          <w:szCs w:val="28"/>
        </w:rPr>
        <w:t xml:space="preserve">продолжить интерактивные формы работы с подростками и молодежью в области реализации экологических прав граждан. </w:t>
      </w:r>
      <w:r>
        <w:rPr>
          <w:rFonts w:ascii="Times New Roman" w:hAnsi="Times New Roman"/>
          <w:sz w:val="28"/>
          <w:szCs w:val="28"/>
        </w:rPr>
      </w:r>
      <w:r>
        <w:rPr>
          <w:rFonts w:ascii="Times New Roman" w:hAnsi="Times New Roman"/>
          <w:sz w:val="28"/>
          <w:szCs w:val="28"/>
        </w:rPr>
      </w:r>
    </w:p>
    <w:p>
      <w:pPr>
        <w:ind w:right="1" w:firstLine="709"/>
        <w:jc w:val="both"/>
        <w:spacing w:after="0"/>
        <w:rPr>
          <w:rFonts w:ascii="Times New Roman" w:hAnsi="Times New Roman"/>
          <w:sz w:val="28"/>
          <w:szCs w:val="28"/>
        </w:rPr>
      </w:pPr>
      <w:r>
        <w:rPr>
          <w:rFonts w:ascii="Times New Roman" w:hAnsi="Times New Roman" w:eastAsia="Times New Roman"/>
          <w:b/>
          <w:sz w:val="28"/>
          <w:szCs w:val="28"/>
        </w:rPr>
        <w:t xml:space="preserve"> </w:t>
      </w:r>
      <w:r>
        <w:rPr>
          <w:rFonts w:ascii="Times New Roman" w:hAnsi="Times New Roman"/>
          <w:sz w:val="28"/>
          <w:szCs w:val="28"/>
        </w:rPr>
      </w:r>
      <w:r>
        <w:rPr>
          <w:rFonts w:ascii="Times New Roman" w:hAnsi="Times New Roman"/>
          <w:sz w:val="28"/>
          <w:szCs w:val="28"/>
        </w:rPr>
      </w:r>
    </w:p>
    <w:p>
      <w:pPr>
        <w:ind w:right="1" w:firstLine="709"/>
        <w:jc w:val="both"/>
        <w:spacing w:after="0"/>
        <w:rPr>
          <w:rFonts w:ascii="Times New Roman" w:hAnsi="Times New Roman"/>
          <w:i/>
          <w:sz w:val="28"/>
          <w:szCs w:val="28"/>
        </w:rPr>
      </w:pPr>
      <w:r>
        <w:rPr>
          <w:rFonts w:ascii="Times New Roman" w:hAnsi="Times New Roman" w:eastAsia="Times New Roman"/>
          <w:b/>
          <w:sz w:val="28"/>
          <w:szCs w:val="28"/>
        </w:rPr>
        <w:t xml:space="preserve"> </w:t>
      </w:r>
      <w:r>
        <w:rPr>
          <w:rFonts w:ascii="Times New Roman" w:hAnsi="Times New Roman" w:eastAsia="Times New Roman"/>
          <w:b/>
          <w:i/>
          <w:sz w:val="28"/>
          <w:szCs w:val="28"/>
        </w:rPr>
        <w:t xml:space="preserve">Департаменту образования и науки Ивановской области  совместно с Департаментом природных ресурсов и экологии Ивановской области, Комитетом Ивановской области по лесному хозяйству, Общественной палатой Ивановской области: </w:t>
      </w:r>
      <w:r>
        <w:rPr>
          <w:rFonts w:ascii="Times New Roman" w:hAnsi="Times New Roman" w:eastAsia="Times New Roman"/>
          <w:i/>
          <w:color w:val="ff0000"/>
          <w:sz w:val="28"/>
          <w:szCs w:val="28"/>
        </w:rPr>
        <w:t xml:space="preserve"> </w:t>
      </w:r>
      <w:r>
        <w:rPr>
          <w:rFonts w:ascii="Times New Roman" w:hAnsi="Times New Roman"/>
          <w:i/>
          <w:sz w:val="28"/>
          <w:szCs w:val="28"/>
        </w:rPr>
      </w:r>
      <w:r>
        <w:rPr>
          <w:rFonts w:ascii="Times New Roman" w:hAnsi="Times New Roman"/>
          <w:i/>
          <w:sz w:val="28"/>
          <w:szCs w:val="28"/>
        </w:rPr>
      </w:r>
    </w:p>
    <w:p>
      <w:pPr>
        <w:numPr>
          <w:ilvl w:val="0"/>
          <w:numId w:val="167"/>
        </w:numPr>
        <w:ind w:right="1" w:firstLine="709"/>
        <w:jc w:val="both"/>
        <w:spacing w:after="0"/>
        <w:rPr>
          <w:rFonts w:ascii="Times New Roman" w:hAnsi="Times New Roman"/>
          <w:sz w:val="28"/>
          <w:szCs w:val="28"/>
        </w:rPr>
      </w:pPr>
      <w:r>
        <w:rPr>
          <w:rFonts w:ascii="Times New Roman" w:hAnsi="Times New Roman" w:eastAsia="Times New Roman"/>
          <w:sz w:val="28"/>
          <w:szCs w:val="28"/>
        </w:rPr>
        <w:t xml:space="preserve">шире практиковать формы работы с подрастающим поколением по  формированию экологической чувствительности школьников; </w:t>
      </w:r>
      <w:r>
        <w:rPr>
          <w:rFonts w:ascii="Times New Roman" w:hAnsi="Times New Roman"/>
          <w:sz w:val="28"/>
          <w:szCs w:val="28"/>
        </w:rPr>
      </w:r>
      <w:r>
        <w:rPr>
          <w:rFonts w:ascii="Times New Roman" w:hAnsi="Times New Roman"/>
          <w:sz w:val="28"/>
          <w:szCs w:val="28"/>
        </w:rPr>
      </w:r>
    </w:p>
    <w:p>
      <w:pPr>
        <w:ind w:right="1" w:firstLine="709"/>
        <w:jc w:val="both"/>
        <w:spacing w:after="0"/>
        <w:rPr>
          <w:rFonts w:ascii="Times New Roman" w:hAnsi="Times New Roman" w:eastAsia="Times New Roman"/>
          <w:sz w:val="28"/>
          <w:szCs w:val="28"/>
        </w:rPr>
      </w:pPr>
      <w:r>
        <w:rPr>
          <w:rFonts w:ascii="Times New Roman" w:hAnsi="Times New Roman" w:eastAsia="Times New Roman"/>
          <w:sz w:val="28"/>
          <w:szCs w:val="28"/>
        </w:rPr>
        <w:t xml:space="preserve"> </w:t>
      </w:r>
      <w:r>
        <w:rPr>
          <w:rFonts w:ascii="Times New Roman" w:hAnsi="Times New Roman" w:eastAsia="Times New Roman"/>
          <w:sz w:val="28"/>
          <w:szCs w:val="28"/>
        </w:rPr>
      </w:r>
      <w:r>
        <w:rPr>
          <w:rFonts w:ascii="Times New Roman" w:hAnsi="Times New Roman" w:eastAsia="Times New Roman"/>
          <w:sz w:val="28"/>
          <w:szCs w:val="28"/>
        </w:rPr>
      </w:r>
    </w:p>
    <w:p>
      <w:pPr>
        <w:ind w:right="1" w:firstLine="709"/>
        <w:jc w:val="both"/>
        <w:spacing w:after="0"/>
        <w:rPr>
          <w:rFonts w:ascii="Times New Roman" w:hAnsi="Times New Roman"/>
          <w:i/>
          <w:sz w:val="28"/>
          <w:szCs w:val="28"/>
        </w:rPr>
      </w:pPr>
      <w:r>
        <w:rPr>
          <w:rFonts w:ascii="Times New Roman" w:hAnsi="Times New Roman" w:eastAsia="Times New Roman"/>
          <w:b/>
          <w:i/>
          <w:sz w:val="28"/>
          <w:szCs w:val="28"/>
        </w:rPr>
        <w:t xml:space="preserve">Службе ветеринарии Ивановской области: </w:t>
      </w:r>
      <w:r>
        <w:rPr>
          <w:rFonts w:ascii="Times New Roman" w:hAnsi="Times New Roman"/>
          <w:i/>
          <w:sz w:val="28"/>
          <w:szCs w:val="28"/>
        </w:rPr>
      </w:r>
      <w:r>
        <w:rPr>
          <w:rFonts w:ascii="Times New Roman" w:hAnsi="Times New Roman"/>
          <w:i/>
          <w:sz w:val="28"/>
          <w:szCs w:val="28"/>
        </w:rPr>
      </w:r>
    </w:p>
    <w:p>
      <w:pPr>
        <w:numPr>
          <w:ilvl w:val="0"/>
          <w:numId w:val="168"/>
        </w:numPr>
        <w:ind w:right="1" w:firstLine="709"/>
        <w:jc w:val="both"/>
        <w:spacing w:after="0"/>
        <w:rPr>
          <w:rFonts w:ascii="Times New Roman" w:hAnsi="Times New Roman"/>
          <w:sz w:val="28"/>
          <w:szCs w:val="28"/>
        </w:rPr>
      </w:pPr>
      <w:r>
        <w:rPr>
          <w:rFonts w:ascii="Times New Roman" w:hAnsi="Times New Roman" w:eastAsia="Times New Roman"/>
          <w:sz w:val="28"/>
          <w:szCs w:val="28"/>
        </w:rPr>
        <w:t xml:space="preserve">разработать ведомственную методику по выявлению нарушений Федерального закона «Об ответственном обращении с животными и о внесении изменений в отдельные законодательные акты Российской Федерации» от 27.12.2018 N 498-ФЗ и по рассмотрению дел об </w:t>
      </w:r>
      <w:r>
        <w:rPr>
          <w:rFonts w:ascii="Times New Roman" w:hAnsi="Times New Roman" w:eastAsia="Times New Roman"/>
          <w:sz w:val="28"/>
          <w:szCs w:val="28"/>
        </w:rPr>
        <w:t xml:space="preserve">административных правонарушениях, предусмотренных ст. 8.52 </w:t>
      </w:r>
      <w:r>
        <w:rPr>
          <w:rFonts w:ascii="Times New Roman" w:hAnsi="Times New Roman" w:eastAsia="Times New Roman"/>
          <w:sz w:val="28"/>
          <w:szCs w:val="28"/>
        </w:rPr>
        <w:t xml:space="preserve">КоАП</w:t>
      </w:r>
      <w:r>
        <w:rPr>
          <w:rFonts w:ascii="Times New Roman" w:hAnsi="Times New Roman" w:eastAsia="Times New Roman"/>
          <w:sz w:val="28"/>
          <w:szCs w:val="28"/>
        </w:rPr>
        <w:t xml:space="preserve"> РФ, в Службе ветеринарии Ивановской области для повышения эффективности и сокращения сроков такого рассмотрения. </w:t>
      </w:r>
      <w:r>
        <w:rPr>
          <w:rFonts w:ascii="Times New Roman" w:hAnsi="Times New Roman"/>
          <w:sz w:val="28"/>
          <w:szCs w:val="28"/>
        </w:rPr>
      </w:r>
      <w:r>
        <w:rPr>
          <w:rFonts w:ascii="Times New Roman" w:hAnsi="Times New Roman"/>
          <w:sz w:val="28"/>
          <w:szCs w:val="28"/>
        </w:rPr>
      </w:r>
    </w:p>
    <w:p>
      <w:pPr>
        <w:ind w:right="1" w:firstLine="709"/>
        <w:jc w:val="both"/>
        <w:spacing w:after="0"/>
        <w:rPr>
          <w:rFonts w:ascii="Times New Roman" w:hAnsi="Times New Roman"/>
          <w:sz w:val="28"/>
          <w:szCs w:val="28"/>
        </w:rPr>
      </w:pPr>
      <w:r>
        <w:rPr>
          <w:rFonts w:ascii="Times New Roman" w:hAnsi="Times New Roman" w:eastAsia="Times New Roman"/>
          <w:sz w:val="28"/>
          <w:szCs w:val="28"/>
        </w:rPr>
        <w:t xml:space="preserve"> </w:t>
      </w:r>
      <w:r>
        <w:rPr>
          <w:rFonts w:ascii="Times New Roman" w:hAnsi="Times New Roman"/>
          <w:sz w:val="28"/>
          <w:szCs w:val="28"/>
        </w:rPr>
      </w:r>
      <w:r>
        <w:rPr>
          <w:rFonts w:ascii="Times New Roman" w:hAnsi="Times New Roman"/>
          <w:sz w:val="28"/>
          <w:szCs w:val="28"/>
        </w:rPr>
      </w:r>
    </w:p>
    <w:p>
      <w:pPr>
        <w:ind w:right="1" w:firstLine="709"/>
        <w:jc w:val="both"/>
        <w:spacing w:after="0"/>
        <w:rPr>
          <w:rFonts w:ascii="Times New Roman" w:hAnsi="Times New Roman"/>
          <w:i/>
          <w:sz w:val="28"/>
          <w:szCs w:val="28"/>
        </w:rPr>
      </w:pPr>
      <w:r>
        <w:rPr>
          <w:rFonts w:ascii="Times New Roman" w:hAnsi="Times New Roman" w:eastAsia="Times New Roman"/>
          <w:b/>
          <w:i/>
          <w:sz w:val="28"/>
          <w:szCs w:val="28"/>
        </w:rPr>
        <w:t xml:space="preserve">Экспертному совету при Уполномоченном по правам человека в Ивановской области: </w:t>
      </w:r>
      <w:r>
        <w:rPr>
          <w:rFonts w:ascii="Times New Roman" w:hAnsi="Times New Roman"/>
          <w:i/>
          <w:sz w:val="28"/>
          <w:szCs w:val="28"/>
        </w:rPr>
      </w:r>
      <w:r>
        <w:rPr>
          <w:rFonts w:ascii="Times New Roman" w:hAnsi="Times New Roman"/>
          <w:i/>
          <w:sz w:val="28"/>
          <w:szCs w:val="28"/>
        </w:rPr>
      </w:r>
    </w:p>
    <w:p>
      <w:pPr>
        <w:numPr>
          <w:ilvl w:val="0"/>
          <w:numId w:val="169"/>
        </w:numPr>
        <w:ind w:right="1" w:firstLine="709"/>
        <w:jc w:val="both"/>
        <w:spacing w:after="0"/>
        <w:rPr>
          <w:rFonts w:ascii="Times New Roman" w:hAnsi="Times New Roman"/>
          <w:sz w:val="28"/>
          <w:szCs w:val="28"/>
        </w:rPr>
      </w:pPr>
      <w:r>
        <w:rPr>
          <w:rFonts w:ascii="Times New Roman" w:hAnsi="Times New Roman" w:eastAsia="Times New Roman"/>
          <w:sz w:val="28"/>
          <w:szCs w:val="28"/>
        </w:rPr>
        <w:t xml:space="preserve">принимать участие в </w:t>
      </w:r>
      <w:r>
        <w:rPr>
          <w:rFonts w:ascii="Times New Roman" w:hAnsi="Times New Roman" w:eastAsia="Times New Roman"/>
          <w:sz w:val="28"/>
          <w:szCs w:val="28"/>
        </w:rPr>
        <w:t xml:space="preserve">правопросветительских</w:t>
      </w:r>
      <w:r>
        <w:rPr>
          <w:rFonts w:ascii="Times New Roman" w:hAnsi="Times New Roman" w:eastAsia="Times New Roman"/>
          <w:sz w:val="28"/>
          <w:szCs w:val="28"/>
        </w:rPr>
        <w:t xml:space="preserve"> мероприятиях, в том числе и тематических приемах заявителей по вопросам безопасности экологической среды; </w:t>
      </w:r>
      <w:r>
        <w:rPr>
          <w:rFonts w:ascii="Times New Roman" w:hAnsi="Times New Roman"/>
          <w:sz w:val="28"/>
          <w:szCs w:val="28"/>
        </w:rPr>
      </w:r>
      <w:r>
        <w:rPr>
          <w:rFonts w:ascii="Times New Roman" w:hAnsi="Times New Roman"/>
          <w:sz w:val="28"/>
          <w:szCs w:val="28"/>
        </w:rPr>
      </w:r>
    </w:p>
    <w:p>
      <w:pPr>
        <w:numPr>
          <w:ilvl w:val="0"/>
          <w:numId w:val="169"/>
        </w:numPr>
        <w:ind w:right="1" w:firstLine="709"/>
        <w:jc w:val="both"/>
        <w:spacing w:after="0"/>
        <w:rPr>
          <w:rFonts w:ascii="Times New Roman" w:hAnsi="Times New Roman"/>
          <w:sz w:val="28"/>
          <w:szCs w:val="28"/>
        </w:rPr>
      </w:pPr>
      <w:r>
        <w:rPr>
          <w:rFonts w:ascii="Times New Roman" w:hAnsi="Times New Roman" w:eastAsia="Times New Roman"/>
          <w:sz w:val="28"/>
          <w:szCs w:val="28"/>
        </w:rPr>
        <w:t xml:space="preserve">предусмотреть индивидуальные и групповые формы работы с населением по повышению качества общественного контроля в вопросах реализации, защиты и </w:t>
      </w:r>
      <w:r>
        <w:rPr>
          <w:rFonts w:ascii="Times New Roman" w:hAnsi="Times New Roman" w:eastAsia="Times New Roman"/>
          <w:sz w:val="28"/>
          <w:szCs w:val="28"/>
        </w:rPr>
        <w:t xml:space="preserve">восстановления</w:t>
      </w:r>
      <w:r>
        <w:rPr>
          <w:rFonts w:ascii="Times New Roman" w:hAnsi="Times New Roman" w:eastAsia="Times New Roman"/>
          <w:sz w:val="28"/>
          <w:szCs w:val="28"/>
        </w:rPr>
        <w:t xml:space="preserve"> экологических прав граждан.</w:t>
      </w:r>
      <w:r>
        <w:rPr>
          <w:rFonts w:ascii="Times New Roman" w:hAnsi="Times New Roman"/>
          <w:sz w:val="28"/>
          <w:szCs w:val="28"/>
        </w:rPr>
      </w:r>
      <w:r>
        <w:rPr>
          <w:rFonts w:ascii="Times New Roman" w:hAnsi="Times New Roman"/>
          <w:sz w:val="28"/>
          <w:szCs w:val="28"/>
        </w:rPr>
      </w:r>
    </w:p>
    <w:p>
      <w:pPr>
        <w:ind w:right="1" w:firstLine="709"/>
        <w:jc w:val="both"/>
        <w:spacing w:after="0"/>
        <w:rPr>
          <w:rFonts w:ascii="Times New Roman" w:hAnsi="Times New Roman"/>
          <w:sz w:val="28"/>
          <w:szCs w:val="28"/>
          <w:highlight w:val="none"/>
        </w:rPr>
      </w:pPr>
      <w:r>
        <w:rPr>
          <w:rFonts w:ascii="Times New Roman" w:hAnsi="Times New Roman" w:eastAsia="Times New Roman"/>
          <w:sz w:val="28"/>
          <w:szCs w:val="28"/>
        </w:rPr>
        <w:t xml:space="preserve"> </w:t>
      </w:r>
      <w:r>
        <w:rPr>
          <w:rFonts w:ascii="Times New Roman" w:hAnsi="Times New Roman"/>
          <w:sz w:val="28"/>
          <w:szCs w:val="28"/>
          <w:highlight w:val="none"/>
        </w:rPr>
      </w:r>
      <w:r>
        <w:rPr>
          <w:rFonts w:ascii="Times New Roman" w:hAnsi="Times New Roman"/>
          <w:sz w:val="28"/>
          <w:szCs w:val="28"/>
          <w:highlight w:val="none"/>
        </w:rPr>
      </w:r>
    </w:p>
    <w:p>
      <w:pPr>
        <w:ind w:right="1" w:firstLine="709"/>
        <w:jc w:val="both"/>
        <w:spacing w:after="0"/>
        <w:rPr>
          <w:rFonts w:ascii="Times New Roman" w:hAnsi="Times New Roman"/>
          <w:i/>
          <w:sz w:val="28"/>
          <w:szCs w:val="28"/>
        </w:rPr>
      </w:pPr>
      <w:r>
        <w:rPr>
          <w:rFonts w:ascii="Times New Roman" w:hAnsi="Times New Roman" w:eastAsia="Times New Roman"/>
          <w:b/>
          <w:i/>
          <w:sz w:val="28"/>
          <w:szCs w:val="28"/>
        </w:rPr>
        <w:t xml:space="preserve">Молодежному общественному совету при Уполномоченном по правам человека в Ивановской области: </w:t>
      </w:r>
      <w:r>
        <w:rPr>
          <w:rFonts w:ascii="Times New Roman" w:hAnsi="Times New Roman"/>
          <w:i/>
          <w:sz w:val="28"/>
          <w:szCs w:val="28"/>
        </w:rPr>
      </w:r>
      <w:r>
        <w:rPr>
          <w:rFonts w:ascii="Times New Roman" w:hAnsi="Times New Roman"/>
          <w:i/>
          <w:sz w:val="28"/>
          <w:szCs w:val="28"/>
        </w:rPr>
      </w:r>
    </w:p>
    <w:p>
      <w:pPr>
        <w:numPr>
          <w:ilvl w:val="0"/>
          <w:numId w:val="170"/>
        </w:numPr>
        <w:ind w:right="1" w:firstLine="709"/>
        <w:jc w:val="both"/>
        <w:spacing w:after="0"/>
        <w:rPr>
          <w:rFonts w:ascii="Times New Roman" w:hAnsi="Times New Roman"/>
          <w:sz w:val="28"/>
          <w:szCs w:val="28"/>
        </w:rPr>
      </w:pPr>
      <w:r>
        <w:rPr>
          <w:rFonts w:ascii="Times New Roman" w:hAnsi="Times New Roman" w:eastAsia="Times New Roman"/>
          <w:sz w:val="28"/>
          <w:szCs w:val="28"/>
        </w:rPr>
        <w:t xml:space="preserve">предусмотреть в деятельности «зеленые» тематические площадки в  сфере защиты прав на безопасную окружающую среду; </w:t>
      </w:r>
      <w:r>
        <w:rPr>
          <w:rFonts w:ascii="Times New Roman" w:hAnsi="Times New Roman"/>
          <w:sz w:val="28"/>
          <w:szCs w:val="28"/>
        </w:rPr>
      </w:r>
      <w:r>
        <w:rPr>
          <w:rFonts w:ascii="Times New Roman" w:hAnsi="Times New Roman"/>
          <w:sz w:val="28"/>
          <w:szCs w:val="28"/>
        </w:rPr>
      </w:r>
    </w:p>
    <w:p>
      <w:pPr>
        <w:numPr>
          <w:ilvl w:val="0"/>
          <w:numId w:val="170"/>
        </w:numPr>
        <w:ind w:right="1" w:firstLine="709"/>
        <w:jc w:val="both"/>
        <w:spacing w:after="0"/>
        <w:rPr>
          <w:rFonts w:ascii="Times New Roman" w:hAnsi="Times New Roman"/>
          <w:sz w:val="28"/>
          <w:szCs w:val="28"/>
        </w:rPr>
      </w:pPr>
      <w:r>
        <w:rPr>
          <w:rFonts w:ascii="Times New Roman" w:hAnsi="Times New Roman" w:eastAsia="Times New Roman"/>
          <w:sz w:val="28"/>
          <w:szCs w:val="28"/>
        </w:rPr>
        <w:t xml:space="preserve">принимать активное участие в субботниках и других </w:t>
      </w:r>
      <w:r>
        <w:rPr>
          <w:rFonts w:ascii="Times New Roman" w:hAnsi="Times New Roman" w:eastAsia="Times New Roman"/>
          <w:sz w:val="28"/>
          <w:szCs w:val="28"/>
        </w:rPr>
        <w:t xml:space="preserve">проактивных</w:t>
      </w:r>
      <w:r>
        <w:rPr>
          <w:rFonts w:ascii="Times New Roman" w:hAnsi="Times New Roman" w:eastAsia="Times New Roman"/>
          <w:sz w:val="28"/>
          <w:szCs w:val="28"/>
        </w:rPr>
        <w:t xml:space="preserve"> мероприятиях по сохранению экологии.</w:t>
      </w:r>
      <w:r>
        <w:rPr>
          <w:rFonts w:ascii="Times New Roman" w:hAnsi="Times New Roman"/>
          <w:sz w:val="28"/>
          <w:szCs w:val="28"/>
        </w:rPr>
      </w:r>
      <w:r>
        <w:rPr>
          <w:rFonts w:ascii="Times New Roman" w:hAnsi="Times New Roman" w:eastAsia="Times New Roman"/>
          <w:sz w:val="28"/>
          <w:szCs w:val="28"/>
          <w:highlight w:val="none"/>
        </w:rPr>
      </w:r>
      <w:r>
        <w:rPr>
          <w:rFonts w:ascii="Times New Roman" w:hAnsi="Times New Roman"/>
          <w:sz w:val="28"/>
          <w:szCs w:val="28"/>
        </w:rPr>
      </w:r>
      <w:r>
        <w:rPr>
          <w:rFonts w:ascii="Times New Roman" w:hAnsi="Times New Roman"/>
          <w:sz w:val="28"/>
          <w:szCs w:val="28"/>
        </w:rPr>
      </w:r>
      <w:r>
        <w:rPr>
          <w:rFonts w:ascii="Times New Roman" w:hAnsi="Times New Roman"/>
          <w:sz w:val="28"/>
          <w:szCs w:val="28"/>
        </w:rPr>
      </w:r>
    </w:p>
    <w:p>
      <w:pPr>
        <w:pStyle w:val="1225"/>
        <w:jc w:val="center"/>
      </w:pPr>
      <w:r/>
      <w:bookmarkStart w:id="55" w:name="_Toc33"/>
      <w:r>
        <w:t xml:space="preserve">РАЗДЕЛ 12. СОБЛЮДЕНИЕ ПРАВ ГРАЖДАН ДОЛЖНОСТНЫМИ ЛИЦАМИ ПРАВООХРАНИТЕЛЬНЫХ И УГОЛОВНО-ИСПОЛНИТЕЛЬНЫХ ОРГАНОВ</w:t>
      </w:r>
      <w:bookmarkEnd w:id="55"/>
      <w:r/>
      <w:r/>
    </w:p>
    <w:p>
      <w:pPr>
        <w:jc w:val="center"/>
        <w:rPr>
          <w:rFonts w:ascii="Times New Roman" w:hAnsi="Times New Roman"/>
          <w:b/>
          <w:i/>
          <w:sz w:val="28"/>
          <w:szCs w:val="28"/>
        </w:rPr>
      </w:pPr>
      <w:r>
        <w:rPr>
          <w:rFonts w:ascii="Times New Roman" w:hAnsi="Times New Roman"/>
          <w:b/>
          <w:i/>
          <w:sz w:val="28"/>
          <w:szCs w:val="28"/>
        </w:rPr>
      </w:r>
      <w:r>
        <w:rPr>
          <w:rFonts w:ascii="Times New Roman" w:hAnsi="Times New Roman"/>
          <w:b/>
          <w:i/>
          <w:sz w:val="28"/>
          <w:szCs w:val="28"/>
        </w:rPr>
      </w:r>
      <w:r>
        <w:rPr>
          <w:rFonts w:ascii="Times New Roman" w:hAnsi="Times New Roman"/>
          <w:b/>
          <w:i/>
          <w:sz w:val="28"/>
          <w:szCs w:val="28"/>
        </w:rPr>
      </w:r>
    </w:p>
    <w:p>
      <w:pPr>
        <w:pStyle w:val="1226"/>
        <w:jc w:val="center"/>
        <w:rPr>
          <w:rFonts w:ascii="Times New Roman" w:hAnsi="Times New Roman" w:cs="Times New Roman"/>
          <w:b/>
          <w:bCs/>
          <w:color w:val="auto"/>
          <w:sz w:val="28"/>
          <w:szCs w:val="28"/>
        </w:rPr>
      </w:pPr>
      <w:r/>
      <w:bookmarkStart w:id="56" w:name="_Toc34"/>
      <w:r>
        <w:rPr>
          <w:rFonts w:ascii="Times New Roman" w:hAnsi="Times New Roman" w:cs="Times New Roman"/>
          <w:b/>
          <w:bCs/>
          <w:color w:val="auto"/>
          <w:sz w:val="28"/>
          <w:szCs w:val="28"/>
        </w:rPr>
        <w:t xml:space="preserve">12.1. Соблюдение прав человека в правоохранительной сфере</w:t>
      </w:r>
      <w:r>
        <w:rPr>
          <w:rFonts w:ascii="Times New Roman" w:hAnsi="Times New Roman" w:cs="Times New Roman"/>
          <w:b/>
          <w:bCs/>
          <w:color w:val="auto"/>
          <w:sz w:val="28"/>
          <w:szCs w:val="28"/>
        </w:rPr>
      </w:r>
      <w:bookmarkEnd w:id="56"/>
      <w:r>
        <w:rPr>
          <w:rFonts w:ascii="Times New Roman" w:hAnsi="Times New Roman" w:cs="Times New Roman"/>
          <w:b/>
          <w:bCs/>
          <w:color w:val="auto"/>
          <w:sz w:val="28"/>
          <w:szCs w:val="28"/>
        </w:rPr>
      </w:r>
      <w:r>
        <w:rPr>
          <w:rFonts w:ascii="Times New Roman" w:hAnsi="Times New Roman" w:cs="Times New Roman"/>
          <w:b/>
          <w:bCs/>
          <w:color w:val="auto"/>
          <w:sz w:val="28"/>
          <w:szCs w:val="28"/>
        </w:rPr>
      </w:r>
    </w:p>
    <w:p>
      <w:pPr>
        <w:jc w:val="both"/>
        <w:spacing w:after="0"/>
        <w:rPr>
          <w:rFonts w:ascii="Times New Roman" w:hAnsi="Times New Roman"/>
          <w:b/>
          <w:i/>
          <w:sz w:val="28"/>
          <w:szCs w:val="28"/>
        </w:rPr>
      </w:pPr>
      <w:r>
        <w:rPr>
          <w:rFonts w:ascii="Times New Roman" w:hAnsi="Times New Roman"/>
          <w:b/>
          <w:i/>
          <w:sz w:val="28"/>
          <w:szCs w:val="28"/>
        </w:rPr>
      </w:r>
      <w:r>
        <w:rPr>
          <w:rFonts w:ascii="Times New Roman" w:hAnsi="Times New Roman"/>
          <w:b/>
          <w:i/>
          <w:sz w:val="28"/>
          <w:szCs w:val="28"/>
        </w:rPr>
      </w:r>
      <w:r>
        <w:rPr>
          <w:rFonts w:ascii="Times New Roman" w:hAnsi="Times New Roman"/>
          <w:b/>
          <w:i/>
          <w:sz w:val="28"/>
          <w:szCs w:val="28"/>
        </w:rPr>
      </w:r>
    </w:p>
    <w:p>
      <w:pPr>
        <w:ind w:firstLine="709"/>
        <w:jc w:val="both"/>
        <w:spacing w:after="0"/>
      </w:pPr>
      <w:r>
        <w:rPr>
          <w:rFonts w:ascii="Times New Roman" w:hAnsi="Times New Roman"/>
          <w:sz w:val="28"/>
          <w:szCs w:val="28"/>
        </w:rPr>
        <w:t xml:space="preserve">Правоохранительная система, призванная быть гарантом безопасности и справедливости, занимает ключевое место в обеспечении правопорядка и защите конституционных прав граждан. Однако именно в этой сфере н</w:t>
      </w:r>
      <w:r>
        <w:rPr>
          <w:rFonts w:ascii="Times New Roman" w:hAnsi="Times New Roman"/>
          <w:sz w:val="28"/>
          <w:szCs w:val="28"/>
        </w:rPr>
        <w:t xml:space="preserve">аиболее остро сталкиваются публичный интерес государства и частные интересы личности. Деятельность правоохранительных органов, сопряженная с применением властных полномочий, требует особого внимания к недопущению произвола и строгому соблюдению законности.</w:t>
      </w:r>
      <w:r/>
    </w:p>
    <w:p>
      <w:pPr>
        <w:ind w:firstLine="709"/>
        <w:jc w:val="both"/>
        <w:spacing w:after="0"/>
      </w:pPr>
      <w:r>
        <w:rPr>
          <w:rFonts w:ascii="Times New Roman" w:hAnsi="Times New Roman"/>
          <w:sz w:val="28"/>
          <w:szCs w:val="28"/>
        </w:rPr>
        <w:t xml:space="preserve">В 20</w:t>
      </w:r>
      <w:r>
        <w:rPr>
          <w:rFonts w:ascii="Times New Roman" w:hAnsi="Times New Roman"/>
          <w:sz w:val="28"/>
          <w:szCs w:val="28"/>
        </w:rPr>
        <w:t xml:space="preserve">25 году работа Уполномоченного по правам человека в Ивановской области (далее – Уполномоченный) в данном направлении была сосредоточена на обеспечении баланса между эффективностью борьбы с правонарушениями и безусловным уважением к достоинству и правам каж</w:t>
      </w:r>
      <w:r>
        <w:rPr>
          <w:rFonts w:ascii="Times New Roman" w:hAnsi="Times New Roman"/>
          <w:sz w:val="28"/>
          <w:szCs w:val="28"/>
        </w:rPr>
        <w:t xml:space="preserve">дого человека, вне зависимости от обстоятельств. Основными векторами оставались надзор за законностью задержаний и содержания под стражей, а также доступность правосудия и эффективность рассмотрения жалоб на действия сотрудников правоохранительных органов.</w:t>
      </w:r>
      <w:r/>
    </w:p>
    <w:p>
      <w:pPr>
        <w:ind w:firstLine="709"/>
        <w:jc w:val="both"/>
        <w:spacing w:after="0"/>
        <w:rPr>
          <w:rFonts w:ascii="Times New Roman" w:hAnsi="Times New Roman"/>
          <w:sz w:val="28"/>
          <w:szCs w:val="28"/>
        </w:rPr>
      </w:pPr>
      <w:r>
        <w:rPr>
          <w:rFonts w:ascii="Times New Roman" w:hAnsi="Times New Roman"/>
          <w:sz w:val="28"/>
          <w:szCs w:val="28"/>
        </w:rPr>
        <w:t xml:space="preserve">Настоящий раздел доклада отражает </w:t>
      </w:r>
      <w:r>
        <w:rPr>
          <w:rFonts w:ascii="Times New Roman" w:hAnsi="Times New Roman"/>
          <w:sz w:val="28"/>
          <w:szCs w:val="28"/>
        </w:rPr>
        <w:t xml:space="preserve">анализ обращений граждан, результаты мониторинга и взаимодействия с органами внутренних дел, следственными органами и прокуратурой, а также содержит конкретные выводы и рекомендации, направленные на совершенствование правоприменительной практики в регионе.</w:t>
      </w:r>
      <w:r>
        <w:rPr>
          <w:rFonts w:ascii="Times New Roman" w:hAnsi="Times New Roman"/>
          <w:sz w:val="28"/>
          <w:szCs w:val="28"/>
        </w:rPr>
      </w:r>
      <w:r>
        <w:rPr>
          <w:rFonts w:ascii="Times New Roman" w:hAnsi="Times New Roman"/>
          <w:sz w:val="28"/>
          <w:szCs w:val="28"/>
        </w:rPr>
      </w:r>
    </w:p>
    <w:p>
      <w:pPr>
        <w:ind w:firstLine="709"/>
        <w:jc w:val="both"/>
        <w:spacing w:after="0"/>
      </w:pPr>
      <w:r>
        <w:rPr>
          <w:rFonts w:ascii="Times New Roman" w:hAnsi="Times New Roman"/>
          <w:sz w:val="28"/>
          <w:szCs w:val="28"/>
        </w:rPr>
        <w:t xml:space="preserve">В 2025 году состоялась рабочая встреча Уполномоченного с начальником УМВД России по Ивановской области Владимиром </w:t>
      </w:r>
      <w:r>
        <w:rPr>
          <w:rFonts w:ascii="Times New Roman" w:hAnsi="Times New Roman"/>
          <w:sz w:val="28"/>
          <w:szCs w:val="28"/>
        </w:rPr>
        <w:t xml:space="preserve">Жигайло</w:t>
      </w:r>
      <w:r>
        <w:rPr>
          <w:rFonts w:ascii="Times New Roman" w:hAnsi="Times New Roman"/>
          <w:sz w:val="28"/>
          <w:szCs w:val="28"/>
        </w:rPr>
        <w:t xml:space="preserve">.</w:t>
      </w:r>
      <w:r/>
    </w:p>
    <w:p>
      <w:pPr>
        <w:ind w:firstLine="709"/>
        <w:jc w:val="both"/>
        <w:spacing w:after="0"/>
      </w:pPr>
      <w:r>
        <w:rPr>
          <w:rFonts w:ascii="Times New Roman" w:hAnsi="Times New Roman"/>
          <w:sz w:val="28"/>
          <w:szCs w:val="28"/>
        </w:rPr>
        <w:t xml:space="preserve">В ходе делового общения обсуждались актуальные вопросы правозащитной повестки по обеспечению пра</w:t>
      </w:r>
      <w:r>
        <w:rPr>
          <w:rFonts w:ascii="Times New Roman" w:hAnsi="Times New Roman"/>
          <w:sz w:val="28"/>
          <w:szCs w:val="28"/>
        </w:rPr>
        <w:t xml:space="preserve">в граждан в специальных учреждениях органов внутренних дел. Затронута тема реализации прав человека в местах принудительного содержания. Были намечены пути дальнейшего развития сотрудничества между правозащитной службой и УМВД России по Ивановской области.</w:t>
      </w:r>
      <w:r/>
    </w:p>
    <w:p>
      <w:pPr>
        <w:ind w:firstLine="708"/>
        <w:jc w:val="both"/>
        <w:spacing w:after="0"/>
        <w:rPr>
          <w:rFonts w:ascii="Times New Roman" w:hAnsi="Times New Roman"/>
          <w:i/>
          <w:sz w:val="28"/>
          <w:szCs w:val="28"/>
        </w:rPr>
      </w:pPr>
      <w:r>
        <w:rPr>
          <w:rFonts w:ascii="Times New Roman" w:hAnsi="Times New Roman"/>
          <w:i/>
          <w:iCs/>
          <w:sz w:val="28"/>
          <w:szCs w:val="28"/>
        </w:rPr>
        <w:t xml:space="preserve">«Целью совместных усилий остается повышение уровня правовой культуры населения, сохранение ценностей прав человека в нашем регионе. Благодарю сотрудников правоохранительных органов, так как их </w:t>
      </w:r>
      <w:r>
        <w:rPr>
          <w:rFonts w:ascii="Times New Roman" w:hAnsi="Times New Roman"/>
          <w:i/>
          <w:iCs/>
          <w:sz w:val="28"/>
          <w:szCs w:val="28"/>
        </w:rPr>
        <w:t xml:space="preserve">ежедневный труд является залогом безопасности и спокойствия граждан», - отметила Светлана Шмелева.</w:t>
      </w:r>
      <w:r>
        <w:rPr>
          <w:rFonts w:ascii="Times New Roman" w:hAnsi="Times New Roman"/>
          <w:i/>
          <w:sz w:val="28"/>
          <w:szCs w:val="28"/>
        </w:rPr>
      </w:r>
      <w:r>
        <w:rPr>
          <w:rFonts w:ascii="Times New Roman" w:hAnsi="Times New Roman"/>
          <w:i/>
          <w:sz w:val="28"/>
          <w:szCs w:val="28"/>
        </w:rPr>
      </w:r>
    </w:p>
    <w:p>
      <w:pPr>
        <w:ind w:firstLine="709"/>
        <w:jc w:val="both"/>
        <w:spacing w:after="0"/>
      </w:pPr>
      <w:r>
        <w:rPr>
          <w:rFonts w:ascii="Times New Roman" w:hAnsi="Times New Roman"/>
          <w:sz w:val="28"/>
          <w:szCs w:val="28"/>
        </w:rPr>
        <w:t xml:space="preserve">В осуществлении своей деятельности Уполномоченный старается расширять формы взаимодействия с органами государственной власти различных уровней.</w:t>
      </w:r>
      <w:r/>
    </w:p>
    <w:p>
      <w:pPr>
        <w:ind w:firstLine="709"/>
        <w:jc w:val="both"/>
        <w:spacing w:after="0"/>
      </w:pPr>
      <w:r>
        <w:rPr>
          <w:rFonts w:ascii="Times New Roman" w:hAnsi="Times New Roman"/>
          <w:sz w:val="28"/>
          <w:szCs w:val="28"/>
        </w:rPr>
        <w:t xml:space="preserve">Это позволяет обеспечить гарантии прав и законных интересов земляков. И что не менее важно - помогает предупреждать и пресекать возможные нарушения их прав. </w:t>
      </w:r>
      <w:r/>
    </w:p>
    <w:p>
      <w:pPr>
        <w:ind w:firstLine="709"/>
        <w:jc w:val="both"/>
        <w:spacing w:after="0"/>
      </w:pPr>
      <w:r>
        <w:rPr>
          <w:rFonts w:ascii="Times New Roman" w:hAnsi="Times New Roman"/>
          <w:sz w:val="28"/>
          <w:szCs w:val="28"/>
        </w:rPr>
        <w:t xml:space="preserve">Актуальные вопросы взаимодействия, аспекты развития право</w:t>
      </w:r>
      <w:r>
        <w:rPr>
          <w:rFonts w:ascii="Times New Roman" w:hAnsi="Times New Roman"/>
          <w:sz w:val="28"/>
          <w:szCs w:val="28"/>
        </w:rPr>
        <w:t xml:space="preserve">защитной деятельности и основные проблемы, которые возникают в сфере обеспечения необходимых условий и гарантий реализации прав граждан в отчетном периоде обсуждались на рабочей встрече руководителя регионального следственного управления СК России Дмитрия </w:t>
      </w:r>
      <w:r>
        <w:rPr>
          <w:rFonts w:ascii="Times New Roman" w:hAnsi="Times New Roman"/>
          <w:sz w:val="28"/>
          <w:szCs w:val="28"/>
        </w:rPr>
        <w:t xml:space="preserve">Позовского</w:t>
      </w:r>
      <w:r>
        <w:rPr>
          <w:rFonts w:ascii="Times New Roman" w:hAnsi="Times New Roman"/>
          <w:sz w:val="28"/>
          <w:szCs w:val="28"/>
        </w:rPr>
        <w:t xml:space="preserve"> и омбудсмена Светланы Шмелевой. </w:t>
      </w:r>
      <w:r/>
    </w:p>
    <w:p>
      <w:pPr>
        <w:ind w:firstLine="709"/>
        <w:jc w:val="both"/>
        <w:spacing w:after="0"/>
      </w:pPr>
      <w:r>
        <w:rPr>
          <w:rFonts w:ascii="Times New Roman" w:hAnsi="Times New Roman"/>
          <w:sz w:val="28"/>
          <w:szCs w:val="28"/>
        </w:rPr>
        <w:t xml:space="preserve">В ходе делового общения региональным Уполномоченным был сделан обзор основных направлений государственной правозащитной деятельности из региональной практики.</w:t>
      </w:r>
      <w:r/>
    </w:p>
    <w:p>
      <w:pPr>
        <w:ind w:firstLine="709"/>
        <w:jc w:val="both"/>
        <w:spacing w:after="0"/>
      </w:pPr>
      <w:r>
        <w:rPr>
          <w:rFonts w:ascii="Times New Roman" w:hAnsi="Times New Roman"/>
          <w:sz w:val="28"/>
          <w:szCs w:val="28"/>
        </w:rPr>
        <w:t xml:space="preserve">Дмитрий </w:t>
      </w:r>
      <w:r>
        <w:rPr>
          <w:rFonts w:ascii="Times New Roman" w:hAnsi="Times New Roman"/>
          <w:sz w:val="28"/>
          <w:szCs w:val="28"/>
        </w:rPr>
        <w:t xml:space="preserve">Позовский</w:t>
      </w:r>
      <w:r>
        <w:rPr>
          <w:rFonts w:ascii="Times New Roman" w:hAnsi="Times New Roman"/>
          <w:sz w:val="28"/>
          <w:szCs w:val="28"/>
        </w:rPr>
        <w:t xml:space="preserve"> отметил, что стороны продолжат тесное сотрудничество, а также подчеркнул, что региональное управление СК России в своей повседневной деятельности значительное внимание уделяет расследованию уголовных</w:t>
      </w:r>
      <w:r>
        <w:rPr>
          <w:rFonts w:ascii="Times New Roman" w:hAnsi="Times New Roman"/>
          <w:sz w:val="28"/>
          <w:szCs w:val="28"/>
        </w:rPr>
        <w:t xml:space="preserve"> дел о преступлениях, затрагивающих конституционные права и свободы граждан. Объективную правовую оценку получают факты невыплаты заработной платы, нарушений требований охраны труда, принимаются необходимые меры к возмещению причиненного гражданам ущерба. </w:t>
      </w:r>
      <w:r/>
    </w:p>
    <w:p>
      <w:pPr>
        <w:ind w:firstLine="709"/>
        <w:jc w:val="both"/>
        <w:spacing w:after="0"/>
      </w:pPr>
      <w:r>
        <w:rPr>
          <w:rFonts w:ascii="Times New Roman" w:hAnsi="Times New Roman"/>
          <w:sz w:val="28"/>
          <w:szCs w:val="28"/>
        </w:rPr>
        <w:t xml:space="preserve">По завершении состоявшейся рабочей встречи было подписано соглашение о сотрудничестве, а также выражена уверенно</w:t>
      </w:r>
      <w:r>
        <w:rPr>
          <w:rFonts w:ascii="Times New Roman" w:hAnsi="Times New Roman"/>
          <w:sz w:val="28"/>
          <w:szCs w:val="28"/>
        </w:rPr>
        <w:t xml:space="preserve">сть, что актуализация подписанного соглашения о взаимодействии значительно повысит уровень содействия и будет способствовать эффективной плодотворной деятельности в области соблюдения, защиты и восстановления нарушенных прав незащищенных категорий граждан.</w:t>
      </w:r>
      <w:r/>
    </w:p>
    <w:p>
      <w:pPr>
        <w:ind w:firstLine="709"/>
        <w:jc w:val="both"/>
        <w:spacing w:after="0"/>
        <w:rPr>
          <w:rFonts w:ascii="Times New Roman" w:hAnsi="Times New Roman"/>
          <w:sz w:val="28"/>
          <w:szCs w:val="28"/>
          <w:highlight w:val="none"/>
        </w:rPr>
      </w:pPr>
      <w:r>
        <w:rPr>
          <w:rFonts w:ascii="Times New Roman" w:hAnsi="Times New Roman"/>
          <w:sz w:val="28"/>
          <w:szCs w:val="28"/>
        </w:rPr>
        <w:t xml:space="preserve">Рассмотрение сложных жизненных ситуаций заявителей, оказание необходимой практической помощи позволит более эффективно обеспечить защиту граждан, предупредить возможные преступления, посягающие на права и свободы человека и гражданина.</w:t>
      </w:r>
      <w:r>
        <w:rPr>
          <w:rFonts w:ascii="Times New Roman" w:hAnsi="Times New Roman"/>
          <w:sz w:val="28"/>
          <w:szCs w:val="28"/>
          <w:highlight w:val="none"/>
        </w:rPr>
      </w:r>
      <w:r>
        <w:rPr>
          <w:rFonts w:ascii="Times New Roman" w:hAnsi="Times New Roman"/>
          <w:sz w:val="28"/>
          <w:szCs w:val="28"/>
          <w:highlight w:val="none"/>
        </w:rPr>
      </w:r>
    </w:p>
    <w:p>
      <w:pPr>
        <w:ind w:firstLine="709"/>
        <w:jc w:val="both"/>
        <w:spacing w:after="0"/>
      </w:pPr>
      <w:r>
        <w:rPr>
          <w:rFonts w:ascii="Times New Roman" w:hAnsi="Times New Roman"/>
          <w:sz w:val="28"/>
          <w:szCs w:val="28"/>
        </w:rPr>
        <w:t xml:space="preserve">В августе 2025 года Уполномоченный совместно с сотрудниками УГИБДД МВД РФ по Ивановской области провела прием граждан по </w:t>
      </w:r>
      <w:r>
        <w:rPr>
          <w:rFonts w:ascii="Times New Roman" w:hAnsi="Times New Roman"/>
          <w:sz w:val="28"/>
          <w:szCs w:val="28"/>
        </w:rPr>
        <w:t xml:space="preserve">вопросам безопасности дорожного движения, состояния улично-дорожной сети в областном центре и в регионе в целом.</w:t>
      </w:r>
      <w:r/>
    </w:p>
    <w:p>
      <w:pPr>
        <w:ind w:firstLine="709"/>
        <w:jc w:val="both"/>
        <w:spacing w:after="0"/>
      </w:pPr>
      <w:r>
        <w:rPr>
          <w:rFonts w:ascii="Times New Roman" w:hAnsi="Times New Roman"/>
          <w:sz w:val="28"/>
          <w:szCs w:val="28"/>
        </w:rPr>
        <w:t xml:space="preserve">Обращения граждан были вызваны неудовлетворительным состоянием дорог общего пользования и </w:t>
      </w:r>
      <w:r>
        <w:rPr>
          <w:rFonts w:ascii="Times New Roman" w:hAnsi="Times New Roman"/>
          <w:sz w:val="28"/>
          <w:szCs w:val="28"/>
        </w:rPr>
        <w:t xml:space="preserve">внутридворовых</w:t>
      </w:r>
      <w:r>
        <w:rPr>
          <w:rFonts w:ascii="Times New Roman" w:hAnsi="Times New Roman"/>
          <w:sz w:val="28"/>
          <w:szCs w:val="28"/>
        </w:rPr>
        <w:t xml:space="preserve"> дорог, необходимостью приведения покрытия проезжей части в нормативное состояние, обустройством тротуаров и пешеходных дорожек. </w:t>
      </w:r>
      <w:r/>
    </w:p>
    <w:p>
      <w:pPr>
        <w:ind w:firstLine="709"/>
        <w:jc w:val="both"/>
        <w:spacing w:after="0"/>
      </w:pPr>
      <w:r>
        <w:rPr>
          <w:rFonts w:ascii="Times New Roman" w:hAnsi="Times New Roman"/>
          <w:sz w:val="28"/>
          <w:szCs w:val="28"/>
        </w:rPr>
        <w:t xml:space="preserve">Ивановцами</w:t>
      </w:r>
      <w:r>
        <w:rPr>
          <w:rFonts w:ascii="Times New Roman" w:hAnsi="Times New Roman"/>
          <w:sz w:val="28"/>
          <w:szCs w:val="28"/>
        </w:rPr>
        <w:t xml:space="preserve"> озвучены предложения по внесению изменений в действующую организацию дорожного движения. Все заявители получили правовые разъяснения. Даны рекомендации по дальнейшим действиям для защиты и восстановления прав. Отдельные жалобы отработаны в ходе приема.</w:t>
      </w:r>
      <w:r/>
    </w:p>
    <w:p>
      <w:pPr>
        <w:ind w:firstLine="709"/>
        <w:jc w:val="both"/>
        <w:spacing w:after="0"/>
        <w:rPr>
          <w:color w:val="000000" w:themeColor="text1"/>
        </w:rPr>
      </w:pPr>
      <w:r>
        <w:rPr>
          <w:rFonts w:ascii="Times New Roman" w:hAnsi="Times New Roman"/>
          <w:color w:val="000000" w:themeColor="text1"/>
          <w:sz w:val="28"/>
          <w:szCs w:val="28"/>
        </w:rPr>
        <w:t xml:space="preserve">По завершению приема обсужде</w:t>
      </w:r>
      <w:r>
        <w:rPr>
          <w:rFonts w:ascii="Times New Roman" w:hAnsi="Times New Roman"/>
          <w:color w:val="000000" w:themeColor="text1"/>
          <w:sz w:val="28"/>
          <w:szCs w:val="28"/>
        </w:rPr>
        <w:t xml:space="preserve">ны также проблемы, касающиеся безопасности дорожного движения: уровень аварийности на территории областного центра, причины и условия, сопутствующие совершению дорожно-транспортных происшествий, а также эффективность проводимой работы по их предупреждению.</w:t>
      </w:r>
      <w:r>
        <w:rPr>
          <w:color w:val="000000" w:themeColor="text1"/>
        </w:rPr>
      </w:r>
      <w:r>
        <w:rPr>
          <w:color w:val="000000" w:themeColor="text1"/>
        </w:rPr>
      </w:r>
    </w:p>
    <w:p>
      <w:pPr>
        <w:ind w:firstLine="708"/>
        <w:jc w:val="both"/>
        <w:spacing w:after="0"/>
        <w:rPr>
          <w:rFonts w:ascii="Times New Roman" w:hAnsi="Times New Roman"/>
          <w:color w:val="000000" w:themeColor="text1"/>
          <w:sz w:val="28"/>
          <w:szCs w:val="28"/>
        </w:rPr>
      </w:pPr>
      <w:r>
        <w:rPr>
          <w:rFonts w:ascii="Times New Roman" w:hAnsi="Times New Roman"/>
          <w:i/>
          <w:iCs/>
          <w:sz w:val="28"/>
          <w:szCs w:val="28"/>
        </w:rPr>
        <w:t xml:space="preserve">«Однозначно, участие представителей УГИБДД позволило оперативно подключиться к разрешению болезненных вопросов заявителей. Накануне проведения приема в правозащитную службу поступили звонк</w:t>
      </w:r>
      <w:r>
        <w:rPr>
          <w:rFonts w:ascii="Times New Roman" w:hAnsi="Times New Roman"/>
          <w:i/>
          <w:iCs/>
          <w:color w:val="000000" w:themeColor="text1"/>
          <w:sz w:val="28"/>
          <w:szCs w:val="28"/>
        </w:rPr>
        <w:t xml:space="preserve">и, где земляки отмечают улучшение качества дорожного покрытия в нашем регионе», - отметила Светлана Шмелева.</w:t>
      </w:r>
      <w:r>
        <w:rPr>
          <w:rFonts w:ascii="Times New Roman" w:hAnsi="Times New Roman"/>
          <w:color w:val="000000" w:themeColor="text1"/>
          <w:sz w:val="28"/>
          <w:szCs w:val="28"/>
        </w:rPr>
      </w:r>
      <w:r>
        <w:rPr>
          <w:rFonts w:ascii="Times New Roman" w:hAnsi="Times New Roman"/>
          <w:color w:val="000000" w:themeColor="text1"/>
          <w:sz w:val="28"/>
          <w:szCs w:val="28"/>
        </w:rPr>
      </w:r>
    </w:p>
    <w:p>
      <w:pPr>
        <w:jc w:val="both"/>
        <w:spacing w:after="0"/>
        <w:rPr>
          <w:color w:val="000000" w:themeColor="text1"/>
        </w:rPr>
      </w:pPr>
      <w:r>
        <w:rPr>
          <w:color w:val="000000" w:themeColor="text1"/>
        </w:rPr>
      </w:r>
      <w:r>
        <w:rPr>
          <w:color w:val="000000" w:themeColor="text1"/>
        </w:rPr>
      </w:r>
      <w:r>
        <w:rPr>
          <w:color w:val="000000" w:themeColor="text1"/>
        </w:rPr>
      </w:r>
    </w:p>
    <w:p>
      <w:pPr>
        <w:ind w:firstLine="709"/>
        <w:jc w:val="both"/>
        <w:spacing w:after="0"/>
        <w:rPr>
          <w:rFonts w:ascii="Times New Roman" w:hAnsi="Times New Roman"/>
          <w:color w:val="000000" w:themeColor="text1"/>
          <w:sz w:val="28"/>
          <w:szCs w:val="28"/>
        </w:rPr>
      </w:pPr>
      <w:r>
        <w:rPr>
          <w:rFonts w:ascii="Times New Roman" w:hAnsi="Times New Roman"/>
          <w:color w:val="000000" w:themeColor="text1"/>
          <w:sz w:val="28"/>
          <w:szCs w:val="28"/>
        </w:rPr>
        <w:t xml:space="preserve">Уполномоченному в 2025 году поступили следующие обращения и жалобы:</w:t>
      </w:r>
      <w:r>
        <w:rPr>
          <w:rFonts w:ascii="Times New Roman" w:hAnsi="Times New Roman"/>
          <w:color w:val="000000" w:themeColor="text1"/>
          <w:sz w:val="28"/>
          <w:szCs w:val="28"/>
        </w:rPr>
      </w:r>
      <w:r>
        <w:rPr>
          <w:rFonts w:ascii="Times New Roman" w:hAnsi="Times New Roman"/>
          <w:color w:val="000000" w:themeColor="text1"/>
          <w:sz w:val="28"/>
          <w:szCs w:val="28"/>
        </w:rPr>
      </w:r>
    </w:p>
    <w:p>
      <w:pPr>
        <w:pStyle w:val="1227"/>
        <w:numPr>
          <w:ilvl w:val="0"/>
          <w:numId w:val="66"/>
        </w:numPr>
        <w:ind w:left="0" w:firstLine="709"/>
        <w:jc w:val="both"/>
        <w:spacing w:line="276" w:lineRule="auto"/>
        <w:rPr>
          <w:rFonts w:ascii="Times New Roman" w:hAnsi="Times New Roman"/>
          <w:color w:val="000000" w:themeColor="text1"/>
          <w:sz w:val="28"/>
          <w:szCs w:val="28"/>
          <w:lang w:val="ru-RU"/>
        </w:rPr>
      </w:pPr>
      <w:r>
        <w:rPr>
          <w:rFonts w:ascii="Times New Roman" w:hAnsi="Times New Roman"/>
          <w:color w:val="000000" w:themeColor="text1"/>
          <w:sz w:val="28"/>
          <w:szCs w:val="28"/>
          <w:lang w:val="ru-RU"/>
        </w:rPr>
        <w:t xml:space="preserve">на действия (бездействие) сотрудников ОВД: 11 письменных и 32 устных;</w:t>
      </w:r>
      <w:r>
        <w:rPr>
          <w:rFonts w:ascii="Times New Roman" w:hAnsi="Times New Roman"/>
          <w:color w:val="000000" w:themeColor="text1"/>
          <w:sz w:val="28"/>
          <w:szCs w:val="28"/>
          <w:lang w:val="ru-RU"/>
        </w:rPr>
      </w:r>
      <w:r>
        <w:rPr>
          <w:rFonts w:ascii="Times New Roman" w:hAnsi="Times New Roman"/>
          <w:color w:val="000000" w:themeColor="text1"/>
          <w:sz w:val="28"/>
          <w:szCs w:val="28"/>
          <w:lang w:val="ru-RU"/>
        </w:rPr>
      </w:r>
    </w:p>
    <w:p>
      <w:pPr>
        <w:pStyle w:val="1227"/>
        <w:numPr>
          <w:ilvl w:val="0"/>
          <w:numId w:val="66"/>
        </w:numPr>
        <w:ind w:left="0" w:firstLine="709"/>
        <w:jc w:val="both"/>
        <w:spacing w:line="276" w:lineRule="auto"/>
        <w:rPr>
          <w:rFonts w:ascii="Times New Roman" w:hAnsi="Times New Roman"/>
          <w:color w:val="000000" w:themeColor="text1"/>
          <w:sz w:val="28"/>
          <w:szCs w:val="28"/>
          <w:lang w:val="ru-RU"/>
        </w:rPr>
      </w:pPr>
      <w:r>
        <w:rPr>
          <w:rFonts w:ascii="Times New Roman" w:hAnsi="Times New Roman"/>
          <w:color w:val="000000" w:themeColor="text1"/>
          <w:sz w:val="28"/>
          <w:szCs w:val="28"/>
          <w:lang w:val="ru-RU"/>
        </w:rPr>
        <w:t xml:space="preserve">на территориальные подразделения органов предварительного расследования УМВД России по Ивановской области: 9 письменных и 8 устных;</w:t>
      </w:r>
      <w:r>
        <w:rPr>
          <w:rFonts w:ascii="Times New Roman" w:hAnsi="Times New Roman"/>
          <w:color w:val="000000" w:themeColor="text1"/>
          <w:sz w:val="28"/>
          <w:szCs w:val="28"/>
          <w:lang w:val="ru-RU"/>
        </w:rPr>
      </w:r>
      <w:r>
        <w:rPr>
          <w:rFonts w:ascii="Times New Roman" w:hAnsi="Times New Roman"/>
          <w:color w:val="000000" w:themeColor="text1"/>
          <w:sz w:val="28"/>
          <w:szCs w:val="28"/>
          <w:lang w:val="ru-RU"/>
        </w:rPr>
      </w:r>
    </w:p>
    <w:p>
      <w:pPr>
        <w:pStyle w:val="1227"/>
        <w:numPr>
          <w:ilvl w:val="0"/>
          <w:numId w:val="66"/>
        </w:numPr>
        <w:ind w:left="0" w:firstLine="709"/>
        <w:jc w:val="both"/>
        <w:spacing w:line="276" w:lineRule="auto"/>
        <w:rPr>
          <w:rFonts w:ascii="Times New Roman" w:hAnsi="Times New Roman"/>
          <w:color w:val="000000" w:themeColor="text1"/>
          <w:sz w:val="28"/>
          <w:szCs w:val="28"/>
          <w:lang w:val="ru-RU"/>
        </w:rPr>
      </w:pPr>
      <w:r>
        <w:rPr>
          <w:rFonts w:ascii="Times New Roman" w:hAnsi="Times New Roman"/>
          <w:color w:val="000000" w:themeColor="text1"/>
          <w:sz w:val="28"/>
          <w:szCs w:val="28"/>
          <w:lang w:val="ru-RU"/>
        </w:rPr>
        <w:t xml:space="preserve">на территориальные подразделения СУ СК РФ по Ивановской области: 6 письменных и 10 устных;</w:t>
      </w:r>
      <w:r>
        <w:rPr>
          <w:rFonts w:ascii="Times New Roman" w:hAnsi="Times New Roman"/>
          <w:color w:val="000000" w:themeColor="text1"/>
          <w:sz w:val="28"/>
          <w:szCs w:val="28"/>
          <w:lang w:val="ru-RU"/>
        </w:rPr>
      </w:r>
      <w:r>
        <w:rPr>
          <w:rFonts w:ascii="Times New Roman" w:hAnsi="Times New Roman"/>
          <w:color w:val="000000" w:themeColor="text1"/>
          <w:sz w:val="28"/>
          <w:szCs w:val="28"/>
          <w:lang w:val="ru-RU"/>
        </w:rPr>
      </w:r>
    </w:p>
    <w:p>
      <w:pPr>
        <w:pStyle w:val="1227"/>
        <w:numPr>
          <w:ilvl w:val="0"/>
          <w:numId w:val="66"/>
        </w:numPr>
        <w:ind w:left="0" w:firstLine="709"/>
        <w:jc w:val="both"/>
        <w:spacing w:line="276" w:lineRule="auto"/>
        <w:rPr>
          <w:rFonts w:ascii="Times New Roman" w:hAnsi="Times New Roman"/>
          <w:color w:val="000000" w:themeColor="text1"/>
          <w:sz w:val="28"/>
          <w:szCs w:val="28"/>
          <w:lang w:val="ru-RU"/>
        </w:rPr>
      </w:pPr>
      <w:r>
        <w:rPr>
          <w:rFonts w:ascii="Times New Roman" w:hAnsi="Times New Roman"/>
          <w:color w:val="000000" w:themeColor="text1"/>
          <w:sz w:val="28"/>
          <w:szCs w:val="28"/>
          <w:lang w:val="ru-RU"/>
        </w:rPr>
        <w:t xml:space="preserve">по миграционным вопросам: 19 </w:t>
      </w:r>
      <w:r>
        <w:rPr>
          <w:rFonts w:ascii="Times New Roman" w:hAnsi="Times New Roman"/>
          <w:color w:val="000000" w:themeColor="text1"/>
          <w:sz w:val="28"/>
          <w:szCs w:val="28"/>
          <w:lang w:val="ru-RU"/>
        </w:rPr>
        <w:t xml:space="preserve">письменных</w:t>
      </w:r>
      <w:r>
        <w:rPr>
          <w:rFonts w:ascii="Times New Roman" w:hAnsi="Times New Roman"/>
          <w:color w:val="000000" w:themeColor="text1"/>
          <w:sz w:val="28"/>
          <w:szCs w:val="28"/>
          <w:lang w:val="ru-RU"/>
        </w:rPr>
        <w:t xml:space="preserve"> и 37 устных;</w:t>
      </w:r>
      <w:r>
        <w:rPr>
          <w:rFonts w:ascii="Times New Roman" w:hAnsi="Times New Roman"/>
          <w:color w:val="000000" w:themeColor="text1"/>
          <w:sz w:val="28"/>
          <w:szCs w:val="28"/>
          <w:lang w:val="ru-RU"/>
        </w:rPr>
      </w:r>
      <w:r>
        <w:rPr>
          <w:rFonts w:ascii="Times New Roman" w:hAnsi="Times New Roman"/>
          <w:color w:val="000000" w:themeColor="text1"/>
          <w:sz w:val="28"/>
          <w:szCs w:val="28"/>
          <w:lang w:val="ru-RU"/>
        </w:rPr>
      </w:r>
    </w:p>
    <w:p>
      <w:pPr>
        <w:pStyle w:val="1227"/>
        <w:numPr>
          <w:ilvl w:val="0"/>
          <w:numId w:val="66"/>
        </w:numPr>
        <w:ind w:left="0" w:firstLine="709"/>
        <w:jc w:val="both"/>
        <w:spacing w:line="276" w:lineRule="auto"/>
        <w:rPr>
          <w:rFonts w:ascii="Times New Roman" w:hAnsi="Times New Roman"/>
          <w:color w:val="000000" w:themeColor="text1"/>
          <w:sz w:val="28"/>
          <w:szCs w:val="28"/>
          <w:lang w:val="ru-RU"/>
        </w:rPr>
      </w:pPr>
      <w:r>
        <w:rPr>
          <w:rFonts w:ascii="Times New Roman" w:hAnsi="Times New Roman"/>
          <w:color w:val="000000" w:themeColor="text1"/>
          <w:sz w:val="28"/>
          <w:szCs w:val="28"/>
          <w:lang w:val="ru-RU"/>
        </w:rPr>
        <w:t xml:space="preserve">по вопросам финансового мошенничества 3 </w:t>
      </w:r>
      <w:r>
        <w:rPr>
          <w:rFonts w:ascii="Times New Roman" w:hAnsi="Times New Roman"/>
          <w:color w:val="000000" w:themeColor="text1"/>
          <w:sz w:val="28"/>
          <w:szCs w:val="28"/>
          <w:lang w:val="ru-RU"/>
        </w:rPr>
        <w:t xml:space="preserve">письменных</w:t>
      </w:r>
      <w:r>
        <w:rPr>
          <w:rFonts w:ascii="Times New Roman" w:hAnsi="Times New Roman"/>
          <w:color w:val="000000" w:themeColor="text1"/>
          <w:sz w:val="28"/>
          <w:szCs w:val="28"/>
          <w:lang w:val="ru-RU"/>
        </w:rPr>
        <w:t xml:space="preserve"> и 34 устных.</w:t>
      </w:r>
      <w:r>
        <w:rPr>
          <w:rFonts w:ascii="Times New Roman" w:hAnsi="Times New Roman"/>
          <w:color w:val="000000" w:themeColor="text1"/>
          <w:sz w:val="28"/>
          <w:szCs w:val="28"/>
          <w:lang w:val="ru-RU"/>
        </w:rPr>
      </w:r>
      <w:r>
        <w:rPr>
          <w:rFonts w:ascii="Times New Roman" w:hAnsi="Times New Roman"/>
          <w:color w:val="000000" w:themeColor="text1"/>
          <w:sz w:val="28"/>
          <w:szCs w:val="28"/>
          <w:lang w:val="ru-RU"/>
        </w:rPr>
      </w:r>
    </w:p>
    <w:p>
      <w:pPr>
        <w:ind w:firstLine="708"/>
        <w:jc w:val="both"/>
        <w:spacing w:after="0"/>
        <w:rPr>
          <w:rFonts w:ascii="Times New Roman" w:hAnsi="Times New Roman"/>
          <w:sz w:val="28"/>
          <w:szCs w:val="28"/>
        </w:rPr>
      </w:pPr>
      <w:r>
        <w:rPr>
          <w:rFonts w:ascii="Times New Roman" w:hAnsi="Times New Roman"/>
          <w:sz w:val="28"/>
          <w:szCs w:val="28"/>
        </w:rPr>
        <w:t xml:space="preserve">Каждая полученная жалоба была предметом детального рассмотрения. Заявителям разъяснялся механизм защиты их прав. По ряду обращений Уполномоченный инициировала проверки через надзорные органы для принятия предусмотренных законом мер.</w:t>
      </w:r>
      <w:r>
        <w:rPr>
          <w:rFonts w:ascii="Times New Roman" w:hAnsi="Times New Roman"/>
          <w:sz w:val="28"/>
          <w:szCs w:val="28"/>
        </w:rPr>
      </w:r>
      <w:r>
        <w:rPr>
          <w:rFonts w:ascii="Times New Roman" w:hAnsi="Times New Roman"/>
          <w:sz w:val="28"/>
          <w:szCs w:val="28"/>
        </w:rPr>
      </w:r>
    </w:p>
    <w:p>
      <w:pPr>
        <w:ind w:firstLine="709"/>
        <w:jc w:val="both"/>
        <w:spacing w:after="0"/>
        <w:rPr>
          <w:rFonts w:ascii="Times New Roman" w:hAnsi="Times New Roman"/>
          <w:sz w:val="28"/>
          <w:szCs w:val="28"/>
        </w:rPr>
      </w:pPr>
      <w:r>
        <w:rPr>
          <w:rFonts w:ascii="Times New Roman" w:hAnsi="Times New Roman"/>
          <w:sz w:val="28"/>
          <w:szCs w:val="28"/>
        </w:rPr>
        <w:t xml:space="preserve">В качестве примера можно привести несколько обращений: </w:t>
      </w:r>
      <w:r>
        <w:rPr>
          <w:rFonts w:ascii="Times New Roman" w:hAnsi="Times New Roman"/>
          <w:sz w:val="28"/>
          <w:szCs w:val="28"/>
        </w:rPr>
      </w:r>
      <w:r>
        <w:rPr>
          <w:rFonts w:ascii="Times New Roman" w:hAnsi="Times New Roman"/>
          <w:sz w:val="28"/>
          <w:szCs w:val="28"/>
        </w:rPr>
      </w:r>
    </w:p>
    <w:p>
      <w:pPr>
        <w:ind w:firstLine="708"/>
        <w:jc w:val="both"/>
        <w:spacing w:after="0"/>
        <w:rPr>
          <w:bCs/>
          <w:i/>
        </w:rPr>
      </w:pPr>
      <w:r>
        <w:rPr>
          <w:rFonts w:ascii="Times New Roman" w:hAnsi="Times New Roman"/>
          <w:i/>
          <w:iCs/>
          <w:sz w:val="28"/>
          <w:szCs w:val="28"/>
        </w:rPr>
        <w:t xml:space="preserve">1) В ад</w:t>
      </w:r>
      <w:r>
        <w:rPr>
          <w:rFonts w:ascii="Times New Roman" w:hAnsi="Times New Roman"/>
          <w:i/>
          <w:iCs/>
          <w:sz w:val="28"/>
          <w:szCs w:val="28"/>
        </w:rPr>
        <w:t xml:space="preserve">рес Уполномоченного поступило обращение от жителя города Иваново с просьбой оказать содействие в отмене постановления об отказе в возбуждении уголовного дела. Заявитель не был согласен с таким решением и считал, что его доводы не были учтены в полной мере.</w:t>
      </w:r>
      <w:r>
        <w:rPr>
          <w:bCs/>
          <w:i/>
        </w:rPr>
      </w:r>
      <w:r>
        <w:rPr>
          <w:bCs/>
          <w:i/>
        </w:rPr>
      </w:r>
    </w:p>
    <w:p>
      <w:pPr>
        <w:ind w:firstLine="708"/>
        <w:jc w:val="both"/>
        <w:spacing w:after="0"/>
        <w:rPr>
          <w:bCs/>
          <w:i/>
        </w:rPr>
      </w:pPr>
      <w:r>
        <w:rPr>
          <w:rFonts w:ascii="Times New Roman" w:hAnsi="Times New Roman"/>
          <w:i/>
          <w:iCs/>
          <w:sz w:val="28"/>
          <w:szCs w:val="28"/>
        </w:rPr>
        <w:t xml:space="preserve">Региона</w:t>
      </w:r>
      <w:r>
        <w:rPr>
          <w:rFonts w:ascii="Times New Roman" w:hAnsi="Times New Roman"/>
          <w:i/>
          <w:iCs/>
          <w:sz w:val="28"/>
          <w:szCs w:val="28"/>
        </w:rPr>
        <w:t xml:space="preserve">льный омбудсмен обратилась в прокуратуру. После изучения ситуации прокурор признал необходимым отменить указанное постановление, материалы возвратить для проведения дополнительной проверки в орган дознания ОМВД России по Октябрьскому району города Иваново.</w:t>
      </w:r>
      <w:r>
        <w:rPr>
          <w:bCs/>
          <w:i/>
        </w:rPr>
      </w:r>
      <w:r>
        <w:rPr>
          <w:bCs/>
          <w:i/>
        </w:rPr>
      </w:r>
    </w:p>
    <w:p>
      <w:pPr>
        <w:ind w:firstLine="708"/>
        <w:jc w:val="both"/>
        <w:spacing w:after="0"/>
        <w:rPr>
          <w:rFonts w:ascii="Times New Roman" w:hAnsi="Times New Roman"/>
          <w:sz w:val="28"/>
          <w:szCs w:val="28"/>
        </w:rPr>
      </w:pPr>
      <w:r>
        <w:rPr>
          <w:rFonts w:ascii="Times New Roman" w:hAnsi="Times New Roman"/>
          <w:i/>
          <w:iCs/>
          <w:sz w:val="28"/>
          <w:szCs w:val="28"/>
        </w:rPr>
        <w:t xml:space="preserve">Институт уполномоченного по правам человека традиционно выступает в роли посредника между гражданами и государственными структурами, помогая восстановить нарушенные права.</w:t>
      </w:r>
      <w:r>
        <w:rPr>
          <w:rFonts w:ascii="Times New Roman" w:hAnsi="Times New Roman"/>
          <w:sz w:val="28"/>
          <w:szCs w:val="28"/>
        </w:rPr>
      </w:r>
      <w:r>
        <w:rPr>
          <w:rFonts w:ascii="Times New Roman" w:hAnsi="Times New Roman"/>
          <w:sz w:val="28"/>
          <w:szCs w:val="28"/>
        </w:rPr>
      </w:r>
    </w:p>
    <w:p>
      <w:pPr>
        <w:ind w:firstLine="708"/>
        <w:jc w:val="both"/>
        <w:spacing w:after="0"/>
        <w:rPr>
          <w:bCs/>
          <w:i/>
        </w:rPr>
      </w:pPr>
      <w:r>
        <w:rPr>
          <w:rFonts w:ascii="Times New Roman" w:hAnsi="Times New Roman"/>
          <w:i/>
          <w:iCs/>
          <w:sz w:val="28"/>
          <w:szCs w:val="28"/>
        </w:rPr>
        <w:t xml:space="preserve">2) К  правозащитнику обратился житель города Фурманова по вопросу несогласия с действиями (бездействием) должностных лиц ОМВД России по </w:t>
      </w:r>
      <w:r>
        <w:rPr>
          <w:rFonts w:ascii="Times New Roman" w:hAnsi="Times New Roman"/>
          <w:i/>
          <w:iCs/>
          <w:sz w:val="28"/>
          <w:szCs w:val="28"/>
        </w:rPr>
        <w:t xml:space="preserve">Фурмановскому</w:t>
      </w:r>
      <w:r>
        <w:rPr>
          <w:rFonts w:ascii="Times New Roman" w:hAnsi="Times New Roman"/>
          <w:i/>
          <w:iCs/>
          <w:sz w:val="28"/>
          <w:szCs w:val="28"/>
        </w:rPr>
        <w:t xml:space="preserve"> району. Он сообщил, что дважды был избит жителем своего района. По факту нанесения ему побоев безрезультатно обращался в ОВД по вопросу привлечения к ответственности виновного лица. </w:t>
      </w:r>
      <w:r>
        <w:rPr>
          <w:bCs/>
          <w:i/>
        </w:rPr>
      </w:r>
      <w:r>
        <w:rPr>
          <w:bCs/>
          <w:i/>
        </w:rPr>
      </w:r>
    </w:p>
    <w:p>
      <w:pPr>
        <w:ind w:firstLine="708"/>
        <w:jc w:val="both"/>
        <w:spacing w:after="0"/>
        <w:rPr>
          <w:bCs/>
          <w:i/>
        </w:rPr>
      </w:pPr>
      <w:r>
        <w:rPr>
          <w:rFonts w:ascii="Times New Roman" w:hAnsi="Times New Roman"/>
          <w:i/>
          <w:iCs/>
          <w:sz w:val="28"/>
          <w:szCs w:val="28"/>
        </w:rPr>
        <w:t xml:space="preserve">Обращение для проверки доводов заявителя незамедлительно было направлено в адрес </w:t>
      </w:r>
      <w:r>
        <w:rPr>
          <w:rFonts w:ascii="Times New Roman" w:hAnsi="Times New Roman"/>
          <w:i/>
          <w:iCs/>
          <w:sz w:val="28"/>
          <w:szCs w:val="28"/>
        </w:rPr>
        <w:t xml:space="preserve">Фурмановского</w:t>
      </w:r>
      <w:r>
        <w:rPr>
          <w:rFonts w:ascii="Times New Roman" w:hAnsi="Times New Roman"/>
          <w:i/>
          <w:iCs/>
          <w:sz w:val="28"/>
          <w:szCs w:val="28"/>
        </w:rPr>
        <w:t xml:space="preserve"> межрайонного прокурора. По результатам проверки установлено, что при производстве по делу об административном правонарушении допущено существенное нарушение процессуальных требований, предусмотренных </w:t>
      </w:r>
      <w:r>
        <w:rPr>
          <w:rFonts w:ascii="Times New Roman" w:hAnsi="Times New Roman"/>
          <w:i/>
          <w:iCs/>
          <w:sz w:val="28"/>
          <w:szCs w:val="28"/>
        </w:rPr>
        <w:t xml:space="preserve">КоАП</w:t>
      </w:r>
      <w:r>
        <w:rPr>
          <w:rFonts w:ascii="Times New Roman" w:hAnsi="Times New Roman"/>
          <w:i/>
          <w:iCs/>
          <w:sz w:val="28"/>
          <w:szCs w:val="28"/>
        </w:rPr>
        <w:t xml:space="preserve"> РФ, а вынесенное определение не соответствует положениям ст. 29.12 </w:t>
      </w:r>
      <w:r>
        <w:rPr>
          <w:rFonts w:ascii="Times New Roman" w:hAnsi="Times New Roman"/>
          <w:i/>
          <w:iCs/>
          <w:sz w:val="28"/>
          <w:szCs w:val="28"/>
        </w:rPr>
        <w:t xml:space="preserve">КоАП</w:t>
      </w:r>
      <w:r>
        <w:rPr>
          <w:rFonts w:ascii="Times New Roman" w:hAnsi="Times New Roman"/>
          <w:i/>
          <w:iCs/>
          <w:sz w:val="28"/>
          <w:szCs w:val="28"/>
        </w:rPr>
        <w:t xml:space="preserve"> РФ. </w:t>
      </w:r>
      <w:r>
        <w:rPr>
          <w:rFonts w:ascii="Times New Roman" w:hAnsi="Times New Roman"/>
          <w:i/>
          <w:iCs/>
          <w:sz w:val="28"/>
          <w:szCs w:val="28"/>
        </w:rPr>
        <w:t xml:space="preserve">В связи с чем, надзорным органом принесен протест на определение об отказе в возбуждении дела об административном правонарушений по ст. 6.1.1 </w:t>
      </w:r>
      <w:r>
        <w:rPr>
          <w:rFonts w:ascii="Times New Roman" w:hAnsi="Times New Roman"/>
          <w:i/>
          <w:iCs/>
          <w:sz w:val="28"/>
          <w:szCs w:val="28"/>
        </w:rPr>
        <w:t xml:space="preserve">КоАП</w:t>
      </w:r>
      <w:r>
        <w:rPr>
          <w:rFonts w:ascii="Times New Roman" w:hAnsi="Times New Roman"/>
          <w:i/>
          <w:iCs/>
          <w:sz w:val="28"/>
          <w:szCs w:val="28"/>
        </w:rPr>
        <w:t xml:space="preserve"> РФ.</w:t>
      </w:r>
      <w:r>
        <w:rPr>
          <w:rFonts w:ascii="Times New Roman" w:hAnsi="Times New Roman"/>
          <w:i/>
          <w:iCs/>
          <w:sz w:val="28"/>
          <w:szCs w:val="28"/>
        </w:rPr>
        <w:t xml:space="preserve"> По результатам рассмотрения протеста, определение об отказе в возбуждении дела об административном правонарушении отменено, дело направлено на новое рассмотрение.</w:t>
      </w:r>
      <w:r>
        <w:rPr>
          <w:bCs/>
          <w:i/>
        </w:rPr>
      </w:r>
      <w:r>
        <w:rPr>
          <w:bCs/>
          <w:i/>
        </w:rPr>
      </w:r>
    </w:p>
    <w:p>
      <w:pPr>
        <w:ind w:firstLine="708"/>
        <w:jc w:val="both"/>
        <w:spacing w:after="0"/>
        <w:rPr>
          <w:bCs/>
          <w:i/>
        </w:rPr>
      </w:pPr>
      <w:r>
        <w:rPr>
          <w:rFonts w:ascii="Times New Roman" w:hAnsi="Times New Roman"/>
          <w:i/>
          <w:iCs/>
          <w:sz w:val="28"/>
          <w:szCs w:val="28"/>
        </w:rPr>
        <w:t xml:space="preserve">Здесь необходимо помнить, что статья 6.1.1 Кодекса об административных правонарушениях Российской Федерации устанавливает а</w:t>
      </w:r>
      <w:r>
        <w:rPr>
          <w:rFonts w:ascii="Times New Roman" w:hAnsi="Times New Roman"/>
          <w:i/>
          <w:iCs/>
          <w:sz w:val="28"/>
          <w:szCs w:val="28"/>
        </w:rPr>
        <w:t xml:space="preserve">дминистративную ответственность за нанесение побоев или совершение иных насильственных действий, причинивших физическую боль, но не повлекших последствий, указанных в ст. 115 Уголовного кодекса РФ, если эти действия не содержат уголовно наказуемого деяния.</w:t>
      </w:r>
      <w:r>
        <w:rPr>
          <w:bCs/>
          <w:i/>
        </w:rPr>
      </w:r>
      <w:r>
        <w:rPr>
          <w:bCs/>
          <w:i/>
        </w:rPr>
      </w:r>
    </w:p>
    <w:p>
      <w:pPr>
        <w:ind w:firstLine="708"/>
        <w:jc w:val="both"/>
        <w:spacing w:after="0"/>
        <w:rPr>
          <w:bCs/>
          <w:i/>
        </w:rPr>
      </w:pPr>
      <w:r>
        <w:rPr>
          <w:rFonts w:ascii="Times New Roman" w:hAnsi="Times New Roman"/>
          <w:i/>
          <w:iCs/>
          <w:sz w:val="28"/>
          <w:szCs w:val="28"/>
        </w:rPr>
        <w:t xml:space="preserve">Срок давности привлечения к ответственности - 2 года.</w:t>
      </w:r>
      <w:r>
        <w:rPr>
          <w:bCs/>
          <w:i/>
        </w:rPr>
      </w:r>
      <w:r>
        <w:rPr>
          <w:bCs/>
          <w:i/>
        </w:rPr>
      </w:r>
    </w:p>
    <w:p>
      <w:pPr>
        <w:ind w:firstLine="708"/>
        <w:jc w:val="both"/>
        <w:spacing w:after="0"/>
        <w:rPr>
          <w:rFonts w:ascii="Times New Roman" w:hAnsi="Times New Roman"/>
          <w:sz w:val="28"/>
          <w:szCs w:val="28"/>
        </w:rPr>
      </w:pPr>
      <w:r>
        <w:rPr>
          <w:rFonts w:ascii="Times New Roman" w:hAnsi="Times New Roman"/>
          <w:i/>
          <w:iCs/>
          <w:sz w:val="28"/>
          <w:szCs w:val="28"/>
        </w:rPr>
        <w:t xml:space="preserve">Повторное в течение года совершение административного правонарушения, предусмотренного ст. 6.1.1 </w:t>
      </w:r>
      <w:r>
        <w:rPr>
          <w:rFonts w:ascii="Times New Roman" w:hAnsi="Times New Roman"/>
          <w:i/>
          <w:iCs/>
          <w:sz w:val="28"/>
          <w:szCs w:val="28"/>
        </w:rPr>
        <w:t xml:space="preserve">КоАП</w:t>
      </w:r>
      <w:r>
        <w:rPr>
          <w:rFonts w:ascii="Times New Roman" w:hAnsi="Times New Roman"/>
          <w:i/>
          <w:iCs/>
          <w:sz w:val="28"/>
          <w:szCs w:val="28"/>
        </w:rPr>
        <w:t xml:space="preserve"> РФ, образует состав преступления, предусмотренного ст. 116.1 УК РФ.</w:t>
      </w:r>
      <w:r>
        <w:rPr>
          <w:rFonts w:ascii="Times New Roman" w:hAnsi="Times New Roman"/>
          <w:sz w:val="28"/>
          <w:szCs w:val="28"/>
        </w:rPr>
      </w:r>
      <w:r>
        <w:rPr>
          <w:rFonts w:ascii="Times New Roman" w:hAnsi="Times New Roman"/>
          <w:sz w:val="28"/>
          <w:szCs w:val="28"/>
        </w:rPr>
      </w:r>
    </w:p>
    <w:p>
      <w:pPr>
        <w:ind w:firstLine="708"/>
        <w:jc w:val="both"/>
        <w:spacing w:after="0"/>
        <w:rPr>
          <w:rFonts w:ascii="Times New Roman" w:hAnsi="Times New Roman"/>
          <w:sz w:val="28"/>
          <w:szCs w:val="28"/>
        </w:rPr>
      </w:pPr>
      <w:r>
        <w:rPr>
          <w:rFonts w:ascii="Times New Roman" w:hAnsi="Times New Roman" w:eastAsia="Times New Roman"/>
          <w:i/>
          <w:iCs/>
          <w:sz w:val="28"/>
          <w:szCs w:val="28"/>
        </w:rPr>
        <w:t xml:space="preserve">3) Уполномоченному поступило необычное обращение. Заявитель, проживающий в другом регионе, обнаружила, что ее основной документ, удостоверяющий лично</w:t>
      </w:r>
      <w:r>
        <w:rPr>
          <w:rFonts w:ascii="Times New Roman" w:hAnsi="Times New Roman" w:eastAsia="Times New Roman"/>
          <w:i/>
          <w:iCs/>
          <w:sz w:val="28"/>
          <w:szCs w:val="28"/>
        </w:rPr>
        <w:t xml:space="preserve">сть - паспорт гражданина Российской Федерации, внезапно оказался недействительным в информационных системах. Это создавало серьезные препятствия в повседневной жизни: от проблем с банковскими операциями до сложностей при обращении в государственные органы.</w:t>
      </w:r>
      <w:r>
        <w:rPr>
          <w:rFonts w:ascii="Times New Roman" w:hAnsi="Times New Roman"/>
          <w:sz w:val="28"/>
          <w:szCs w:val="28"/>
        </w:rPr>
      </w:r>
      <w:r>
        <w:rPr>
          <w:rFonts w:ascii="Times New Roman" w:hAnsi="Times New Roman"/>
          <w:sz w:val="28"/>
          <w:szCs w:val="28"/>
        </w:rPr>
      </w:r>
    </w:p>
    <w:p>
      <w:pPr>
        <w:ind w:firstLine="708"/>
        <w:jc w:val="both"/>
        <w:spacing w:after="0"/>
        <w:rPr>
          <w:rFonts w:ascii="Times New Roman" w:hAnsi="Times New Roman"/>
          <w:sz w:val="28"/>
          <w:szCs w:val="28"/>
        </w:rPr>
      </w:pPr>
      <w:r>
        <w:rPr>
          <w:rFonts w:ascii="Times New Roman" w:hAnsi="Times New Roman" w:eastAsia="Times New Roman"/>
          <w:i/>
          <w:iCs/>
          <w:sz w:val="28"/>
          <w:szCs w:val="28"/>
        </w:rPr>
        <w:t xml:space="preserve">Заявитель, законно получивший паспорт в Ивановской области и не совершавший дейс</w:t>
      </w:r>
      <w:r>
        <w:rPr>
          <w:rFonts w:ascii="Times New Roman" w:hAnsi="Times New Roman" w:eastAsia="Times New Roman"/>
          <w:i/>
          <w:iCs/>
          <w:sz w:val="28"/>
          <w:szCs w:val="28"/>
        </w:rPr>
        <w:t xml:space="preserve">твий для его аннулирования, оказался в правовом вакууме. Не понимая причин произошедшего и не сумев самостоятельно оперативно разрешить ситуацию через стандартные процедуры, гражданин обратился за помощью к региональному Уполномоченному по правам человека.</w:t>
      </w:r>
      <w:r>
        <w:rPr>
          <w:rFonts w:ascii="Times New Roman" w:hAnsi="Times New Roman"/>
          <w:sz w:val="28"/>
          <w:szCs w:val="28"/>
        </w:rPr>
      </w:r>
      <w:r>
        <w:rPr>
          <w:rFonts w:ascii="Times New Roman" w:hAnsi="Times New Roman"/>
          <w:sz w:val="28"/>
          <w:szCs w:val="28"/>
        </w:rPr>
      </w:r>
    </w:p>
    <w:p>
      <w:pPr>
        <w:ind w:firstLine="708"/>
        <w:jc w:val="both"/>
        <w:spacing w:after="0"/>
        <w:rPr>
          <w:rFonts w:ascii="Times New Roman" w:hAnsi="Times New Roman"/>
          <w:sz w:val="28"/>
          <w:szCs w:val="28"/>
        </w:rPr>
      </w:pPr>
      <w:r>
        <w:rPr>
          <w:rFonts w:ascii="Times New Roman" w:hAnsi="Times New Roman" w:eastAsia="Times New Roman"/>
          <w:i/>
          <w:iCs/>
          <w:sz w:val="28"/>
          <w:szCs w:val="28"/>
        </w:rPr>
        <w:t xml:space="preserve">Реакция</w:t>
      </w:r>
      <w:r>
        <w:rPr>
          <w:rFonts w:ascii="Times New Roman" w:hAnsi="Times New Roman" w:eastAsia="Times New Roman"/>
          <w:i/>
          <w:iCs/>
          <w:sz w:val="28"/>
          <w:szCs w:val="28"/>
        </w:rPr>
        <w:t xml:space="preserve"> была незамедлительной. Рассмотрев обращение и признав его обоснованным, региональный омбудсмен Светлана Шмелева направила соответствующий запрос в Управление по вопросам миграции УМВД России по Ивановской области для выяснения причин технической ошибки и </w:t>
      </w:r>
      <w:r>
        <w:rPr>
          <w:rFonts w:ascii="Times New Roman" w:hAnsi="Times New Roman" w:eastAsia="Times New Roman"/>
          <w:i/>
          <w:iCs/>
          <w:sz w:val="28"/>
          <w:szCs w:val="28"/>
        </w:rPr>
        <w:t xml:space="preserve">восстановления</w:t>
      </w:r>
      <w:r>
        <w:rPr>
          <w:rFonts w:ascii="Times New Roman" w:hAnsi="Times New Roman" w:eastAsia="Times New Roman"/>
          <w:i/>
          <w:iCs/>
          <w:sz w:val="28"/>
          <w:szCs w:val="28"/>
        </w:rPr>
        <w:t xml:space="preserve"> законных прав гражданина.</w:t>
      </w:r>
      <w:r>
        <w:rPr>
          <w:rFonts w:ascii="Times New Roman" w:hAnsi="Times New Roman"/>
          <w:sz w:val="28"/>
          <w:szCs w:val="28"/>
        </w:rPr>
      </w:r>
      <w:r>
        <w:rPr>
          <w:rFonts w:ascii="Times New Roman" w:hAnsi="Times New Roman"/>
          <w:sz w:val="28"/>
          <w:szCs w:val="28"/>
        </w:rPr>
      </w:r>
    </w:p>
    <w:p>
      <w:pPr>
        <w:ind w:firstLine="708"/>
        <w:jc w:val="both"/>
        <w:spacing w:after="0"/>
        <w:rPr>
          <w:rFonts w:ascii="Times New Roman" w:hAnsi="Times New Roman"/>
          <w:sz w:val="28"/>
          <w:szCs w:val="28"/>
        </w:rPr>
      </w:pPr>
      <w:r>
        <w:rPr>
          <w:rFonts w:ascii="Times New Roman" w:hAnsi="Times New Roman" w:eastAsia="Times New Roman"/>
          <w:i/>
          <w:iCs/>
          <w:sz w:val="28"/>
          <w:szCs w:val="28"/>
        </w:rPr>
        <w:t xml:space="preserve">В кратчайшие сроки из </w:t>
      </w:r>
      <w:r>
        <w:rPr>
          <w:rFonts w:ascii="Times New Roman" w:hAnsi="Times New Roman" w:eastAsia="Times New Roman"/>
          <w:i/>
          <w:iCs/>
          <w:sz w:val="28"/>
          <w:szCs w:val="28"/>
        </w:rPr>
        <w:t xml:space="preserve">регионального</w:t>
      </w:r>
      <w:r>
        <w:rPr>
          <w:rFonts w:ascii="Times New Roman" w:hAnsi="Times New Roman" w:eastAsia="Times New Roman"/>
          <w:i/>
          <w:iCs/>
          <w:sz w:val="28"/>
          <w:szCs w:val="28"/>
        </w:rPr>
        <w:t xml:space="preserve"> УВМ России поступил официальный ответ. Ведомств</w:t>
      </w:r>
      <w:r>
        <w:rPr>
          <w:rFonts w:ascii="Times New Roman" w:hAnsi="Times New Roman" w:eastAsia="Times New Roman"/>
          <w:i/>
          <w:iCs/>
          <w:sz w:val="28"/>
          <w:szCs w:val="28"/>
        </w:rPr>
        <w:t xml:space="preserve">о сообщило, что в сервисе ГИСМУ (Государственная информационная система миграционного учета) произведена корректировка сведений заявителя. Все анкетные данные заявителя полностью восстановлены и имеют действительный статус в информационной базе МВД России.</w:t>
      </w:r>
      <w:r>
        <w:rPr>
          <w:rFonts w:ascii="Times New Roman" w:hAnsi="Times New Roman"/>
          <w:sz w:val="28"/>
          <w:szCs w:val="28"/>
        </w:rPr>
      </w:r>
      <w:r>
        <w:rPr>
          <w:rFonts w:ascii="Times New Roman" w:hAnsi="Times New Roman"/>
          <w:sz w:val="28"/>
          <w:szCs w:val="28"/>
        </w:rPr>
      </w:r>
    </w:p>
    <w:p>
      <w:pPr>
        <w:ind w:firstLine="708"/>
        <w:jc w:val="both"/>
        <w:spacing w:after="0"/>
        <w:rPr>
          <w:rFonts w:ascii="Times New Roman" w:hAnsi="Times New Roman"/>
          <w:sz w:val="28"/>
          <w:szCs w:val="28"/>
        </w:rPr>
      </w:pPr>
      <w:r>
        <w:rPr>
          <w:rFonts w:ascii="Times New Roman" w:hAnsi="Times New Roman" w:eastAsia="Times New Roman"/>
          <w:i/>
          <w:iCs/>
          <w:sz w:val="28"/>
          <w:szCs w:val="28"/>
        </w:rPr>
        <w:t xml:space="preserve">Данная ситуация наглядно показывает, как даже единичная техническая ошибка в масштабной государственной системе может существенно осложнить жизнь законопослушного гражданина. Мы благодарим Управление по вопросам миграции за оперативное и конс</w:t>
      </w:r>
      <w:r>
        <w:rPr>
          <w:rFonts w:ascii="Times New Roman" w:hAnsi="Times New Roman" w:eastAsia="Times New Roman"/>
          <w:i/>
          <w:iCs/>
          <w:sz w:val="28"/>
          <w:szCs w:val="28"/>
        </w:rPr>
        <w:t xml:space="preserve">труктивное взаимодействие. Важно, что механизм обратной связи и межведомственного реагирования сработал четко, и права человека были восстановлены в минимальные сроки.</w:t>
      </w:r>
      <w:r>
        <w:rPr>
          <w:rFonts w:ascii="Times New Roman" w:hAnsi="Times New Roman"/>
          <w:sz w:val="28"/>
          <w:szCs w:val="28"/>
        </w:rPr>
      </w:r>
    </w:p>
    <w:p>
      <w:pPr>
        <w:ind w:firstLine="709"/>
        <w:jc w:val="both"/>
        <w:spacing w:after="0"/>
        <w:rPr>
          <w:color w:val="000000" w:themeColor="text1"/>
        </w:rPr>
      </w:pPr>
      <w:r>
        <w:rPr>
          <w:rFonts w:ascii="Times New Roman" w:hAnsi="Times New Roman"/>
          <w:color w:val="000000" w:themeColor="text1"/>
          <w:sz w:val="28"/>
          <w:szCs w:val="28"/>
        </w:rPr>
        <w:t xml:space="preserve">По информации, поступи</w:t>
      </w:r>
      <w:r>
        <w:rPr>
          <w:rFonts w:ascii="Times New Roman" w:hAnsi="Times New Roman"/>
          <w:color w:val="000000" w:themeColor="text1"/>
          <w:sz w:val="28"/>
          <w:szCs w:val="28"/>
        </w:rPr>
        <w:t xml:space="preserve">вшей из УМВД России по Ивановской области, за 12 месяцев 2025 года было зарегистрировано 11120 (-6,5%) преступлений, в том числе 3386 (-1,2%) – тяжких и особо тяжких, удельный вес которых в общем массиве регистрируемой преступности составил 30,5% (+1,7%). </w:t>
      </w:r>
      <w:r>
        <w:rPr>
          <w:color w:val="000000" w:themeColor="text1"/>
        </w:rPr>
      </w:r>
      <w:r>
        <w:rPr>
          <w:color w:val="000000" w:themeColor="text1"/>
        </w:rPr>
      </w:r>
    </w:p>
    <w:p>
      <w:pPr>
        <w:ind w:firstLine="709"/>
        <w:jc w:val="both"/>
        <w:spacing w:after="0"/>
        <w:rPr>
          <w:color w:val="000000" w:themeColor="text1"/>
        </w:rPr>
      </w:pPr>
      <w:r>
        <w:rPr>
          <w:rFonts w:ascii="Times New Roman" w:hAnsi="Times New Roman"/>
          <w:color w:val="000000" w:themeColor="text1"/>
          <w:sz w:val="28"/>
          <w:szCs w:val="28"/>
        </w:rPr>
        <w:t xml:space="preserve">Уровень преступности на 100 тыс. населения составил 1237,6, в том числе по тяжким и особо тяжким составам – 376,6.</w:t>
      </w:r>
      <w:r>
        <w:rPr>
          <w:color w:val="000000" w:themeColor="text1"/>
        </w:rPr>
      </w:r>
      <w:r>
        <w:rPr>
          <w:color w:val="000000" w:themeColor="text1"/>
        </w:rPr>
      </w:r>
    </w:p>
    <w:p>
      <w:pPr>
        <w:ind w:firstLine="709"/>
        <w:jc w:val="both"/>
        <w:spacing w:after="0"/>
        <w:rPr>
          <w:color w:val="000000" w:themeColor="text1"/>
        </w:rPr>
      </w:pPr>
      <w:r>
        <w:rPr>
          <w:rFonts w:ascii="Times New Roman" w:hAnsi="Times New Roman"/>
          <w:color w:val="000000" w:themeColor="text1"/>
          <w:sz w:val="28"/>
          <w:szCs w:val="28"/>
        </w:rPr>
        <w:t xml:space="preserve">Количество погибших на 100 тыс. населения составило 8,8, получивших тяжкий вред здоровью – 17,6.</w:t>
      </w:r>
      <w:r>
        <w:rPr>
          <w:color w:val="000000" w:themeColor="text1"/>
        </w:rPr>
      </w:r>
      <w:r>
        <w:rPr>
          <w:color w:val="000000" w:themeColor="text1"/>
        </w:rPr>
      </w:r>
    </w:p>
    <w:p>
      <w:pPr>
        <w:ind w:firstLine="709"/>
        <w:jc w:val="both"/>
        <w:spacing w:after="0"/>
        <w:rPr>
          <w:color w:val="000000" w:themeColor="text1"/>
        </w:rPr>
      </w:pPr>
      <w:r>
        <w:rPr>
          <w:rFonts w:ascii="Times New Roman" w:hAnsi="Times New Roman"/>
          <w:color w:val="000000" w:themeColor="text1"/>
          <w:sz w:val="28"/>
          <w:szCs w:val="28"/>
        </w:rPr>
        <w:t xml:space="preserve">В структуре преступности снизилось количество зарегистрированн</w:t>
      </w:r>
      <w:r>
        <w:rPr>
          <w:rFonts w:ascii="Times New Roman" w:hAnsi="Times New Roman"/>
          <w:color w:val="000000" w:themeColor="text1"/>
          <w:sz w:val="28"/>
          <w:szCs w:val="28"/>
        </w:rPr>
        <w:t xml:space="preserve">ых фактов умышленного причинения тяжкого вреда здоровью (-13,5%; 77), грабежей (-38,2%; 123), убийств (-25%; 39), разбойных нападений (-29,4%; 12), краж (-12,7%; 3014), краж автомобилей (-27,3%; 24), краж из квартир (-25%; 135), мошенничеств (-5,6%; 2324).</w:t>
      </w:r>
      <w:r>
        <w:rPr>
          <w:color w:val="000000" w:themeColor="text1"/>
        </w:rPr>
      </w:r>
      <w:r>
        <w:rPr>
          <w:color w:val="000000" w:themeColor="text1"/>
        </w:rPr>
      </w:r>
    </w:p>
    <w:p>
      <w:pPr>
        <w:ind w:firstLine="709"/>
        <w:jc w:val="both"/>
        <w:spacing w:after="0"/>
        <w:rPr>
          <w:color w:val="000000" w:themeColor="text1"/>
        </w:rPr>
      </w:pPr>
      <w:r>
        <w:rPr>
          <w:rFonts w:ascii="Times New Roman" w:hAnsi="Times New Roman"/>
          <w:color w:val="000000" w:themeColor="text1"/>
          <w:sz w:val="28"/>
          <w:szCs w:val="28"/>
        </w:rPr>
        <w:t xml:space="preserve">В то же время отмечается увеличение количества фактов изнасилований (+266,7%; 33).</w:t>
      </w:r>
      <w:r>
        <w:rPr>
          <w:color w:val="000000" w:themeColor="text1"/>
        </w:rPr>
      </w:r>
      <w:r>
        <w:rPr>
          <w:color w:val="000000" w:themeColor="text1"/>
        </w:rPr>
      </w:r>
    </w:p>
    <w:p>
      <w:pPr>
        <w:ind w:firstLine="709"/>
        <w:jc w:val="both"/>
        <w:spacing w:after="0"/>
        <w:rPr>
          <w:color w:val="000000" w:themeColor="text1"/>
        </w:rPr>
      </w:pPr>
      <w:r>
        <w:rPr>
          <w:rFonts w:ascii="Times New Roman" w:hAnsi="Times New Roman"/>
          <w:color w:val="000000" w:themeColor="text1"/>
          <w:sz w:val="28"/>
          <w:szCs w:val="28"/>
        </w:rPr>
        <w:t xml:space="preserve">Отмечено снижение числа прест</w:t>
      </w:r>
      <w:r>
        <w:rPr>
          <w:rFonts w:ascii="Times New Roman" w:hAnsi="Times New Roman"/>
          <w:color w:val="000000" w:themeColor="text1"/>
          <w:sz w:val="28"/>
          <w:szCs w:val="28"/>
        </w:rPr>
        <w:t xml:space="preserve">уплений, совершенных с использованием информационно-коммуникационных технологий (-13,1%; 3781). Размер причиненного ущерба по оконченным и приостановленным уголовным делам указанной категории составил 835 571 тыс. руб., из них возмещено – 21 385 тыс. руб. </w:t>
      </w:r>
      <w:r>
        <w:rPr>
          <w:color w:val="000000" w:themeColor="text1"/>
        </w:rPr>
      </w:r>
      <w:r>
        <w:rPr>
          <w:color w:val="000000" w:themeColor="text1"/>
        </w:rPr>
      </w:r>
    </w:p>
    <w:p>
      <w:pPr>
        <w:ind w:firstLine="709"/>
        <w:jc w:val="both"/>
        <w:spacing w:after="0"/>
        <w:rPr>
          <w:color w:val="000000" w:themeColor="text1"/>
        </w:rPr>
      </w:pPr>
      <w:r>
        <w:rPr>
          <w:rFonts w:ascii="Times New Roman" w:hAnsi="Times New Roman"/>
          <w:color w:val="000000" w:themeColor="text1"/>
          <w:sz w:val="28"/>
          <w:szCs w:val="28"/>
        </w:rPr>
        <w:t xml:space="preserve">Снизилась уличная преступность. В общественных местах совершено 2997 (-4,7%) преступлений (уд</w:t>
      </w:r>
      <w:r>
        <w:rPr>
          <w:rFonts w:ascii="Times New Roman" w:hAnsi="Times New Roman"/>
          <w:color w:val="000000" w:themeColor="text1"/>
          <w:sz w:val="28"/>
          <w:szCs w:val="28"/>
        </w:rPr>
        <w:t xml:space="preserve">.</w:t>
      </w:r>
      <w:r>
        <w:rPr>
          <w:rFonts w:ascii="Times New Roman" w:hAnsi="Times New Roman"/>
          <w:color w:val="000000" w:themeColor="text1"/>
          <w:sz w:val="28"/>
          <w:szCs w:val="28"/>
        </w:rPr>
        <w:t xml:space="preserve"> </w:t>
      </w:r>
      <w:r>
        <w:rPr>
          <w:rFonts w:ascii="Times New Roman" w:hAnsi="Times New Roman"/>
          <w:color w:val="000000" w:themeColor="text1"/>
          <w:sz w:val="28"/>
          <w:szCs w:val="28"/>
        </w:rPr>
        <w:t xml:space="preserve">в</w:t>
      </w:r>
      <w:r>
        <w:rPr>
          <w:rFonts w:ascii="Times New Roman" w:hAnsi="Times New Roman"/>
          <w:color w:val="000000" w:themeColor="text1"/>
          <w:sz w:val="28"/>
          <w:szCs w:val="28"/>
        </w:rPr>
        <w:t xml:space="preserve">ес: 27,0%), в том числе 912 (-16,9%) – на улицах (уд. вес: 8,2%).</w:t>
      </w:r>
      <w:r>
        <w:rPr>
          <w:color w:val="000000" w:themeColor="text1"/>
        </w:rPr>
      </w:r>
      <w:r>
        <w:rPr>
          <w:color w:val="000000" w:themeColor="text1"/>
        </w:rPr>
      </w:r>
    </w:p>
    <w:p>
      <w:pPr>
        <w:ind w:firstLine="709"/>
        <w:jc w:val="both"/>
        <w:spacing w:after="0"/>
        <w:rPr>
          <w:color w:val="000000" w:themeColor="text1"/>
        </w:rPr>
      </w:pPr>
      <w:r>
        <w:rPr>
          <w:rFonts w:ascii="Times New Roman" w:hAnsi="Times New Roman"/>
          <w:color w:val="000000" w:themeColor="text1"/>
          <w:sz w:val="28"/>
          <w:szCs w:val="28"/>
        </w:rPr>
        <w:t xml:space="preserve">В криминологической характеристике преступности отмечается увеличение числа противоправных деяний, с</w:t>
      </w:r>
      <w:r>
        <w:rPr>
          <w:rFonts w:ascii="Times New Roman" w:hAnsi="Times New Roman"/>
          <w:color w:val="000000" w:themeColor="text1"/>
          <w:sz w:val="28"/>
          <w:szCs w:val="28"/>
        </w:rPr>
        <w:t xml:space="preserve">овершенных, в состоянии наркотического опьянения (+31,2%; 21) и уменьшение лицами, находившимися в состоянии алкогольного опьянения (-24,8%; 1271), ранее судимыми (-13,0%; 3665) преступлений совершенных несовершеннолетними или при их участии (-16,6%; 230).</w:t>
      </w:r>
      <w:r>
        <w:rPr>
          <w:color w:val="000000" w:themeColor="text1"/>
        </w:rPr>
      </w:r>
      <w:r>
        <w:rPr>
          <w:color w:val="000000" w:themeColor="text1"/>
        </w:rPr>
      </w:r>
    </w:p>
    <w:p>
      <w:pPr>
        <w:ind w:firstLine="709"/>
        <w:jc w:val="both"/>
        <w:spacing w:after="0"/>
        <w:rPr>
          <w:color w:val="000000" w:themeColor="text1"/>
        </w:rPr>
      </w:pPr>
      <w:r>
        <w:rPr>
          <w:rFonts w:ascii="Times New Roman" w:hAnsi="Times New Roman"/>
          <w:color w:val="000000" w:themeColor="text1"/>
          <w:sz w:val="28"/>
          <w:szCs w:val="28"/>
        </w:rPr>
        <w:t xml:space="preserve">Уменьшилось количество выявленных сотрудниками ОВД фактов незаконного оборота оружия (-6%; 63), количество деяний, совершенных с его использованием осталось на прежнем уровне (</w:t>
      </w:r>
      <w:r>
        <w:rPr>
          <w:rFonts w:ascii="Times New Roman" w:hAnsi="Times New Roman"/>
          <w:color w:val="000000" w:themeColor="text1"/>
          <w:sz w:val="28"/>
          <w:szCs w:val="28"/>
        </w:rPr>
        <w:t xml:space="preserve">стаб</w:t>
      </w:r>
      <w:r>
        <w:rPr>
          <w:rFonts w:ascii="Times New Roman" w:hAnsi="Times New Roman"/>
          <w:color w:val="000000" w:themeColor="text1"/>
          <w:sz w:val="28"/>
          <w:szCs w:val="28"/>
        </w:rPr>
        <w:t xml:space="preserve">.; 12).</w:t>
      </w:r>
      <w:r>
        <w:rPr>
          <w:color w:val="000000" w:themeColor="text1"/>
        </w:rPr>
      </w:r>
      <w:r>
        <w:rPr>
          <w:color w:val="000000" w:themeColor="text1"/>
        </w:rPr>
      </w:r>
    </w:p>
    <w:p>
      <w:pPr>
        <w:ind w:firstLine="709"/>
        <w:jc w:val="both"/>
        <w:spacing w:after="0"/>
        <w:rPr>
          <w:color w:val="000000" w:themeColor="text1"/>
        </w:rPr>
      </w:pPr>
      <w:r>
        <w:rPr>
          <w:rFonts w:ascii="Times New Roman" w:hAnsi="Times New Roman"/>
          <w:color w:val="000000" w:themeColor="text1"/>
          <w:sz w:val="28"/>
          <w:szCs w:val="28"/>
        </w:rPr>
        <w:t xml:space="preserve">В отчетном периоде правоохранительными органами окончены уголовные дела о 5950 преступлениях (-7,8%), в том числе 1570 (-5,9%) тяжких и особо тяжких. Приостановлено 4511 (-7,7%), из них тяжких и особо тяжких – 1416 (-10,2%).</w:t>
      </w:r>
      <w:r>
        <w:rPr>
          <w:color w:val="000000" w:themeColor="text1"/>
        </w:rPr>
      </w:r>
      <w:r>
        <w:rPr>
          <w:color w:val="000000" w:themeColor="text1"/>
        </w:rPr>
      </w:r>
    </w:p>
    <w:p>
      <w:pPr>
        <w:ind w:firstLine="709"/>
        <w:jc w:val="both"/>
        <w:spacing w:after="0"/>
        <w:rPr>
          <w:color w:val="000000" w:themeColor="text1"/>
        </w:rPr>
      </w:pPr>
      <w:r>
        <w:rPr>
          <w:rFonts w:ascii="Times New Roman" w:hAnsi="Times New Roman"/>
          <w:color w:val="000000" w:themeColor="text1"/>
          <w:sz w:val="28"/>
          <w:szCs w:val="28"/>
        </w:rPr>
        <w:t xml:space="preserve">Общая раскрываемость преступлений осталась на прежнем уровне (56,9%), по тяжким и особо тяжким составам – увеличилась на 1,2% (до 52,6%).</w:t>
      </w:r>
      <w:r>
        <w:rPr>
          <w:color w:val="000000" w:themeColor="text1"/>
        </w:rPr>
      </w:r>
      <w:r>
        <w:rPr>
          <w:color w:val="000000" w:themeColor="text1"/>
        </w:rPr>
      </w:r>
    </w:p>
    <w:p>
      <w:pPr>
        <w:ind w:firstLine="709"/>
        <w:jc w:val="both"/>
        <w:spacing w:after="0"/>
        <w:rPr>
          <w:color w:val="000000" w:themeColor="text1"/>
        </w:rPr>
      </w:pPr>
      <w:r>
        <w:rPr>
          <w:rFonts w:ascii="Times New Roman" w:hAnsi="Times New Roman"/>
          <w:color w:val="000000" w:themeColor="text1"/>
          <w:sz w:val="28"/>
          <w:szCs w:val="28"/>
        </w:rPr>
        <w:t xml:space="preserve">Увеличилась раскрываемость тяжких и особо тяжких противоправных деяний (с 51,4% до 52,6%), разбойных нападений (с 81,0% до 100%), краж (с 51,3% </w:t>
      </w:r>
      <w:r>
        <w:rPr>
          <w:rFonts w:ascii="Times New Roman" w:hAnsi="Times New Roman"/>
          <w:color w:val="000000" w:themeColor="text1"/>
          <w:sz w:val="28"/>
          <w:szCs w:val="28"/>
        </w:rPr>
        <w:t xml:space="preserve">до</w:t>
      </w:r>
      <w:r>
        <w:rPr>
          <w:rFonts w:ascii="Times New Roman" w:hAnsi="Times New Roman"/>
          <w:color w:val="000000" w:themeColor="text1"/>
          <w:sz w:val="28"/>
          <w:szCs w:val="28"/>
        </w:rPr>
        <w:t xml:space="preserve"> 53,6%). Уменьшилась раскрываемость, краж из квартир (с 63,4% до 51,6%), грабежей (с 93,8% до 89,6%). </w:t>
      </w:r>
      <w:r>
        <w:rPr>
          <w:color w:val="000000" w:themeColor="text1"/>
        </w:rPr>
      </w:r>
      <w:r>
        <w:rPr>
          <w:color w:val="000000" w:themeColor="text1"/>
        </w:rPr>
      </w:r>
    </w:p>
    <w:p>
      <w:pPr>
        <w:ind w:firstLine="709"/>
        <w:jc w:val="both"/>
        <w:spacing w:after="0"/>
        <w:rPr>
          <w:color w:val="000000" w:themeColor="text1"/>
        </w:rPr>
      </w:pPr>
      <w:r>
        <w:rPr>
          <w:rFonts w:ascii="Times New Roman" w:hAnsi="Times New Roman"/>
          <w:color w:val="000000" w:themeColor="text1"/>
          <w:sz w:val="28"/>
          <w:szCs w:val="28"/>
        </w:rPr>
        <w:t xml:space="preserve">Раскрыты все факты убийств (</w:t>
      </w:r>
      <w:r>
        <w:rPr>
          <w:rFonts w:ascii="Times New Roman" w:hAnsi="Times New Roman"/>
          <w:color w:val="000000" w:themeColor="text1"/>
          <w:sz w:val="28"/>
          <w:szCs w:val="28"/>
        </w:rPr>
        <w:t xml:space="preserve">стаб</w:t>
      </w:r>
      <w:r>
        <w:rPr>
          <w:rFonts w:ascii="Times New Roman" w:hAnsi="Times New Roman"/>
          <w:color w:val="000000" w:themeColor="text1"/>
          <w:sz w:val="28"/>
          <w:szCs w:val="28"/>
        </w:rPr>
        <w:t xml:space="preserve">.), изнасилований (</w:t>
      </w:r>
      <w:r>
        <w:rPr>
          <w:rFonts w:ascii="Times New Roman" w:hAnsi="Times New Roman"/>
          <w:color w:val="000000" w:themeColor="text1"/>
          <w:sz w:val="28"/>
          <w:szCs w:val="28"/>
        </w:rPr>
        <w:t xml:space="preserve">стаб</w:t>
      </w:r>
      <w:r>
        <w:rPr>
          <w:rFonts w:ascii="Times New Roman" w:hAnsi="Times New Roman"/>
          <w:color w:val="000000" w:themeColor="text1"/>
          <w:sz w:val="28"/>
          <w:szCs w:val="28"/>
        </w:rPr>
        <w:t xml:space="preserve">.), умышленного причинения тяжкого вреда здоровью (</w:t>
      </w:r>
      <w:r>
        <w:rPr>
          <w:rFonts w:ascii="Times New Roman" w:hAnsi="Times New Roman"/>
          <w:color w:val="000000" w:themeColor="text1"/>
          <w:sz w:val="28"/>
          <w:szCs w:val="28"/>
        </w:rPr>
        <w:t xml:space="preserve">стаб</w:t>
      </w:r>
      <w:r>
        <w:rPr>
          <w:rFonts w:ascii="Times New Roman" w:hAnsi="Times New Roman"/>
          <w:color w:val="000000" w:themeColor="text1"/>
          <w:sz w:val="28"/>
          <w:szCs w:val="28"/>
        </w:rPr>
        <w:t xml:space="preserve">.).</w:t>
      </w:r>
      <w:r>
        <w:rPr>
          <w:color w:val="000000" w:themeColor="text1"/>
        </w:rPr>
      </w:r>
      <w:r>
        <w:rPr>
          <w:color w:val="000000" w:themeColor="text1"/>
        </w:rPr>
      </w:r>
    </w:p>
    <w:p>
      <w:pPr>
        <w:ind w:firstLine="709"/>
        <w:jc w:val="both"/>
        <w:spacing w:after="0"/>
        <w:rPr>
          <w:color w:val="000000" w:themeColor="text1"/>
        </w:rPr>
      </w:pPr>
      <w:r>
        <w:rPr>
          <w:rFonts w:ascii="Times New Roman" w:hAnsi="Times New Roman"/>
          <w:color w:val="000000" w:themeColor="text1"/>
          <w:sz w:val="28"/>
          <w:szCs w:val="28"/>
        </w:rPr>
        <w:t xml:space="preserve">Правоохранительными органами раскрыто 195 (-48,3%) преступлений прошлых лет.</w:t>
      </w:r>
      <w:r>
        <w:rPr>
          <w:color w:val="000000" w:themeColor="text1"/>
        </w:rPr>
      </w:r>
      <w:r>
        <w:rPr>
          <w:color w:val="000000" w:themeColor="text1"/>
        </w:rPr>
      </w:r>
    </w:p>
    <w:p>
      <w:pPr>
        <w:ind w:firstLine="709"/>
        <w:jc w:val="both"/>
        <w:spacing w:after="0"/>
        <w:rPr>
          <w:color w:val="000000" w:themeColor="text1"/>
        </w:rPr>
      </w:pPr>
      <w:r>
        <w:rPr>
          <w:rFonts w:ascii="Times New Roman" w:hAnsi="Times New Roman"/>
          <w:color w:val="000000" w:themeColor="text1"/>
          <w:sz w:val="28"/>
          <w:szCs w:val="28"/>
        </w:rPr>
        <w:t xml:space="preserve">Количество уголовных дел, находившихся в производстве следственных подразделений - 6236 (АППГ - 7665), в производстве территориальных подразделений дознания – 6897 (АППГ – 6977).</w:t>
      </w:r>
      <w:r>
        <w:rPr>
          <w:color w:val="000000" w:themeColor="text1"/>
        </w:rPr>
      </w:r>
      <w:r>
        <w:rPr>
          <w:color w:val="000000" w:themeColor="text1"/>
        </w:rPr>
      </w:r>
    </w:p>
    <w:p>
      <w:pPr>
        <w:ind w:firstLine="709"/>
        <w:jc w:val="both"/>
        <w:spacing w:after="0"/>
        <w:rPr>
          <w:color w:val="000000" w:themeColor="text1"/>
        </w:rPr>
      </w:pPr>
      <w:r>
        <w:rPr>
          <w:rFonts w:ascii="Times New Roman" w:hAnsi="Times New Roman"/>
          <w:color w:val="000000" w:themeColor="text1"/>
          <w:sz w:val="28"/>
          <w:szCs w:val="28"/>
        </w:rPr>
        <w:t xml:space="preserve">Количество уголовных дел, оконченных производством подразделениями следствия - 1124 (АППГ - 1320), из них направленных в суд – 1034 (АППГ - 1188).</w:t>
      </w:r>
      <w:r>
        <w:rPr>
          <w:color w:val="000000" w:themeColor="text1"/>
        </w:rPr>
      </w:r>
      <w:r>
        <w:rPr>
          <w:color w:val="000000" w:themeColor="text1"/>
        </w:rPr>
      </w:r>
    </w:p>
    <w:p>
      <w:pPr>
        <w:ind w:firstLine="709"/>
        <w:jc w:val="both"/>
        <w:spacing w:after="0"/>
        <w:rPr>
          <w:color w:val="000000" w:themeColor="text1"/>
        </w:rPr>
      </w:pPr>
      <w:r>
        <w:rPr>
          <w:rFonts w:ascii="Times New Roman" w:hAnsi="Times New Roman"/>
          <w:color w:val="000000" w:themeColor="text1"/>
          <w:sz w:val="28"/>
          <w:szCs w:val="28"/>
        </w:rPr>
        <w:t xml:space="preserve">Количество уголовных дел, оконченных производством территориальными подразделениями дознания – 1648 (АППГ – 1969), из них направленных в суд – 1404 (АППГ – 1 737).</w:t>
      </w:r>
      <w:r>
        <w:rPr>
          <w:color w:val="000000" w:themeColor="text1"/>
        </w:rPr>
      </w:r>
      <w:r>
        <w:rPr>
          <w:color w:val="000000" w:themeColor="text1"/>
        </w:rPr>
      </w:r>
    </w:p>
    <w:p>
      <w:pPr>
        <w:ind w:firstLine="709"/>
        <w:jc w:val="both"/>
        <w:spacing w:after="0"/>
        <w:rPr>
          <w:color w:val="000000" w:themeColor="text1"/>
        </w:rPr>
      </w:pPr>
      <w:r>
        <w:rPr>
          <w:rFonts w:ascii="Times New Roman" w:hAnsi="Times New Roman"/>
          <w:color w:val="000000" w:themeColor="text1"/>
          <w:sz w:val="28"/>
          <w:szCs w:val="28"/>
        </w:rPr>
        <w:t xml:space="preserve">Количество уголовных дел, оконченных подразделениями </w:t>
      </w:r>
      <w:r>
        <w:rPr>
          <w:rFonts w:ascii="Times New Roman" w:hAnsi="Times New Roman"/>
          <w:color w:val="000000" w:themeColor="text1"/>
          <w:sz w:val="28"/>
          <w:szCs w:val="28"/>
        </w:rPr>
        <w:t xml:space="preserve">следствия</w:t>
      </w:r>
      <w:r>
        <w:rPr>
          <w:rFonts w:ascii="Times New Roman" w:hAnsi="Times New Roman"/>
          <w:color w:val="000000" w:themeColor="text1"/>
          <w:sz w:val="28"/>
          <w:szCs w:val="28"/>
        </w:rPr>
        <w:t xml:space="preserve"> в сроки свыше установленных уголовно-процессуальным законодательством – 326 (АППГ - 413), территориальными подразделениями дознания – 565 (АППГ – 594).</w:t>
      </w:r>
      <w:r>
        <w:rPr>
          <w:color w:val="000000" w:themeColor="text1"/>
        </w:rPr>
      </w:r>
      <w:r>
        <w:rPr>
          <w:color w:val="000000" w:themeColor="text1"/>
        </w:rPr>
      </w:r>
    </w:p>
    <w:p>
      <w:pPr>
        <w:ind w:firstLine="709"/>
        <w:jc w:val="both"/>
        <w:spacing w:after="0"/>
        <w:rPr>
          <w:color w:val="000000" w:themeColor="text1"/>
        </w:rPr>
      </w:pPr>
      <w:r>
        <w:rPr>
          <w:rFonts w:ascii="Times New Roman" w:hAnsi="Times New Roman"/>
          <w:color w:val="000000" w:themeColor="text1"/>
          <w:sz w:val="28"/>
          <w:szCs w:val="28"/>
        </w:rPr>
        <w:t xml:space="preserve">Количество лиц, незаконно привлеченных к уголовной ответственности подразделениями следствия – 2 (АППГ - 2), территориальными подразделениями дознания – 1 (АППГ – 3).</w:t>
      </w:r>
      <w:r>
        <w:rPr>
          <w:color w:val="000000" w:themeColor="text1"/>
        </w:rPr>
      </w:r>
      <w:r>
        <w:rPr>
          <w:color w:val="000000" w:themeColor="text1"/>
        </w:rPr>
      </w:r>
    </w:p>
    <w:p>
      <w:pPr>
        <w:ind w:firstLine="709"/>
        <w:jc w:val="both"/>
        <w:spacing w:after="0"/>
        <w:rPr>
          <w:color w:val="000000" w:themeColor="text1"/>
        </w:rPr>
      </w:pPr>
      <w:r>
        <w:rPr>
          <w:rFonts w:ascii="Times New Roman" w:hAnsi="Times New Roman"/>
          <w:color w:val="000000" w:themeColor="text1"/>
          <w:sz w:val="28"/>
          <w:szCs w:val="28"/>
        </w:rPr>
        <w:t xml:space="preserve">Количество представлений, внесенных органами прокуратуры о нарушении разумных сроков досудебного производства и права на защиту в подразделениях следствия – 307, подразделениях дознания – 115.</w:t>
      </w:r>
      <w:r>
        <w:rPr>
          <w:color w:val="000000" w:themeColor="text1"/>
        </w:rPr>
      </w:r>
      <w:r>
        <w:rPr>
          <w:color w:val="000000" w:themeColor="text1"/>
        </w:rPr>
      </w:r>
    </w:p>
    <w:p>
      <w:pPr>
        <w:ind w:firstLine="709"/>
        <w:jc w:val="both"/>
        <w:spacing w:after="0"/>
        <w:rPr>
          <w:color w:val="000000" w:themeColor="text1"/>
        </w:rPr>
      </w:pPr>
      <w:r>
        <w:rPr>
          <w:rFonts w:ascii="Times New Roman" w:hAnsi="Times New Roman"/>
          <w:color w:val="000000" w:themeColor="text1"/>
          <w:sz w:val="28"/>
          <w:szCs w:val="28"/>
        </w:rPr>
        <w:t xml:space="preserve">За 12 месяцев 2025 года на территории Ивановской области зарегистрировано 973 преступления в сфере незаконного оборота наркотиков (АППГ – 1016; -4,2%), из которых 934 (или 96,0%) выявлены сотрудниками ОВД (АППГ – 979; -4,6%).</w:t>
      </w:r>
      <w:r>
        <w:rPr>
          <w:color w:val="000000" w:themeColor="text1"/>
        </w:rPr>
      </w:r>
      <w:r>
        <w:rPr>
          <w:color w:val="000000" w:themeColor="text1"/>
        </w:rPr>
      </w:r>
    </w:p>
    <w:p>
      <w:pPr>
        <w:ind w:firstLine="709"/>
        <w:jc w:val="both"/>
        <w:spacing w:after="0"/>
        <w:rPr>
          <w:color w:val="000000" w:themeColor="text1"/>
        </w:rPr>
      </w:pPr>
      <w:r>
        <w:rPr>
          <w:rFonts w:ascii="Times New Roman" w:hAnsi="Times New Roman"/>
          <w:color w:val="000000" w:themeColor="text1"/>
          <w:sz w:val="28"/>
          <w:szCs w:val="28"/>
        </w:rPr>
        <w:t xml:space="preserve">По ст. 228 УК РФ зарегистрировано 144 преступления, связанных с незаконным приобретением, хранением наркотических средств, </w:t>
      </w:r>
      <w:r>
        <w:rPr>
          <w:rFonts w:ascii="Times New Roman" w:hAnsi="Times New Roman"/>
          <w:color w:val="000000" w:themeColor="text1"/>
          <w:sz w:val="28"/>
          <w:szCs w:val="28"/>
        </w:rPr>
        <w:t xml:space="preserve">психотропных веществ или их аналогов (АППГ – 178; -19,1%), по ст. 228.1, 234 УК РФ зарегистрировано 821 преступление, связанное с незаконным сбытом и пересылкой наркотических средств (АППГ – 821), по ст. 231 УК РФ зарегистрировано 5 преступлений (АППГ – 2;</w:t>
      </w:r>
      <w:r>
        <w:rPr>
          <w:rFonts w:ascii="Times New Roman" w:hAnsi="Times New Roman"/>
          <w:color w:val="000000" w:themeColor="text1"/>
          <w:sz w:val="28"/>
          <w:szCs w:val="28"/>
        </w:rPr>
        <w:t xml:space="preserve"> +150,0%), по ст. 232 УК РФ зарегистрировано 1 преступление (АППГ – 1), по ст. 174, 174.1 УК РФ зарегистрировано 2 преступления (АППГ – 4; -50,0%).</w:t>
      </w:r>
      <w:r>
        <w:rPr>
          <w:color w:val="000000" w:themeColor="text1"/>
        </w:rPr>
      </w:r>
      <w:r>
        <w:rPr>
          <w:color w:val="000000" w:themeColor="text1"/>
        </w:rPr>
      </w:r>
    </w:p>
    <w:p>
      <w:pPr>
        <w:ind w:firstLine="709"/>
        <w:jc w:val="both"/>
        <w:spacing w:after="0"/>
        <w:rPr>
          <w:color w:val="000000" w:themeColor="text1"/>
        </w:rPr>
      </w:pPr>
      <w:r>
        <w:rPr>
          <w:rFonts w:ascii="Times New Roman" w:hAnsi="Times New Roman"/>
          <w:color w:val="000000" w:themeColor="text1"/>
          <w:sz w:val="28"/>
          <w:szCs w:val="28"/>
        </w:rPr>
        <w:t xml:space="preserve">Окончено предварительным расследованием 610 </w:t>
      </w:r>
      <w:r>
        <w:rPr>
          <w:rFonts w:ascii="Times New Roman" w:hAnsi="Times New Roman"/>
          <w:color w:val="000000" w:themeColor="text1"/>
          <w:sz w:val="28"/>
          <w:szCs w:val="28"/>
        </w:rPr>
        <w:t xml:space="preserve">наркопреступлений</w:t>
      </w:r>
      <w:r>
        <w:rPr>
          <w:rFonts w:ascii="Times New Roman" w:hAnsi="Times New Roman"/>
          <w:color w:val="000000" w:themeColor="text1"/>
          <w:sz w:val="28"/>
          <w:szCs w:val="28"/>
        </w:rPr>
        <w:t xml:space="preserve"> (АППГ – 789; -22,7%</w:t>
      </w:r>
      <w:r>
        <w:rPr>
          <w:rFonts w:ascii="Times New Roman" w:hAnsi="Times New Roman"/>
          <w:color w:val="000000" w:themeColor="text1"/>
          <w:sz w:val="28"/>
          <w:szCs w:val="28"/>
        </w:rPr>
        <w:t xml:space="preserve">), из них 131 преступление по ст. 228 УК РФ (АППГ – 168; -22,0%), 473 преступления по ст. 228.1, 234 УК РФ (АППГ – 607; -22,1%), 3 преступления по ст. 231 УК РФ (АППГ – 1; +200,0%), 1 преступление по ст. 232 УК РФ (АППГ – 2; -50,0%), 2 преступления по ст. </w:t>
      </w:r>
      <w:r>
        <w:rPr>
          <w:rFonts w:ascii="Times New Roman" w:hAnsi="Times New Roman"/>
          <w:color w:val="000000" w:themeColor="text1"/>
          <w:sz w:val="28"/>
          <w:szCs w:val="28"/>
        </w:rPr>
        <w:t xml:space="preserve">174, 174.1 УК РФ (АППГ – 2), дознанием – 45 (АППГ – 94; -52,1%), следствием – 517 (АППГ – 538; -3,9%).</w:t>
      </w:r>
      <w:r>
        <w:rPr>
          <w:color w:val="000000" w:themeColor="text1"/>
        </w:rPr>
      </w:r>
      <w:r>
        <w:rPr>
          <w:color w:val="000000" w:themeColor="text1"/>
        </w:rPr>
      </w:r>
    </w:p>
    <w:p>
      <w:pPr>
        <w:ind w:firstLine="709"/>
        <w:jc w:val="both"/>
        <w:spacing w:after="0"/>
        <w:rPr>
          <w:color w:val="000000" w:themeColor="text1"/>
        </w:rPr>
      </w:pPr>
      <w:r>
        <w:rPr>
          <w:rFonts w:ascii="Times New Roman" w:hAnsi="Times New Roman"/>
          <w:color w:val="000000" w:themeColor="text1"/>
          <w:sz w:val="28"/>
          <w:szCs w:val="28"/>
        </w:rPr>
        <w:t xml:space="preserve">Сотрудниками УМВД выявлено 612 административных правонарушений, совершенных в сфере незаконного оборота наркотиков (АППГ – 620; -1,3%). На долю подразделений </w:t>
      </w:r>
      <w:r>
        <w:rPr>
          <w:rFonts w:ascii="Times New Roman" w:hAnsi="Times New Roman"/>
          <w:color w:val="000000" w:themeColor="text1"/>
          <w:sz w:val="28"/>
          <w:szCs w:val="28"/>
        </w:rPr>
        <w:t xml:space="preserve">наркоконтроля</w:t>
      </w:r>
      <w:r>
        <w:rPr>
          <w:rFonts w:ascii="Times New Roman" w:hAnsi="Times New Roman"/>
          <w:color w:val="000000" w:themeColor="text1"/>
          <w:sz w:val="28"/>
          <w:szCs w:val="28"/>
        </w:rPr>
        <w:t xml:space="preserve"> УМВД приходится 59,6% или 365 (АППГ – 414; -12,4%) административных правонарушений рассматриваемой категории.</w:t>
      </w:r>
      <w:r>
        <w:rPr>
          <w:color w:val="000000" w:themeColor="text1"/>
        </w:rPr>
      </w:r>
      <w:r>
        <w:rPr>
          <w:color w:val="000000" w:themeColor="text1"/>
        </w:rPr>
      </w:r>
    </w:p>
    <w:p>
      <w:pPr>
        <w:ind w:firstLine="709"/>
        <w:jc w:val="both"/>
        <w:spacing w:after="0"/>
        <w:rPr>
          <w:color w:val="000000" w:themeColor="text1"/>
        </w:rPr>
      </w:pPr>
      <w:r>
        <w:rPr>
          <w:rFonts w:ascii="Times New Roman" w:hAnsi="Times New Roman"/>
          <w:color w:val="000000" w:themeColor="text1"/>
          <w:sz w:val="28"/>
          <w:szCs w:val="28"/>
        </w:rPr>
        <w:t xml:space="preserve">В рамках деятельности по противодействию </w:t>
      </w:r>
      <w:r>
        <w:rPr>
          <w:rFonts w:ascii="Times New Roman" w:hAnsi="Times New Roman"/>
          <w:color w:val="000000" w:themeColor="text1"/>
          <w:sz w:val="28"/>
          <w:szCs w:val="28"/>
        </w:rPr>
        <w:t xml:space="preserve">наркопреступлениям</w:t>
      </w:r>
      <w:r>
        <w:rPr>
          <w:rFonts w:ascii="Times New Roman" w:hAnsi="Times New Roman"/>
          <w:color w:val="000000" w:themeColor="text1"/>
          <w:sz w:val="28"/>
          <w:szCs w:val="28"/>
        </w:rPr>
        <w:t xml:space="preserve">, совершаемых с использованием информационно-телекоммуникационных технологий УМВД через </w:t>
      </w:r>
      <w:r>
        <w:rPr>
          <w:rFonts w:ascii="Times New Roman" w:hAnsi="Times New Roman"/>
          <w:color w:val="000000" w:themeColor="text1"/>
          <w:sz w:val="28"/>
          <w:szCs w:val="28"/>
        </w:rPr>
        <w:t xml:space="preserve">Роскомнадзор</w:t>
      </w:r>
      <w:r>
        <w:rPr>
          <w:rFonts w:ascii="Times New Roman" w:hAnsi="Times New Roman"/>
          <w:color w:val="000000" w:themeColor="text1"/>
          <w:sz w:val="28"/>
          <w:szCs w:val="28"/>
        </w:rPr>
        <w:t xml:space="preserve"> направлено 118 заявок на блокировку страниц Интернет-сайтов. По 95 заявкам </w:t>
      </w:r>
      <w:r>
        <w:rPr>
          <w:rFonts w:ascii="Times New Roman" w:hAnsi="Times New Roman"/>
          <w:color w:val="000000" w:themeColor="text1"/>
          <w:sz w:val="28"/>
          <w:szCs w:val="28"/>
        </w:rPr>
        <w:t xml:space="preserve">Роскомнадзор</w:t>
      </w:r>
      <w:r>
        <w:rPr>
          <w:rFonts w:ascii="Times New Roman" w:hAnsi="Times New Roman"/>
          <w:color w:val="000000" w:themeColor="text1"/>
          <w:sz w:val="28"/>
          <w:szCs w:val="28"/>
        </w:rPr>
        <w:t xml:space="preserve"> подтвердил наличие </w:t>
      </w:r>
      <w:r>
        <w:rPr>
          <w:rFonts w:ascii="Times New Roman" w:hAnsi="Times New Roman"/>
          <w:color w:val="000000" w:themeColor="text1"/>
          <w:sz w:val="28"/>
          <w:szCs w:val="28"/>
        </w:rPr>
        <w:t xml:space="preserve">противоправного</w:t>
      </w:r>
      <w:r>
        <w:rPr>
          <w:rFonts w:ascii="Times New Roman" w:hAnsi="Times New Roman"/>
          <w:color w:val="000000" w:themeColor="text1"/>
          <w:sz w:val="28"/>
          <w:szCs w:val="28"/>
        </w:rPr>
        <w:t xml:space="preserve"> </w:t>
      </w:r>
      <w:r>
        <w:rPr>
          <w:rFonts w:ascii="Times New Roman" w:hAnsi="Times New Roman"/>
          <w:color w:val="000000" w:themeColor="text1"/>
          <w:sz w:val="28"/>
          <w:szCs w:val="28"/>
        </w:rPr>
        <w:t xml:space="preserve">контента</w:t>
      </w:r>
      <w:r>
        <w:rPr>
          <w:rFonts w:ascii="Times New Roman" w:hAnsi="Times New Roman"/>
          <w:color w:val="000000" w:themeColor="text1"/>
          <w:sz w:val="28"/>
          <w:szCs w:val="28"/>
        </w:rPr>
        <w:t xml:space="preserve">, указанные страницы заблокированы. По остальным направленным заявкам сведения в </w:t>
      </w:r>
      <w:r>
        <w:rPr>
          <w:rFonts w:ascii="Times New Roman" w:hAnsi="Times New Roman"/>
          <w:color w:val="000000" w:themeColor="text1"/>
          <w:sz w:val="28"/>
          <w:szCs w:val="28"/>
        </w:rPr>
        <w:t xml:space="preserve">Роскомнадзор</w:t>
      </w:r>
      <w:r>
        <w:rPr>
          <w:rFonts w:ascii="Times New Roman" w:hAnsi="Times New Roman"/>
          <w:color w:val="000000" w:themeColor="text1"/>
          <w:sz w:val="28"/>
          <w:szCs w:val="28"/>
        </w:rPr>
        <w:t xml:space="preserve"> поступали ранее из иных источников.</w:t>
      </w:r>
      <w:r>
        <w:rPr>
          <w:color w:val="000000" w:themeColor="text1"/>
        </w:rPr>
      </w:r>
      <w:r>
        <w:rPr>
          <w:color w:val="000000" w:themeColor="text1"/>
        </w:rPr>
      </w:r>
    </w:p>
    <w:p>
      <w:pPr>
        <w:ind w:firstLine="709"/>
        <w:jc w:val="both"/>
        <w:spacing w:after="0"/>
        <w:rPr>
          <w:color w:val="000000" w:themeColor="text1"/>
        </w:rPr>
      </w:pPr>
      <w:r>
        <w:rPr>
          <w:rFonts w:ascii="Times New Roman" w:hAnsi="Times New Roman"/>
          <w:color w:val="000000" w:themeColor="text1"/>
          <w:sz w:val="28"/>
          <w:szCs w:val="28"/>
        </w:rPr>
        <w:t xml:space="preserve">В 2025 году УМВД осуществлялось взаимодействие с органами местного самоуправления в рамках проведения профилактических рейдовых мероприятий по выявлению и удалению надписей </w:t>
      </w:r>
      <w:r>
        <w:rPr>
          <w:rFonts w:ascii="Times New Roman" w:hAnsi="Times New Roman"/>
          <w:color w:val="000000" w:themeColor="text1"/>
          <w:sz w:val="28"/>
          <w:szCs w:val="28"/>
        </w:rPr>
        <w:t xml:space="preserve">пронаркотического</w:t>
      </w:r>
      <w:r>
        <w:rPr>
          <w:rFonts w:ascii="Times New Roman" w:hAnsi="Times New Roman"/>
          <w:color w:val="000000" w:themeColor="text1"/>
          <w:sz w:val="28"/>
          <w:szCs w:val="28"/>
        </w:rPr>
        <w:t xml:space="preserve"> содержания, нанесенных на объекты городской инфраструктуры.</w:t>
      </w:r>
      <w:r>
        <w:rPr>
          <w:color w:val="000000" w:themeColor="text1"/>
        </w:rPr>
      </w:r>
      <w:r>
        <w:rPr>
          <w:color w:val="000000" w:themeColor="text1"/>
        </w:rPr>
      </w:r>
    </w:p>
    <w:p>
      <w:pPr>
        <w:ind w:firstLine="709"/>
        <w:jc w:val="both"/>
        <w:spacing w:after="0"/>
        <w:rPr>
          <w:color w:val="000000" w:themeColor="text1"/>
        </w:rPr>
      </w:pPr>
      <w:r>
        <w:rPr>
          <w:rFonts w:ascii="Times New Roman" w:hAnsi="Times New Roman"/>
          <w:color w:val="000000" w:themeColor="text1"/>
          <w:sz w:val="28"/>
          <w:szCs w:val="28"/>
        </w:rPr>
        <w:t xml:space="preserve">В рамках дополнительных</w:t>
      </w:r>
      <w:r>
        <w:rPr>
          <w:rFonts w:ascii="Times New Roman" w:hAnsi="Times New Roman"/>
          <w:color w:val="000000" w:themeColor="text1"/>
          <w:sz w:val="28"/>
          <w:szCs w:val="28"/>
        </w:rPr>
        <w:t xml:space="preserve"> мероприятий сотрудниками УМВД во взаимодействии с управлением муниципального контроля Администрации города Иванова и молодежными общественными организациями была организована работа мобильных групп по закрашиванию на территории областного центра надписей </w:t>
      </w:r>
      <w:r>
        <w:rPr>
          <w:rFonts w:ascii="Times New Roman" w:hAnsi="Times New Roman"/>
          <w:color w:val="000000" w:themeColor="text1"/>
          <w:sz w:val="28"/>
          <w:szCs w:val="28"/>
        </w:rPr>
        <w:t xml:space="preserve">пронаркотического</w:t>
      </w:r>
      <w:r>
        <w:rPr>
          <w:rFonts w:ascii="Times New Roman" w:hAnsi="Times New Roman"/>
          <w:color w:val="000000" w:themeColor="text1"/>
          <w:sz w:val="28"/>
          <w:szCs w:val="28"/>
        </w:rPr>
        <w:t xml:space="preserve"> содержания на фасадах многоквартирных домов. </w:t>
      </w:r>
      <w:r>
        <w:rPr>
          <w:color w:val="000000" w:themeColor="text1"/>
        </w:rPr>
      </w:r>
      <w:r>
        <w:rPr>
          <w:color w:val="000000" w:themeColor="text1"/>
        </w:rPr>
      </w:r>
    </w:p>
    <w:p>
      <w:pPr>
        <w:ind w:firstLine="709"/>
        <w:jc w:val="both"/>
        <w:spacing w:after="0"/>
        <w:rPr>
          <w:color w:val="000000" w:themeColor="text1"/>
        </w:rPr>
      </w:pPr>
      <w:r>
        <w:rPr>
          <w:rFonts w:ascii="Times New Roman" w:hAnsi="Times New Roman"/>
          <w:color w:val="000000" w:themeColor="text1"/>
          <w:sz w:val="28"/>
          <w:szCs w:val="28"/>
        </w:rPr>
        <w:t xml:space="preserve">Работа по </w:t>
      </w:r>
      <w:r>
        <w:rPr>
          <w:rFonts w:ascii="Times New Roman" w:hAnsi="Times New Roman"/>
          <w:color w:val="000000" w:themeColor="text1"/>
          <w:sz w:val="28"/>
          <w:szCs w:val="28"/>
        </w:rPr>
        <w:t xml:space="preserve">антинаркотической</w:t>
      </w:r>
      <w:r>
        <w:rPr>
          <w:rFonts w:ascii="Times New Roman" w:hAnsi="Times New Roman"/>
          <w:color w:val="000000" w:themeColor="text1"/>
          <w:sz w:val="28"/>
          <w:szCs w:val="28"/>
        </w:rPr>
        <w:t xml:space="preserve"> профилактике проводилась совместно со</w:t>
      </w:r>
      <w:r>
        <w:rPr>
          <w:rFonts w:ascii="Times New Roman" w:hAnsi="Times New Roman"/>
          <w:color w:val="000000" w:themeColor="text1"/>
          <w:sz w:val="28"/>
          <w:szCs w:val="28"/>
        </w:rPr>
        <w:t xml:space="preserve"> структурными подразделениями социального блока Правительства Ивановской области, органами местного самоуправления, учреждениями сфер молодежной политики, образования, культуры, спорта, общественными объединениями и молодежными волонтерскими организациями.</w:t>
      </w:r>
      <w:r>
        <w:rPr>
          <w:color w:val="000000" w:themeColor="text1"/>
        </w:rPr>
      </w:r>
      <w:r>
        <w:rPr>
          <w:color w:val="000000" w:themeColor="text1"/>
        </w:rPr>
      </w:r>
    </w:p>
    <w:p>
      <w:pPr>
        <w:ind w:firstLine="709"/>
        <w:jc w:val="both"/>
        <w:spacing w:after="0"/>
        <w:rPr>
          <w:color w:val="000000" w:themeColor="text1"/>
        </w:rPr>
      </w:pPr>
      <w:r>
        <w:rPr>
          <w:rFonts w:ascii="Times New Roman" w:hAnsi="Times New Roman"/>
          <w:color w:val="000000" w:themeColor="text1"/>
          <w:sz w:val="28"/>
          <w:szCs w:val="28"/>
        </w:rPr>
        <w:t xml:space="preserve">Профилактические мероприятия реализованы в формах информационно-профилактических б</w:t>
      </w:r>
      <w:r>
        <w:rPr>
          <w:rFonts w:ascii="Times New Roman" w:hAnsi="Times New Roman"/>
          <w:color w:val="000000" w:themeColor="text1"/>
          <w:sz w:val="28"/>
          <w:szCs w:val="28"/>
        </w:rPr>
        <w:t xml:space="preserve">есед, спортивного и культурно-массового досуга, а также интерактивной работы в сети Интернет. В профилактической работе активно использовалась такие формы работы, как проведение «Единых дней профилактики» в образовательных организациях, лекционные занятия </w:t>
      </w:r>
      <w:r>
        <w:rPr>
          <w:rFonts w:ascii="Times New Roman" w:hAnsi="Times New Roman"/>
          <w:color w:val="000000" w:themeColor="text1"/>
          <w:sz w:val="28"/>
          <w:szCs w:val="28"/>
        </w:rPr>
        <w:t xml:space="preserve">антинаркотической</w:t>
      </w:r>
      <w:r>
        <w:rPr>
          <w:rFonts w:ascii="Times New Roman" w:hAnsi="Times New Roman"/>
          <w:color w:val="000000" w:themeColor="text1"/>
          <w:sz w:val="28"/>
          <w:szCs w:val="28"/>
        </w:rPr>
        <w:t xml:space="preserve"> направленности, обучающие семинары для субъектов системы профилактики, индивидуальные профилактические беседы по вопросам ответственности за совершение правонарушений, профилактики наркомании и </w:t>
      </w:r>
      <w:r>
        <w:rPr>
          <w:rFonts w:ascii="Times New Roman" w:hAnsi="Times New Roman"/>
          <w:color w:val="000000" w:themeColor="text1"/>
          <w:sz w:val="28"/>
          <w:szCs w:val="28"/>
        </w:rPr>
        <w:t xml:space="preserve">наркопреступности</w:t>
      </w:r>
      <w:r>
        <w:rPr>
          <w:rFonts w:ascii="Times New Roman" w:hAnsi="Times New Roman"/>
          <w:color w:val="000000" w:themeColor="text1"/>
          <w:sz w:val="28"/>
          <w:szCs w:val="28"/>
        </w:rPr>
        <w:t xml:space="preserve">. В рамках мероприятий их участники информировались об опасности наркотической </w:t>
      </w:r>
      <w:r>
        <w:rPr>
          <w:rFonts w:ascii="Times New Roman" w:hAnsi="Times New Roman"/>
          <w:color w:val="000000" w:themeColor="text1"/>
          <w:sz w:val="28"/>
          <w:szCs w:val="28"/>
        </w:rPr>
        <w:t xml:space="preserve">зависимости, </w:t>
      </w:r>
      <w:r>
        <w:rPr>
          <w:rFonts w:ascii="Times New Roman" w:hAnsi="Times New Roman"/>
          <w:color w:val="000000" w:themeColor="text1"/>
          <w:sz w:val="28"/>
          <w:szCs w:val="28"/>
        </w:rPr>
        <w:t xml:space="preserve">разрушительном</w:t>
      </w:r>
      <w:r>
        <w:rPr>
          <w:rFonts w:ascii="Times New Roman" w:hAnsi="Times New Roman"/>
          <w:color w:val="000000" w:themeColor="text1"/>
          <w:sz w:val="28"/>
          <w:szCs w:val="28"/>
        </w:rPr>
        <w:t xml:space="preserve"> воздействий </w:t>
      </w:r>
      <w:r>
        <w:rPr>
          <w:rFonts w:ascii="Times New Roman" w:hAnsi="Times New Roman"/>
          <w:color w:val="000000" w:themeColor="text1"/>
          <w:sz w:val="28"/>
          <w:szCs w:val="28"/>
        </w:rPr>
        <w:t xml:space="preserve">психоактивных</w:t>
      </w:r>
      <w:r>
        <w:rPr>
          <w:rFonts w:ascii="Times New Roman" w:hAnsi="Times New Roman"/>
          <w:color w:val="000000" w:themeColor="text1"/>
          <w:sz w:val="28"/>
          <w:szCs w:val="28"/>
        </w:rPr>
        <w:t xml:space="preserve"> веществ, уголовной и административной ответственности за незаконный оборот и потребление наркотиков.</w:t>
      </w:r>
      <w:r>
        <w:rPr>
          <w:color w:val="000000" w:themeColor="text1"/>
        </w:rPr>
      </w:r>
      <w:r>
        <w:rPr>
          <w:color w:val="000000" w:themeColor="text1"/>
        </w:rPr>
      </w:r>
    </w:p>
    <w:p>
      <w:pPr>
        <w:ind w:firstLine="709"/>
        <w:jc w:val="both"/>
        <w:spacing w:after="0"/>
        <w:rPr>
          <w:color w:val="000000" w:themeColor="text1"/>
        </w:rPr>
      </w:pPr>
      <w:r>
        <w:rPr>
          <w:rFonts w:ascii="Times New Roman" w:hAnsi="Times New Roman"/>
          <w:color w:val="000000" w:themeColor="text1"/>
          <w:sz w:val="28"/>
          <w:szCs w:val="28"/>
        </w:rPr>
        <w:t xml:space="preserve">В 2025 году проводилась профилактическая работа с военнослужащими (акция «Армия против наркотиков») и призывной молодежью (акция «Призывник»).</w:t>
      </w:r>
      <w:r>
        <w:rPr>
          <w:color w:val="000000" w:themeColor="text1"/>
        </w:rPr>
      </w:r>
      <w:r>
        <w:rPr>
          <w:color w:val="000000" w:themeColor="text1"/>
        </w:rPr>
      </w:r>
    </w:p>
    <w:p>
      <w:pPr>
        <w:ind w:firstLine="709"/>
        <w:jc w:val="both"/>
        <w:spacing w:after="0"/>
        <w:rPr>
          <w:color w:val="000000" w:themeColor="text1"/>
        </w:rPr>
      </w:pPr>
      <w:r>
        <w:rPr>
          <w:rFonts w:ascii="Times New Roman" w:hAnsi="Times New Roman"/>
          <w:color w:val="000000" w:themeColor="text1"/>
          <w:sz w:val="28"/>
          <w:szCs w:val="28"/>
        </w:rPr>
        <w:t xml:space="preserve">В июне 2025 года организовано проведение на территории региона </w:t>
      </w:r>
      <w:r>
        <w:rPr>
          <w:rFonts w:ascii="Times New Roman" w:hAnsi="Times New Roman"/>
          <w:color w:val="000000" w:themeColor="text1"/>
          <w:sz w:val="28"/>
          <w:szCs w:val="28"/>
        </w:rPr>
        <w:t xml:space="preserve">антинаркотической</w:t>
      </w:r>
      <w:r>
        <w:rPr>
          <w:rFonts w:ascii="Times New Roman" w:hAnsi="Times New Roman"/>
          <w:color w:val="000000" w:themeColor="text1"/>
          <w:sz w:val="28"/>
          <w:szCs w:val="28"/>
        </w:rPr>
        <w:t xml:space="preserve"> акции «Время Независимых», приуроченной к Международному дню борьбы с наркоманией и незаконным оборотом наркотиков. </w:t>
      </w:r>
      <w:r>
        <w:rPr>
          <w:color w:val="000000" w:themeColor="text1"/>
        </w:rPr>
      </w:r>
      <w:r>
        <w:rPr>
          <w:color w:val="000000" w:themeColor="text1"/>
        </w:rPr>
      </w:r>
    </w:p>
    <w:p>
      <w:pPr>
        <w:ind w:firstLine="709"/>
        <w:jc w:val="both"/>
        <w:spacing w:after="0"/>
        <w:rPr>
          <w:color w:val="000000" w:themeColor="text1"/>
        </w:rPr>
      </w:pPr>
      <w:r>
        <w:rPr>
          <w:rFonts w:ascii="Times New Roman" w:hAnsi="Times New Roman"/>
          <w:color w:val="000000" w:themeColor="text1"/>
          <w:sz w:val="28"/>
          <w:szCs w:val="28"/>
        </w:rPr>
        <w:t xml:space="preserve">Во взаимодействии с Департаментом здравоохранения Ивановской области и Ивановским областным наркологическим диспансером проведены: </w:t>
      </w:r>
      <w:r>
        <w:rPr>
          <w:rFonts w:ascii="Times New Roman" w:hAnsi="Times New Roman"/>
          <w:color w:val="000000" w:themeColor="text1"/>
          <w:sz w:val="28"/>
          <w:szCs w:val="28"/>
        </w:rPr>
        <w:t xml:space="preserve">антинаркотическая</w:t>
      </w:r>
      <w:r>
        <w:rPr>
          <w:rFonts w:ascii="Times New Roman" w:hAnsi="Times New Roman"/>
          <w:color w:val="000000" w:themeColor="text1"/>
          <w:sz w:val="28"/>
          <w:szCs w:val="28"/>
        </w:rPr>
        <w:t xml:space="preserve"> акция «Сообщи, где торгуют смертью», комплексная оперативно-профилактическая операция «Чистое поколение.</w:t>
      </w:r>
      <w:r>
        <w:rPr>
          <w:rFonts w:ascii="Times New Roman" w:hAnsi="Times New Roman"/>
          <w:color w:val="000000" w:themeColor="text1"/>
          <w:sz w:val="28"/>
          <w:szCs w:val="28"/>
        </w:rPr>
        <w:t xml:space="preserve"> На</w:t>
      </w:r>
      <w:r>
        <w:rPr>
          <w:rFonts w:ascii="Times New Roman" w:hAnsi="Times New Roman"/>
          <w:color w:val="000000" w:themeColor="text1"/>
          <w:sz w:val="28"/>
          <w:szCs w:val="28"/>
        </w:rPr>
        <w:t xml:space="preserve"> межведомственной основе организована межведомственная комплексная оперативно-профилактическая операция «Мак – 2025». Операция организована в целях выявления и уничтожения незаконных посевов и очагов произрастания дикорастущих растений, содержащих наркотич</w:t>
      </w:r>
      <w:r>
        <w:rPr>
          <w:rFonts w:ascii="Times New Roman" w:hAnsi="Times New Roman"/>
          <w:color w:val="000000" w:themeColor="text1"/>
          <w:sz w:val="28"/>
          <w:szCs w:val="28"/>
        </w:rPr>
        <w:t xml:space="preserve">еские средства, перекрытия внутри региональных, межрегиональных и трансграничных каналов поступления наркотических средств растительного происхождения в незаконный оборот на территории Ивановской области. Совместно с УМВД в ней приняли участие: Управление </w:t>
      </w:r>
      <w:r>
        <w:rPr>
          <w:rFonts w:ascii="Times New Roman" w:hAnsi="Times New Roman"/>
          <w:color w:val="000000" w:themeColor="text1"/>
          <w:sz w:val="28"/>
          <w:szCs w:val="28"/>
        </w:rPr>
        <w:t xml:space="preserve">Росгвардии</w:t>
      </w:r>
      <w:r>
        <w:rPr>
          <w:rFonts w:ascii="Times New Roman" w:hAnsi="Times New Roman"/>
          <w:color w:val="000000" w:themeColor="text1"/>
          <w:sz w:val="28"/>
          <w:szCs w:val="28"/>
        </w:rPr>
        <w:t xml:space="preserve"> по Ивановской области, УФСБ России по Ивановской области, Военная полиция, Таможня Владимирской области, Департамент сельского хозяйства и продовольствия Ивановской области.</w:t>
      </w:r>
      <w:r>
        <w:rPr>
          <w:color w:val="000000" w:themeColor="text1"/>
        </w:rPr>
      </w:r>
      <w:r>
        <w:rPr>
          <w:color w:val="000000" w:themeColor="text1"/>
        </w:rPr>
      </w:r>
    </w:p>
    <w:p>
      <w:pPr>
        <w:ind w:firstLine="709"/>
        <w:jc w:val="both"/>
        <w:spacing w:after="0"/>
        <w:rPr>
          <w:color w:val="000000" w:themeColor="text1"/>
        </w:rPr>
      </w:pPr>
      <w:r>
        <w:rPr>
          <w:rFonts w:ascii="Times New Roman" w:hAnsi="Times New Roman"/>
          <w:color w:val="000000" w:themeColor="text1"/>
          <w:sz w:val="28"/>
          <w:szCs w:val="28"/>
        </w:rPr>
        <w:t xml:space="preserve">В рамках методического сопровождения деятельности по организации </w:t>
      </w:r>
      <w:r>
        <w:rPr>
          <w:rFonts w:ascii="Times New Roman" w:hAnsi="Times New Roman"/>
          <w:color w:val="000000" w:themeColor="text1"/>
          <w:sz w:val="28"/>
          <w:szCs w:val="28"/>
        </w:rPr>
        <w:t xml:space="preserve">антинаркотической</w:t>
      </w:r>
      <w:r>
        <w:rPr>
          <w:rFonts w:ascii="Times New Roman" w:hAnsi="Times New Roman"/>
          <w:color w:val="000000" w:themeColor="text1"/>
          <w:sz w:val="28"/>
          <w:szCs w:val="28"/>
        </w:rPr>
        <w:t xml:space="preserve"> профилактики УМВД подготовлен обзор о практических мероприятиях </w:t>
      </w:r>
      <w:r>
        <w:rPr>
          <w:rFonts w:ascii="Times New Roman" w:hAnsi="Times New Roman"/>
          <w:color w:val="000000" w:themeColor="text1"/>
          <w:sz w:val="28"/>
          <w:szCs w:val="28"/>
        </w:rPr>
        <w:t xml:space="preserve">антинаркотической</w:t>
      </w:r>
      <w:r>
        <w:rPr>
          <w:rFonts w:ascii="Times New Roman" w:hAnsi="Times New Roman"/>
          <w:color w:val="000000" w:themeColor="text1"/>
          <w:sz w:val="28"/>
          <w:szCs w:val="28"/>
        </w:rPr>
        <w:t xml:space="preserve"> направленности, реализуемых на территории Ивановской области в 2025 году. Подготовленная информация предназначена для содействия в организации профилактической работы со студентами ВУЗов и направлена в Комитет И</w:t>
      </w:r>
      <w:r>
        <w:rPr>
          <w:rFonts w:ascii="Times New Roman" w:hAnsi="Times New Roman"/>
          <w:color w:val="000000" w:themeColor="text1"/>
          <w:sz w:val="28"/>
          <w:szCs w:val="28"/>
        </w:rPr>
        <w:t xml:space="preserve">вановской области по молодежной политике и Координационный центр по вопросам формирования у молодежи активной гражданской позиции Ивановского государственного университета для распространения среди организаций высшего профессионального образования региона.</w:t>
      </w:r>
      <w:r>
        <w:rPr>
          <w:color w:val="000000" w:themeColor="text1"/>
        </w:rPr>
      </w:r>
      <w:r>
        <w:rPr>
          <w:color w:val="000000" w:themeColor="text1"/>
        </w:rPr>
      </w:r>
    </w:p>
    <w:p>
      <w:pPr>
        <w:ind w:firstLine="709"/>
        <w:jc w:val="both"/>
        <w:spacing w:after="0"/>
        <w:rPr>
          <w:rFonts w:ascii="Times New Roman" w:hAnsi="Times New Roman"/>
          <w:color w:val="ff0000"/>
          <w:sz w:val="28"/>
          <w:szCs w:val="28"/>
        </w:rPr>
      </w:pPr>
      <w:r>
        <w:rPr>
          <w:rFonts w:ascii="Times New Roman" w:hAnsi="Times New Roman"/>
          <w:color w:val="000000" w:themeColor="text1"/>
          <w:sz w:val="28"/>
          <w:szCs w:val="28"/>
        </w:rPr>
        <w:t xml:space="preserve">О результатах деятельности по противодействию </w:t>
      </w:r>
      <w:r>
        <w:rPr>
          <w:rFonts w:ascii="Times New Roman" w:hAnsi="Times New Roman"/>
          <w:color w:val="000000" w:themeColor="text1"/>
          <w:sz w:val="28"/>
          <w:szCs w:val="28"/>
        </w:rPr>
        <w:t xml:space="preserve">наркопреступности</w:t>
      </w:r>
      <w:r>
        <w:rPr>
          <w:rFonts w:ascii="Times New Roman" w:hAnsi="Times New Roman"/>
          <w:color w:val="000000" w:themeColor="text1"/>
          <w:sz w:val="28"/>
          <w:szCs w:val="28"/>
        </w:rPr>
        <w:t xml:space="preserve">, а также проводимой профилактической работе на системной основе информируется аппарат </w:t>
      </w:r>
      <w:r>
        <w:rPr>
          <w:rFonts w:ascii="Times New Roman" w:hAnsi="Times New Roman"/>
          <w:color w:val="000000" w:themeColor="text1"/>
          <w:sz w:val="28"/>
          <w:szCs w:val="28"/>
        </w:rPr>
        <w:t xml:space="preserve">антинаркотической</w:t>
      </w:r>
      <w:r>
        <w:rPr>
          <w:rFonts w:ascii="Times New Roman" w:hAnsi="Times New Roman"/>
          <w:color w:val="000000" w:themeColor="text1"/>
          <w:sz w:val="28"/>
          <w:szCs w:val="28"/>
        </w:rPr>
        <w:t xml:space="preserve"> комиссии Ивановской области с целью обобщения, анализа и </w:t>
      </w:r>
      <w:r>
        <w:rPr>
          <w:rFonts w:ascii="Times New Roman" w:hAnsi="Times New Roman"/>
          <w:color w:val="000000" w:themeColor="text1"/>
          <w:sz w:val="28"/>
          <w:szCs w:val="28"/>
        </w:rPr>
        <w:t xml:space="preserve">принятия</w:t>
      </w:r>
      <w:r>
        <w:rPr>
          <w:rFonts w:ascii="Times New Roman" w:hAnsi="Times New Roman"/>
          <w:color w:val="000000" w:themeColor="text1"/>
          <w:sz w:val="28"/>
          <w:szCs w:val="28"/>
        </w:rPr>
        <w:t xml:space="preserve"> дополнительных мер, направленных </w:t>
      </w:r>
      <w:r>
        <w:rPr>
          <w:rFonts w:ascii="Times New Roman" w:hAnsi="Times New Roman"/>
          <w:color w:val="000000" w:themeColor="text1"/>
          <w:sz w:val="28"/>
          <w:szCs w:val="28"/>
        </w:rPr>
        <w:t xml:space="preserve">на повышение эффективности межведомственного взаимодействия по линии </w:t>
      </w:r>
      <w:r>
        <w:rPr>
          <w:rFonts w:ascii="Times New Roman" w:hAnsi="Times New Roman"/>
          <w:color w:val="000000" w:themeColor="text1"/>
          <w:sz w:val="28"/>
          <w:szCs w:val="28"/>
        </w:rPr>
        <w:t xml:space="preserve">антинаркотической</w:t>
      </w:r>
      <w:r>
        <w:rPr>
          <w:rFonts w:ascii="Times New Roman" w:hAnsi="Times New Roman"/>
          <w:color w:val="000000" w:themeColor="text1"/>
          <w:sz w:val="28"/>
          <w:szCs w:val="28"/>
        </w:rPr>
        <w:t xml:space="preserve"> профилактики.</w:t>
      </w:r>
      <w:r>
        <w:rPr>
          <w:rFonts w:ascii="Times New Roman" w:hAnsi="Times New Roman"/>
          <w:color w:val="ff0000"/>
          <w:sz w:val="28"/>
          <w:szCs w:val="28"/>
        </w:rPr>
      </w:r>
      <w:r>
        <w:rPr>
          <w:rFonts w:ascii="Times New Roman" w:hAnsi="Times New Roman"/>
          <w:color w:val="ff0000"/>
          <w:sz w:val="28"/>
          <w:szCs w:val="28"/>
        </w:rPr>
      </w:r>
    </w:p>
    <w:p>
      <w:pPr>
        <w:ind w:firstLine="709"/>
        <w:jc w:val="both"/>
        <w:spacing w:after="0"/>
        <w:rPr>
          <w:rFonts w:ascii="Times New Roman" w:hAnsi="Times New Roman"/>
          <w:color w:val="ff0000"/>
          <w:sz w:val="28"/>
          <w:szCs w:val="28"/>
        </w:rPr>
      </w:pPr>
      <w:r>
        <w:rPr>
          <w:rFonts w:ascii="Times New Roman" w:hAnsi="Times New Roman"/>
          <w:color w:val="ff0000"/>
          <w:sz w:val="28"/>
          <w:szCs w:val="28"/>
        </w:rPr>
      </w:r>
      <w:r>
        <w:rPr>
          <w:rFonts w:ascii="Times New Roman" w:hAnsi="Times New Roman"/>
          <w:color w:val="ff0000"/>
          <w:sz w:val="28"/>
          <w:szCs w:val="28"/>
        </w:rPr>
      </w:r>
      <w:r>
        <w:rPr>
          <w:rFonts w:ascii="Times New Roman" w:hAnsi="Times New Roman"/>
          <w:color w:val="ff0000"/>
          <w:sz w:val="28"/>
          <w:szCs w:val="28"/>
        </w:rPr>
      </w:r>
    </w:p>
    <w:p>
      <w:pPr>
        <w:ind w:firstLine="709"/>
        <w:jc w:val="both"/>
        <w:spacing w:after="0"/>
        <w:rPr>
          <w:rFonts w:ascii="Times New Roman" w:hAnsi="Times New Roman"/>
          <w:color w:val="000000" w:themeColor="text1"/>
          <w:sz w:val="28"/>
          <w:szCs w:val="28"/>
        </w:rPr>
      </w:pPr>
      <w:r>
        <w:rPr>
          <w:rFonts w:ascii="Times New Roman" w:hAnsi="Times New Roman"/>
          <w:b/>
          <w:color w:val="000000" w:themeColor="text1"/>
          <w:sz w:val="28"/>
          <w:szCs w:val="28"/>
        </w:rPr>
        <w:t xml:space="preserve">Миграционные процессы остаются одним из ключевых факторов социально-экономического и демографического развития Ивановской области.</w:t>
      </w:r>
      <w:r>
        <w:rPr>
          <w:rFonts w:ascii="Times New Roman" w:hAnsi="Times New Roman"/>
          <w:color w:val="000000" w:themeColor="text1"/>
          <w:sz w:val="28"/>
          <w:szCs w:val="28"/>
        </w:rPr>
        <w:t xml:space="preserve"> В 2025 году регион продолжил испытывать на себе влияние как внутренних, так и внешних миграционных потоков, что ставит перед органами власти и гражданским общество</w:t>
      </w:r>
      <w:r>
        <w:rPr>
          <w:rFonts w:ascii="Times New Roman" w:hAnsi="Times New Roman"/>
          <w:color w:val="000000" w:themeColor="text1"/>
          <w:sz w:val="28"/>
          <w:szCs w:val="28"/>
        </w:rPr>
        <w:t xml:space="preserve">м комплексные задачи по адаптации и интеграции новых жителей. Основной фокус работы правозащитного института был сосредоточен на обеспечении законных прав и свобод лиц, находящихся в связи с миграцией в уязвимом положении, включая вынужденных п</w:t>
      </w:r>
      <w:r>
        <w:rPr>
          <w:rFonts w:ascii="Times New Roman" w:hAnsi="Times New Roman"/>
          <w:color w:val="000000" w:themeColor="text1"/>
          <w:sz w:val="28"/>
          <w:szCs w:val="28"/>
        </w:rPr>
        <w:t xml:space="preserve">ереселенцев, трудовых мигрантов, лиц, ищущих убежище, а также соотечественников, возвращающихся на историческую родину. Настоящий раздел доклада также содержит анализ наиболее острых проблем, с которыми сталкиваются мигранты на территории области, обобщает</w:t>
      </w:r>
      <w:r>
        <w:rPr>
          <w:rFonts w:ascii="Times New Roman" w:hAnsi="Times New Roman"/>
          <w:color w:val="000000" w:themeColor="text1"/>
          <w:sz w:val="28"/>
          <w:szCs w:val="28"/>
        </w:rPr>
        <w:t xml:space="preserve"> типичные обращения в аппарат Уполномоченного и формулирует конкретные рекомендации, направленные на совершенствование миграционной политики на региональном уровне в строгом соответствии с принципами уважения человеческого достоинства и верховенства права.</w:t>
      </w:r>
      <w:r>
        <w:rPr>
          <w:rFonts w:ascii="Times New Roman" w:hAnsi="Times New Roman"/>
          <w:color w:val="000000" w:themeColor="text1"/>
          <w:sz w:val="28"/>
          <w:szCs w:val="28"/>
        </w:rPr>
      </w:r>
      <w:r>
        <w:rPr>
          <w:rFonts w:ascii="Times New Roman" w:hAnsi="Times New Roman"/>
          <w:color w:val="000000" w:themeColor="text1"/>
          <w:sz w:val="28"/>
          <w:szCs w:val="28"/>
        </w:rPr>
      </w:r>
    </w:p>
    <w:p>
      <w:pPr>
        <w:ind w:firstLine="709"/>
        <w:jc w:val="both"/>
        <w:spacing w:after="0"/>
        <w:rPr>
          <w:rFonts w:ascii="Times New Roman" w:hAnsi="Times New Roman"/>
          <w:color w:val="000000" w:themeColor="text1"/>
          <w:sz w:val="28"/>
          <w:szCs w:val="28"/>
        </w:rPr>
      </w:pPr>
      <w:r>
        <w:rPr>
          <w:rFonts w:ascii="Times New Roman" w:hAnsi="Times New Roman"/>
          <w:color w:val="000000" w:themeColor="text1"/>
          <w:sz w:val="28"/>
          <w:szCs w:val="28"/>
        </w:rPr>
        <w:t xml:space="preserve">Анализ миграционной ситуации на территории Ивановской области за 2025 год свидетельствует об увеличении количества находящихся на территории Ивановской области иностранных граждан и лиц без гражданства (далее – ИГ и ЛБГ).</w:t>
      </w:r>
      <w:r>
        <w:rPr>
          <w:rFonts w:ascii="Times New Roman" w:hAnsi="Times New Roman"/>
          <w:color w:val="000000" w:themeColor="text1"/>
          <w:sz w:val="28"/>
          <w:szCs w:val="28"/>
        </w:rPr>
      </w:r>
      <w:r>
        <w:rPr>
          <w:rFonts w:ascii="Times New Roman" w:hAnsi="Times New Roman"/>
          <w:color w:val="000000" w:themeColor="text1"/>
          <w:sz w:val="28"/>
          <w:szCs w:val="28"/>
        </w:rPr>
      </w:r>
    </w:p>
    <w:p>
      <w:pPr>
        <w:ind w:firstLine="709"/>
        <w:jc w:val="both"/>
        <w:spacing w:after="0"/>
        <w:rPr>
          <w:rFonts w:ascii="Times New Roman" w:hAnsi="Times New Roman"/>
          <w:color w:val="000000" w:themeColor="text1"/>
          <w:sz w:val="28"/>
          <w:szCs w:val="28"/>
        </w:rPr>
      </w:pPr>
      <w:r>
        <w:rPr>
          <w:rFonts w:ascii="Times New Roman" w:hAnsi="Times New Roman"/>
          <w:color w:val="000000" w:themeColor="text1"/>
          <w:sz w:val="28"/>
          <w:szCs w:val="28"/>
        </w:rPr>
        <w:t xml:space="preserve">По состоянию на 31 декабря 2025 года число  ИГ и ЛБГ, </w:t>
      </w:r>
      <w:r>
        <w:rPr>
          <w:rFonts w:ascii="Times New Roman" w:hAnsi="Times New Roman"/>
          <w:color w:val="000000" w:themeColor="text1"/>
          <w:sz w:val="28"/>
          <w:szCs w:val="28"/>
        </w:rPr>
        <w:t xml:space="preserve">состоящих</w:t>
      </w:r>
      <w:r>
        <w:rPr>
          <w:rFonts w:ascii="Times New Roman" w:hAnsi="Times New Roman"/>
          <w:color w:val="000000" w:themeColor="text1"/>
          <w:sz w:val="28"/>
          <w:szCs w:val="28"/>
        </w:rPr>
        <w:t xml:space="preserve"> на миграционном учете региона, составляет 16222 (АППГ- 12784, +26,9%).</w:t>
      </w:r>
      <w:r>
        <w:rPr>
          <w:rFonts w:ascii="Times New Roman" w:hAnsi="Times New Roman"/>
          <w:color w:val="000000" w:themeColor="text1"/>
          <w:sz w:val="28"/>
          <w:szCs w:val="28"/>
        </w:rPr>
      </w:r>
      <w:r>
        <w:rPr>
          <w:rFonts w:ascii="Times New Roman" w:hAnsi="Times New Roman"/>
          <w:color w:val="000000" w:themeColor="text1"/>
          <w:sz w:val="28"/>
          <w:szCs w:val="28"/>
        </w:rPr>
      </w:r>
    </w:p>
    <w:p>
      <w:pPr>
        <w:ind w:firstLine="709"/>
        <w:jc w:val="both"/>
        <w:spacing w:after="0"/>
        <w:rPr>
          <w:rFonts w:ascii="Times New Roman" w:hAnsi="Times New Roman"/>
          <w:color w:val="000000" w:themeColor="text1"/>
          <w:sz w:val="28"/>
          <w:szCs w:val="28"/>
        </w:rPr>
      </w:pPr>
      <w:r>
        <w:rPr>
          <w:rFonts w:ascii="Times New Roman" w:hAnsi="Times New Roman"/>
          <w:color w:val="000000" w:themeColor="text1"/>
          <w:sz w:val="28"/>
          <w:szCs w:val="28"/>
        </w:rPr>
        <w:t xml:space="preserve">Целями, заявленными при постановке на миграционный учет в 2025 году, являлись: работа (12896), частная (3739), учеба (1618), туризм (574), деловая (156), гуманитарная (4), иные (780).</w:t>
      </w:r>
      <w:r>
        <w:rPr>
          <w:rFonts w:ascii="Times New Roman" w:hAnsi="Times New Roman"/>
          <w:color w:val="000000" w:themeColor="text1"/>
          <w:sz w:val="28"/>
          <w:szCs w:val="28"/>
        </w:rPr>
      </w:r>
      <w:r>
        <w:rPr>
          <w:rFonts w:ascii="Times New Roman" w:hAnsi="Times New Roman"/>
          <w:color w:val="000000" w:themeColor="text1"/>
          <w:sz w:val="28"/>
          <w:szCs w:val="28"/>
        </w:rPr>
      </w:r>
    </w:p>
    <w:p>
      <w:pPr>
        <w:ind w:firstLine="709"/>
        <w:jc w:val="both"/>
        <w:spacing w:after="0"/>
        <w:rPr>
          <w:rFonts w:ascii="Times New Roman" w:hAnsi="Times New Roman"/>
          <w:color w:val="000000" w:themeColor="text1"/>
          <w:sz w:val="28"/>
          <w:szCs w:val="28"/>
        </w:rPr>
      </w:pPr>
      <w:r>
        <w:rPr>
          <w:rFonts w:ascii="Times New Roman" w:hAnsi="Times New Roman"/>
          <w:color w:val="000000" w:themeColor="text1"/>
          <w:sz w:val="28"/>
          <w:szCs w:val="28"/>
        </w:rPr>
        <w:t xml:space="preserve">Преимущественно, </w:t>
      </w:r>
      <w:r>
        <w:rPr>
          <w:rFonts w:ascii="Times New Roman" w:hAnsi="Times New Roman"/>
          <w:color w:val="000000" w:themeColor="text1"/>
          <w:sz w:val="28"/>
          <w:szCs w:val="28"/>
        </w:rPr>
        <w:t xml:space="preserve">странами гражданской принадлежности лиц, поставленных на миграционный учет на территории Ивановской области, являются республики бывшего СССР (17831 или 82,2%), при подавляющей доле граждан Республик Узбекистан и Таджикистан, а также Киргизской Республики.</w:t>
      </w:r>
      <w:r>
        <w:rPr>
          <w:rFonts w:ascii="Times New Roman" w:hAnsi="Times New Roman"/>
          <w:color w:val="000000" w:themeColor="text1"/>
          <w:sz w:val="28"/>
          <w:szCs w:val="28"/>
        </w:rPr>
      </w:r>
      <w:r>
        <w:rPr>
          <w:rFonts w:ascii="Times New Roman" w:hAnsi="Times New Roman"/>
          <w:color w:val="000000" w:themeColor="text1"/>
          <w:sz w:val="28"/>
          <w:szCs w:val="28"/>
        </w:rPr>
      </w:r>
    </w:p>
    <w:p>
      <w:pPr>
        <w:ind w:firstLine="709"/>
        <w:jc w:val="both"/>
        <w:spacing w:after="0"/>
        <w:rPr>
          <w:rFonts w:ascii="Times New Roman" w:hAnsi="Times New Roman"/>
          <w:color w:val="000000" w:themeColor="text1"/>
          <w:sz w:val="28"/>
          <w:szCs w:val="28"/>
        </w:rPr>
      </w:pPr>
      <w:r>
        <w:rPr>
          <w:rFonts w:ascii="Times New Roman" w:hAnsi="Times New Roman"/>
          <w:color w:val="000000" w:themeColor="text1"/>
          <w:sz w:val="28"/>
          <w:szCs w:val="28"/>
        </w:rPr>
        <w:t xml:space="preserve">В ходе 1,2 тыс. (+21,4%) проверочных мероприятий выявлено 4,3 тыс. (+6,1%) нарушений миграционного законодательства Российской Федерации. Вынесено 274 решения об административном </w:t>
      </w:r>
      <w:r>
        <w:rPr>
          <w:rFonts w:ascii="Times New Roman" w:hAnsi="Times New Roman"/>
          <w:color w:val="000000" w:themeColor="text1"/>
          <w:sz w:val="28"/>
          <w:szCs w:val="28"/>
        </w:rPr>
        <w:t xml:space="preserve">выдворении</w:t>
      </w:r>
      <w:r>
        <w:rPr>
          <w:rFonts w:ascii="Times New Roman" w:hAnsi="Times New Roman"/>
          <w:color w:val="000000" w:themeColor="text1"/>
          <w:sz w:val="28"/>
          <w:szCs w:val="28"/>
        </w:rPr>
        <w:t xml:space="preserve"> с территории Российской Федерации, из них должностными лицами органов внутренних дел -254, судами - 20 (-50,8).</w:t>
      </w:r>
      <w:r>
        <w:rPr>
          <w:rFonts w:ascii="Times New Roman" w:hAnsi="Times New Roman"/>
          <w:color w:val="000000" w:themeColor="text1"/>
          <w:sz w:val="28"/>
          <w:szCs w:val="28"/>
        </w:rPr>
      </w:r>
      <w:r>
        <w:rPr>
          <w:rFonts w:ascii="Times New Roman" w:hAnsi="Times New Roman"/>
          <w:color w:val="000000" w:themeColor="text1"/>
          <w:sz w:val="28"/>
          <w:szCs w:val="28"/>
        </w:rPr>
      </w:r>
    </w:p>
    <w:p>
      <w:pPr>
        <w:ind w:firstLine="709"/>
        <w:jc w:val="both"/>
        <w:spacing w:after="0"/>
        <w:rPr>
          <w:rFonts w:ascii="Times New Roman" w:hAnsi="Times New Roman"/>
          <w:color w:val="000000" w:themeColor="text1"/>
          <w:sz w:val="28"/>
          <w:szCs w:val="28"/>
        </w:rPr>
      </w:pPr>
      <w:r>
        <w:rPr>
          <w:rFonts w:ascii="Times New Roman" w:hAnsi="Times New Roman"/>
          <w:color w:val="000000" w:themeColor="text1"/>
          <w:sz w:val="28"/>
          <w:szCs w:val="28"/>
        </w:rPr>
        <w:t xml:space="preserve">Количество административных правонарушений, совершенных иностранными гражданами и ЛБГ в 2025 году (без учета административных материалов Госавтоинспекции), составило 3604 (3151, +14,4%).</w:t>
      </w:r>
      <w:r>
        <w:rPr>
          <w:rFonts w:ascii="Times New Roman" w:hAnsi="Times New Roman"/>
          <w:color w:val="000000" w:themeColor="text1"/>
          <w:sz w:val="28"/>
          <w:szCs w:val="28"/>
        </w:rPr>
      </w:r>
      <w:r>
        <w:rPr>
          <w:rFonts w:ascii="Times New Roman" w:hAnsi="Times New Roman"/>
          <w:color w:val="000000" w:themeColor="text1"/>
          <w:sz w:val="28"/>
          <w:szCs w:val="28"/>
        </w:rPr>
      </w:r>
    </w:p>
    <w:p>
      <w:pPr>
        <w:ind w:firstLine="709"/>
        <w:jc w:val="both"/>
        <w:spacing w:after="0"/>
        <w:rPr>
          <w:rFonts w:ascii="Times New Roman" w:hAnsi="Times New Roman"/>
          <w:color w:val="000000" w:themeColor="text1"/>
          <w:sz w:val="28"/>
          <w:szCs w:val="28"/>
        </w:rPr>
      </w:pPr>
      <w:r>
        <w:rPr>
          <w:rFonts w:ascii="Times New Roman" w:hAnsi="Times New Roman"/>
          <w:color w:val="000000" w:themeColor="text1"/>
          <w:sz w:val="28"/>
          <w:szCs w:val="28"/>
        </w:rPr>
        <w:t xml:space="preserve">При осуществлении мероприятий по </w:t>
      </w:r>
      <w:r>
        <w:rPr>
          <w:rFonts w:ascii="Times New Roman" w:hAnsi="Times New Roman"/>
          <w:color w:val="000000" w:themeColor="text1"/>
          <w:sz w:val="28"/>
          <w:szCs w:val="28"/>
        </w:rPr>
        <w:t xml:space="preserve">контролю за</w:t>
      </w:r>
      <w:r>
        <w:rPr>
          <w:rFonts w:ascii="Times New Roman" w:hAnsi="Times New Roman"/>
          <w:color w:val="000000" w:themeColor="text1"/>
          <w:sz w:val="28"/>
          <w:szCs w:val="28"/>
        </w:rPr>
        <w:t xml:space="preserve"> соблюдением гражданами Российской Федерации регистрационно-паспортного режима, проведено 83 проверочных мероприятия (97, -14,4%), в ходе которых установлено 196 фактов (153, +28,1%) фиктивной постановки на регистрационный учет.</w:t>
      </w:r>
      <w:r>
        <w:rPr>
          <w:rFonts w:ascii="Times New Roman" w:hAnsi="Times New Roman"/>
          <w:color w:val="000000" w:themeColor="text1"/>
          <w:sz w:val="28"/>
          <w:szCs w:val="28"/>
        </w:rPr>
      </w:r>
      <w:r>
        <w:rPr>
          <w:rFonts w:ascii="Times New Roman" w:hAnsi="Times New Roman"/>
          <w:color w:val="000000" w:themeColor="text1"/>
          <w:sz w:val="28"/>
          <w:szCs w:val="28"/>
        </w:rPr>
      </w:r>
    </w:p>
    <w:p>
      <w:pPr>
        <w:ind w:firstLine="709"/>
        <w:jc w:val="both"/>
        <w:spacing w:after="0"/>
        <w:rPr>
          <w:rFonts w:ascii="Times New Roman" w:hAnsi="Times New Roman"/>
          <w:color w:val="000000" w:themeColor="text1"/>
          <w:sz w:val="28"/>
          <w:szCs w:val="28"/>
        </w:rPr>
      </w:pPr>
      <w:r>
        <w:rPr>
          <w:rFonts w:ascii="Times New Roman" w:hAnsi="Times New Roman"/>
          <w:color w:val="000000" w:themeColor="text1"/>
          <w:sz w:val="28"/>
          <w:szCs w:val="28"/>
        </w:rPr>
        <w:t xml:space="preserve">В рамках исполнения административного законодательства по линии </w:t>
      </w:r>
      <w:r>
        <w:rPr>
          <w:rFonts w:ascii="Times New Roman" w:hAnsi="Times New Roman"/>
          <w:color w:val="000000" w:themeColor="text1"/>
          <w:sz w:val="28"/>
          <w:szCs w:val="28"/>
        </w:rPr>
        <w:t xml:space="preserve">паспортно-регистрационной</w:t>
      </w:r>
      <w:r>
        <w:rPr>
          <w:rFonts w:ascii="Times New Roman" w:hAnsi="Times New Roman"/>
          <w:color w:val="000000" w:themeColor="text1"/>
          <w:sz w:val="28"/>
          <w:szCs w:val="28"/>
        </w:rPr>
        <w:t xml:space="preserve"> работы, сотрудниками полиции территориальных органов выявлено и пресечено 7468 административных правонарушений, квалифицированных Главой 19 </w:t>
      </w:r>
      <w:r>
        <w:rPr>
          <w:rFonts w:ascii="Times New Roman" w:hAnsi="Times New Roman"/>
          <w:color w:val="000000" w:themeColor="text1"/>
          <w:sz w:val="28"/>
          <w:szCs w:val="28"/>
        </w:rPr>
        <w:t xml:space="preserve">КоАП</w:t>
      </w:r>
      <w:r>
        <w:rPr>
          <w:rFonts w:ascii="Times New Roman" w:hAnsi="Times New Roman"/>
          <w:color w:val="000000" w:themeColor="text1"/>
          <w:sz w:val="28"/>
          <w:szCs w:val="28"/>
        </w:rPr>
        <w:t xml:space="preserve"> РФ (Административные правонарушения против порядка управления) (7992, -6,5%).</w:t>
      </w:r>
      <w:r>
        <w:rPr>
          <w:rFonts w:ascii="Times New Roman" w:hAnsi="Times New Roman"/>
          <w:color w:val="000000" w:themeColor="text1"/>
          <w:sz w:val="28"/>
          <w:szCs w:val="28"/>
        </w:rPr>
      </w:r>
      <w:r>
        <w:rPr>
          <w:rFonts w:ascii="Times New Roman" w:hAnsi="Times New Roman"/>
          <w:color w:val="000000" w:themeColor="text1"/>
          <w:sz w:val="28"/>
          <w:szCs w:val="28"/>
        </w:rPr>
      </w:r>
    </w:p>
    <w:p>
      <w:pPr>
        <w:ind w:firstLine="709"/>
        <w:jc w:val="both"/>
        <w:spacing w:after="0"/>
        <w:rPr>
          <w:rFonts w:ascii="Times New Roman" w:hAnsi="Times New Roman"/>
          <w:color w:val="000000" w:themeColor="text1"/>
          <w:sz w:val="28"/>
          <w:szCs w:val="28"/>
        </w:rPr>
      </w:pPr>
      <w:r>
        <w:rPr>
          <w:rFonts w:ascii="Times New Roman" w:hAnsi="Times New Roman"/>
          <w:color w:val="000000" w:themeColor="text1"/>
          <w:sz w:val="28"/>
          <w:szCs w:val="28"/>
        </w:rPr>
        <w:t xml:space="preserve">За 12 месяцев 2025 года на территории Ивановской области зарегистрировано 197 (271, -27,3%) преступлений, совершенных иностранными гражданами (из числа расследованных).</w:t>
      </w:r>
      <w:r>
        <w:rPr>
          <w:rFonts w:ascii="Times New Roman" w:hAnsi="Times New Roman"/>
          <w:color w:val="000000" w:themeColor="text1"/>
          <w:sz w:val="28"/>
          <w:szCs w:val="28"/>
        </w:rPr>
      </w:r>
      <w:r>
        <w:rPr>
          <w:rFonts w:ascii="Times New Roman" w:hAnsi="Times New Roman"/>
          <w:color w:val="000000" w:themeColor="text1"/>
          <w:sz w:val="28"/>
          <w:szCs w:val="28"/>
        </w:rPr>
      </w:r>
    </w:p>
    <w:p>
      <w:pPr>
        <w:ind w:firstLine="709"/>
        <w:jc w:val="both"/>
        <w:spacing w:after="0"/>
        <w:rPr>
          <w:rFonts w:ascii="Times New Roman" w:hAnsi="Times New Roman"/>
          <w:color w:val="000000" w:themeColor="text1"/>
          <w:sz w:val="28"/>
          <w:szCs w:val="28"/>
        </w:rPr>
      </w:pPr>
      <w:r>
        <w:rPr>
          <w:rFonts w:ascii="Times New Roman" w:hAnsi="Times New Roman"/>
          <w:color w:val="000000" w:themeColor="text1"/>
          <w:sz w:val="28"/>
          <w:szCs w:val="28"/>
        </w:rPr>
        <w:t xml:space="preserve">В общем объеме зарегистрированных уголовно-наказуемых деяний (11120) доля преступлений, совершенных иностранными гражданами, составила 1,8%, что не оказало существенного влияния на общую </w:t>
      </w:r>
      <w:r>
        <w:rPr>
          <w:rFonts w:ascii="Times New Roman" w:hAnsi="Times New Roman"/>
          <w:color w:val="000000" w:themeColor="text1"/>
          <w:sz w:val="28"/>
          <w:szCs w:val="28"/>
        </w:rPr>
        <w:t xml:space="preserve">криминогенную обстановку</w:t>
      </w:r>
      <w:r>
        <w:rPr>
          <w:rFonts w:ascii="Times New Roman" w:hAnsi="Times New Roman"/>
          <w:color w:val="000000" w:themeColor="text1"/>
          <w:sz w:val="28"/>
          <w:szCs w:val="28"/>
        </w:rPr>
        <w:t xml:space="preserve"> в регионе. </w:t>
      </w:r>
      <w:r>
        <w:rPr>
          <w:rFonts w:ascii="Times New Roman" w:hAnsi="Times New Roman"/>
          <w:color w:val="000000" w:themeColor="text1"/>
          <w:sz w:val="28"/>
          <w:szCs w:val="28"/>
        </w:rPr>
      </w:r>
      <w:r>
        <w:rPr>
          <w:rFonts w:ascii="Times New Roman" w:hAnsi="Times New Roman"/>
          <w:color w:val="000000" w:themeColor="text1"/>
          <w:sz w:val="28"/>
          <w:szCs w:val="28"/>
        </w:rPr>
      </w:r>
    </w:p>
    <w:p>
      <w:pPr>
        <w:ind w:firstLine="709"/>
        <w:jc w:val="both"/>
        <w:spacing w:after="0"/>
        <w:rPr>
          <w:rFonts w:ascii="Times New Roman" w:hAnsi="Times New Roman"/>
          <w:color w:val="000000" w:themeColor="text1"/>
          <w:sz w:val="28"/>
          <w:szCs w:val="28"/>
        </w:rPr>
      </w:pPr>
      <w:r>
        <w:rPr>
          <w:rFonts w:ascii="Times New Roman" w:hAnsi="Times New Roman"/>
          <w:color w:val="000000" w:themeColor="text1"/>
          <w:sz w:val="28"/>
          <w:szCs w:val="28"/>
        </w:rPr>
        <w:t xml:space="preserve">За отчётный период зарегистрировано 319 (284, +12,3%) преступлений, связанных с нарушением миграционного законодательства Российской Федерации, а также подделки разрешительных документов или документов, удостоверяющих личность (по линии миграции).</w:t>
      </w:r>
      <w:r>
        <w:rPr>
          <w:rFonts w:ascii="Times New Roman" w:hAnsi="Times New Roman"/>
          <w:color w:val="000000" w:themeColor="text1"/>
          <w:sz w:val="28"/>
          <w:szCs w:val="28"/>
        </w:rPr>
      </w:r>
      <w:r>
        <w:rPr>
          <w:rFonts w:ascii="Times New Roman" w:hAnsi="Times New Roman"/>
          <w:color w:val="000000" w:themeColor="text1"/>
          <w:sz w:val="28"/>
          <w:szCs w:val="28"/>
        </w:rPr>
      </w:r>
    </w:p>
    <w:p>
      <w:pPr>
        <w:ind w:firstLine="709"/>
        <w:jc w:val="both"/>
        <w:spacing w:after="0"/>
        <w:rPr>
          <w:rFonts w:ascii="Times New Roman" w:hAnsi="Times New Roman"/>
          <w:color w:val="000000" w:themeColor="text1"/>
          <w:sz w:val="28"/>
          <w:szCs w:val="28"/>
        </w:rPr>
      </w:pPr>
      <w:r>
        <w:rPr>
          <w:rFonts w:ascii="Times New Roman" w:hAnsi="Times New Roman"/>
          <w:color w:val="000000" w:themeColor="text1"/>
          <w:sz w:val="28"/>
          <w:szCs w:val="28"/>
        </w:rPr>
        <w:t xml:space="preserve">В 2025 году судебными органами и должностными лицами территориальных органов УМВД вынесено 274 (539, -50,8%) решения об административном выдворении иностранных граждан за пределы Российской Федерации, из которых фактически и</w:t>
      </w:r>
      <w:r>
        <w:rPr>
          <w:rFonts w:ascii="Times New Roman" w:hAnsi="Times New Roman"/>
          <w:color w:val="000000" w:themeColor="text1"/>
          <w:sz w:val="28"/>
          <w:szCs w:val="28"/>
        </w:rPr>
        <w:t xml:space="preserve">сполнено 291 (с учетом решений прошлых лет) (476, - 62,3%), значительное количество иностранных граждан незаконно находящихся на территории Российской Федерации в указанный период, урегулировали свое положение в Российской Федерации в соответствии с Указом</w:t>
      </w:r>
      <w:r>
        <w:rPr>
          <w:rFonts w:ascii="Times New Roman" w:hAnsi="Times New Roman"/>
          <w:color w:val="000000" w:themeColor="text1"/>
          <w:sz w:val="28"/>
          <w:szCs w:val="28"/>
        </w:rPr>
        <w:t xml:space="preserve"> Президента Российской Федерации от 30.12.2024 №1126 «О временных мерах по урегулированию правового положения отдельных категорий иностранных граждан и лиц без гражданства в Российской Федерации в связи с применением режима высылки».</w:t>
      </w:r>
      <w:r>
        <w:rPr>
          <w:rFonts w:ascii="Times New Roman" w:hAnsi="Times New Roman"/>
          <w:color w:val="000000" w:themeColor="text1"/>
          <w:sz w:val="28"/>
          <w:szCs w:val="28"/>
        </w:rPr>
      </w:r>
      <w:r>
        <w:rPr>
          <w:rFonts w:ascii="Times New Roman" w:hAnsi="Times New Roman"/>
          <w:color w:val="000000" w:themeColor="text1"/>
          <w:sz w:val="28"/>
          <w:szCs w:val="28"/>
        </w:rPr>
      </w:r>
    </w:p>
    <w:p>
      <w:pPr>
        <w:ind w:firstLine="709"/>
        <w:jc w:val="both"/>
        <w:spacing w:after="0"/>
        <w:rPr>
          <w:rFonts w:ascii="Times New Roman" w:hAnsi="Times New Roman" w:eastAsia="Times New Roman"/>
          <w:sz w:val="28"/>
          <w:szCs w:val="28"/>
        </w:rPr>
      </w:pPr>
      <w:r>
        <w:rPr>
          <w:rFonts w:ascii="Times New Roman" w:hAnsi="Times New Roman" w:eastAsia="Times New Roman"/>
          <w:sz w:val="28"/>
          <w:szCs w:val="28"/>
        </w:rPr>
        <w:t xml:space="preserve">В соответствии с Указом Президента Российской Федерации от 22 июня 2006 № 637 «Об оказании содействия добровольному переселению                            в Российскую Федерацию соотечественников, проживающих за рубежом» и </w:t>
      </w:r>
      <w:r>
        <w:rPr>
          <w:rFonts w:ascii="Times New Roman" w:hAnsi="Times New Roman" w:eastAsia="Times New Roman"/>
          <w:sz w:val="28"/>
          <w:szCs w:val="28"/>
        </w:rPr>
        <w:t xml:space="preserve">Постановлением Правительства Ивановской области от 9 июля 2013 г.                         № 279-п на территории Ивановской о</w:t>
      </w:r>
      <w:r>
        <w:rPr>
          <w:rFonts w:ascii="Times New Roman" w:hAnsi="Times New Roman" w:eastAsia="Times New Roman"/>
          <w:sz w:val="28"/>
          <w:szCs w:val="28"/>
        </w:rPr>
        <w:t xml:space="preserve">бласти реализована региональная подпрограмма «Оказание содействия добровольному переселению                                     в Ивановскую область соотечественников, проживающих за рубежом, на                    2019-2021», вступившая в силу с 01.01.2019</w:t>
      </w:r>
      <w:r>
        <w:rPr>
          <w:rFonts w:ascii="Times New Roman" w:hAnsi="Times New Roman" w:eastAsia="Times New Roman"/>
          <w:sz w:val="28"/>
          <w:szCs w:val="28"/>
        </w:rPr>
        <w:t xml:space="preserve"> года.</w:t>
      </w:r>
      <w:r>
        <w:rPr>
          <w:rFonts w:ascii="Times New Roman" w:hAnsi="Times New Roman" w:eastAsia="Times New Roman"/>
          <w:sz w:val="28"/>
          <w:szCs w:val="28"/>
        </w:rPr>
      </w:r>
      <w:r>
        <w:rPr>
          <w:rFonts w:ascii="Times New Roman" w:hAnsi="Times New Roman" w:eastAsia="Times New Roman"/>
          <w:sz w:val="28"/>
          <w:szCs w:val="28"/>
        </w:rPr>
      </w:r>
    </w:p>
    <w:p>
      <w:pPr>
        <w:ind w:firstLine="709"/>
        <w:jc w:val="both"/>
        <w:spacing w:after="0"/>
        <w:rPr>
          <w:rFonts w:ascii="Times New Roman" w:hAnsi="Times New Roman" w:eastAsia="Times New Roman"/>
          <w:sz w:val="28"/>
          <w:szCs w:val="28"/>
        </w:rPr>
      </w:pPr>
      <w:r>
        <w:rPr>
          <w:rFonts w:ascii="Times New Roman" w:hAnsi="Times New Roman" w:eastAsia="Times New Roman"/>
          <w:sz w:val="28"/>
          <w:szCs w:val="28"/>
        </w:rPr>
        <w:t xml:space="preserve">В соответствии с Постановлением Правительства Ивановской области              от 05.10.2023 № 467-п срок реализации региональной подпрограммы продлен до 2030 года.</w:t>
      </w:r>
      <w:r>
        <w:rPr>
          <w:rFonts w:ascii="Times New Roman" w:hAnsi="Times New Roman" w:eastAsia="Times New Roman"/>
          <w:sz w:val="28"/>
          <w:szCs w:val="28"/>
        </w:rPr>
      </w:r>
      <w:r>
        <w:rPr>
          <w:rFonts w:ascii="Times New Roman" w:hAnsi="Times New Roman" w:eastAsia="Times New Roman"/>
          <w:sz w:val="28"/>
          <w:szCs w:val="28"/>
        </w:rPr>
      </w:r>
    </w:p>
    <w:p>
      <w:pPr>
        <w:ind w:firstLine="709"/>
        <w:jc w:val="both"/>
        <w:spacing w:after="0"/>
        <w:rPr>
          <w:rFonts w:ascii="Times New Roman" w:hAnsi="Times New Roman" w:eastAsia="Times New Roman"/>
          <w:sz w:val="28"/>
          <w:szCs w:val="28"/>
        </w:rPr>
      </w:pPr>
      <w:r>
        <w:rPr>
          <w:rFonts w:ascii="Times New Roman" w:hAnsi="Times New Roman" w:eastAsia="Times New Roman"/>
          <w:sz w:val="28"/>
          <w:szCs w:val="28"/>
        </w:rPr>
        <w:t xml:space="preserve">Отмечается тенденция сокращения количества поступивших                                            заявлений об участии в Государственной программе</w:t>
      </w:r>
      <w:r>
        <w:rPr>
          <w:rFonts w:ascii="Times New Roman" w:hAnsi="Times New Roman" w:eastAsia="Times New Roman"/>
          <w:sz w:val="28"/>
          <w:szCs w:val="28"/>
        </w:rPr>
        <w:t xml:space="preserve"> - 61 (94; -35,1%), из которых 55 (88; -37,5%) поступило в уполномоченные органы за рубежом и 6 (6) - непосредственно в УМВД. Из них 20 человек обратилось с заявлением об участии в Государственной программе в качестве репатрианта (4; +80%), 17 (4; +76,5%) </w:t>
      </w:r>
      <w:r>
        <w:rPr>
          <w:rFonts w:ascii="Times New Roman" w:hAnsi="Times New Roman" w:eastAsia="Times New Roman"/>
          <w:sz w:val="28"/>
          <w:szCs w:val="28"/>
        </w:rPr>
        <w:t xml:space="preserve">из</w:t>
      </w:r>
      <w:r>
        <w:rPr>
          <w:rFonts w:ascii="Times New Roman" w:hAnsi="Times New Roman" w:eastAsia="Times New Roman"/>
          <w:sz w:val="28"/>
          <w:szCs w:val="28"/>
        </w:rPr>
        <w:t xml:space="preserve"> которых обратились в уполномоченные органы за рубежом и 3 - непосредственно в УВМ УМВД.</w:t>
      </w:r>
      <w:r>
        <w:rPr>
          <w:rFonts w:ascii="Times New Roman" w:hAnsi="Times New Roman" w:eastAsia="Times New Roman"/>
          <w:sz w:val="28"/>
          <w:szCs w:val="28"/>
        </w:rPr>
      </w:r>
      <w:r>
        <w:rPr>
          <w:rFonts w:ascii="Times New Roman" w:hAnsi="Times New Roman" w:eastAsia="Times New Roman"/>
          <w:sz w:val="28"/>
          <w:szCs w:val="28"/>
        </w:rPr>
      </w:r>
    </w:p>
    <w:p>
      <w:pPr>
        <w:ind w:firstLine="709"/>
        <w:jc w:val="both"/>
        <w:spacing w:after="0"/>
        <w:rPr>
          <w:rFonts w:ascii="Times New Roman" w:hAnsi="Times New Roman" w:eastAsia="Times New Roman"/>
          <w:sz w:val="28"/>
          <w:szCs w:val="28"/>
        </w:rPr>
      </w:pPr>
      <w:r>
        <w:rPr>
          <w:rFonts w:ascii="Times New Roman" w:hAnsi="Times New Roman" w:eastAsia="Times New Roman"/>
          <w:sz w:val="28"/>
          <w:szCs w:val="28"/>
        </w:rPr>
        <w:t xml:space="preserve">По результатам рассмотрения, приняты решения о предоставлении статуса участника Государственной программы в отношении 45 (73; -38,4%) иностранных граждан и членов их семей, являющихся выходцами </w:t>
      </w:r>
      <w:r>
        <w:rPr>
          <w:rFonts w:ascii="Times New Roman" w:hAnsi="Times New Roman" w:eastAsia="Times New Roman"/>
          <w:sz w:val="28"/>
          <w:szCs w:val="28"/>
        </w:rPr>
        <w:t xml:space="preserve">из</w:t>
      </w:r>
      <w:r>
        <w:rPr>
          <w:rFonts w:ascii="Times New Roman" w:hAnsi="Times New Roman" w:eastAsia="Times New Roman"/>
          <w:sz w:val="28"/>
          <w:szCs w:val="28"/>
        </w:rPr>
        <w:t xml:space="preserve">: </w:t>
      </w:r>
      <w:r>
        <w:rPr>
          <w:rFonts w:ascii="Times New Roman" w:hAnsi="Times New Roman" w:eastAsia="Times New Roman"/>
          <w:sz w:val="28"/>
          <w:szCs w:val="28"/>
        </w:rPr>
        <w:t xml:space="preserve">Армении, Таджикистана, Украины, Киргизии, Молдовы, Узбекистана, Германии, Туркменистана, Латвии, Казахстана, Грузии, Литвы, Эстонии, Финляндии. </w:t>
      </w:r>
      <w:r>
        <w:rPr>
          <w:rFonts w:ascii="Times New Roman" w:hAnsi="Times New Roman" w:eastAsia="Times New Roman"/>
          <w:sz w:val="28"/>
          <w:szCs w:val="28"/>
        </w:rPr>
      </w:r>
      <w:r>
        <w:rPr>
          <w:rFonts w:ascii="Times New Roman" w:hAnsi="Times New Roman" w:eastAsia="Times New Roman"/>
          <w:sz w:val="28"/>
          <w:szCs w:val="28"/>
        </w:rPr>
      </w:r>
    </w:p>
    <w:p>
      <w:pPr>
        <w:ind w:firstLine="709"/>
        <w:jc w:val="both"/>
        <w:spacing w:after="0"/>
        <w:rPr>
          <w:rFonts w:ascii="Times New Roman" w:hAnsi="Times New Roman" w:eastAsia="Times New Roman"/>
          <w:sz w:val="28"/>
          <w:szCs w:val="28"/>
        </w:rPr>
      </w:pPr>
      <w:r>
        <w:rPr>
          <w:rFonts w:ascii="Times New Roman" w:hAnsi="Times New Roman" w:eastAsia="Times New Roman"/>
          <w:sz w:val="28"/>
          <w:szCs w:val="28"/>
        </w:rPr>
        <w:t xml:space="preserve">УМВД оформлены свидетельства участника Государственной программы 19 (8; +57,9%) лицам.</w:t>
      </w:r>
      <w:r>
        <w:rPr>
          <w:rFonts w:ascii="Times New Roman" w:hAnsi="Times New Roman" w:eastAsia="Times New Roman"/>
          <w:sz w:val="28"/>
          <w:szCs w:val="28"/>
        </w:rPr>
      </w:r>
      <w:r>
        <w:rPr>
          <w:rFonts w:ascii="Times New Roman" w:hAnsi="Times New Roman" w:eastAsia="Times New Roman"/>
          <w:sz w:val="28"/>
          <w:szCs w:val="28"/>
        </w:rPr>
      </w:r>
    </w:p>
    <w:p>
      <w:pPr>
        <w:ind w:firstLine="709"/>
        <w:jc w:val="both"/>
        <w:spacing w:after="0"/>
        <w:rPr>
          <w:rFonts w:ascii="Times New Roman" w:hAnsi="Times New Roman" w:eastAsia="Times New Roman"/>
          <w:sz w:val="28"/>
          <w:szCs w:val="28"/>
        </w:rPr>
      </w:pPr>
      <w:r>
        <w:rPr>
          <w:rFonts w:ascii="Times New Roman" w:hAnsi="Times New Roman" w:eastAsia="Times New Roman"/>
          <w:sz w:val="28"/>
          <w:szCs w:val="28"/>
        </w:rPr>
        <w:t xml:space="preserve">Отказано в предоставлении статуса 13 заявителям по причине                                   несоответствия критериям, предъявляемым к участникам.</w:t>
      </w:r>
      <w:r>
        <w:rPr>
          <w:rFonts w:ascii="Times New Roman" w:hAnsi="Times New Roman" w:eastAsia="Times New Roman"/>
          <w:sz w:val="28"/>
          <w:szCs w:val="28"/>
        </w:rPr>
      </w:r>
      <w:r>
        <w:rPr>
          <w:rFonts w:ascii="Times New Roman" w:hAnsi="Times New Roman" w:eastAsia="Times New Roman"/>
          <w:sz w:val="28"/>
          <w:szCs w:val="28"/>
        </w:rPr>
      </w:r>
    </w:p>
    <w:p>
      <w:pPr>
        <w:ind w:firstLine="709"/>
        <w:jc w:val="both"/>
        <w:spacing w:after="0"/>
        <w:rPr>
          <w:rFonts w:ascii="Times New Roman" w:hAnsi="Times New Roman" w:eastAsia="Times New Roman"/>
          <w:sz w:val="28"/>
          <w:szCs w:val="28"/>
        </w:rPr>
      </w:pPr>
      <w:r>
        <w:rPr>
          <w:rFonts w:ascii="Times New Roman" w:hAnsi="Times New Roman" w:eastAsia="Times New Roman"/>
          <w:sz w:val="28"/>
          <w:szCs w:val="28"/>
        </w:rPr>
        <w:t xml:space="preserve">По состоянию на 31.12.2025 на учет в УМВД поставлено 48 (86; </w:t>
      </w:r>
      <w:r>
        <w:rPr>
          <w:rFonts w:ascii="Times New Roman" w:hAnsi="Times New Roman" w:eastAsia="Times New Roman"/>
          <w:sz w:val="28"/>
          <w:szCs w:val="28"/>
        </w:rPr>
        <w:br/>
        <w:t xml:space="preserve">-44%) участников Государственной программы и 70 (136; -48,5%) членов их семей. Из них 13 человек, поставленных на учет в качестве участника Государственной программы, являются репатриантами и 8 - членами их семей.</w:t>
      </w:r>
      <w:r>
        <w:rPr>
          <w:rFonts w:ascii="Times New Roman" w:hAnsi="Times New Roman" w:eastAsia="Times New Roman"/>
          <w:sz w:val="28"/>
          <w:szCs w:val="28"/>
        </w:rPr>
      </w:r>
      <w:r>
        <w:rPr>
          <w:rFonts w:ascii="Times New Roman" w:hAnsi="Times New Roman" w:eastAsia="Times New Roman"/>
          <w:sz w:val="28"/>
          <w:szCs w:val="28"/>
        </w:rPr>
      </w:r>
    </w:p>
    <w:p>
      <w:pPr>
        <w:ind w:firstLine="709"/>
        <w:jc w:val="both"/>
        <w:spacing w:after="0"/>
        <w:rPr>
          <w:rFonts w:ascii="Times New Roman" w:hAnsi="Times New Roman" w:eastAsia="Times New Roman"/>
          <w:sz w:val="28"/>
          <w:szCs w:val="28"/>
        </w:rPr>
      </w:pPr>
      <w:r>
        <w:rPr>
          <w:rFonts w:ascii="Times New Roman" w:hAnsi="Times New Roman" w:eastAsia="Times New Roman"/>
          <w:sz w:val="28"/>
          <w:szCs w:val="28"/>
        </w:rPr>
        <w:t xml:space="preserve">С 26.10.2023 года вступил в силу Федеральный закон от 28.04.2023 г. № 138-ФЗ «О гражданстве Российской Федерации».</w:t>
      </w:r>
      <w:r>
        <w:rPr>
          <w:rFonts w:ascii="Times New Roman" w:hAnsi="Times New Roman" w:eastAsia="Times New Roman"/>
          <w:sz w:val="28"/>
          <w:szCs w:val="28"/>
        </w:rPr>
      </w:r>
      <w:r>
        <w:rPr>
          <w:rFonts w:ascii="Times New Roman" w:hAnsi="Times New Roman" w:eastAsia="Times New Roman"/>
          <w:sz w:val="28"/>
          <w:szCs w:val="28"/>
        </w:rPr>
      </w:r>
    </w:p>
    <w:p>
      <w:pPr>
        <w:ind w:firstLine="709"/>
        <w:jc w:val="both"/>
        <w:spacing w:after="0"/>
        <w:rPr>
          <w:rFonts w:ascii="Times New Roman" w:hAnsi="Times New Roman" w:eastAsia="Times New Roman"/>
          <w:sz w:val="28"/>
          <w:szCs w:val="28"/>
        </w:rPr>
      </w:pPr>
      <w:r>
        <w:rPr>
          <w:rFonts w:ascii="Times New Roman" w:hAnsi="Times New Roman" w:eastAsia="Times New Roman"/>
          <w:sz w:val="28"/>
          <w:szCs w:val="28"/>
        </w:rPr>
        <w:t xml:space="preserve">Действующие нормативные правовые акты сохранили ориентированность на возможность упрощенного приема в российское гражданство выходцев из стран бывшего СССР, родившихся или постоянно проживавши</w:t>
      </w:r>
      <w:r>
        <w:rPr>
          <w:rFonts w:ascii="Times New Roman" w:hAnsi="Times New Roman" w:eastAsia="Times New Roman"/>
          <w:sz w:val="28"/>
          <w:szCs w:val="28"/>
        </w:rPr>
        <w:t xml:space="preserve">х в РСФСР</w:t>
      </w:r>
      <w:r>
        <w:rPr>
          <w:rFonts w:ascii="Times New Roman" w:hAnsi="Times New Roman" w:eastAsia="Times New Roman"/>
          <w:sz w:val="28"/>
          <w:szCs w:val="28"/>
        </w:rPr>
        <w:t xml:space="preserve">, а также заявителей, имеющих близких родственников, состоящих в гражданстве России, или иную правовую связь с Российской Федерацией. При этом</w:t>
      </w:r>
      <w:r>
        <w:rPr>
          <w:rFonts w:ascii="Times New Roman" w:hAnsi="Times New Roman" w:eastAsia="Times New Roman"/>
          <w:sz w:val="28"/>
          <w:szCs w:val="28"/>
        </w:rPr>
        <w:t xml:space="preserve">,</w:t>
      </w:r>
      <w:r>
        <w:rPr>
          <w:rFonts w:ascii="Times New Roman" w:hAnsi="Times New Roman" w:eastAsia="Times New Roman"/>
          <w:sz w:val="28"/>
          <w:szCs w:val="28"/>
        </w:rPr>
        <w:t xml:space="preserve"> в целях повышения эффективности противодействия угрозам национальной и общественной безопасности </w:t>
      </w:r>
      <w:r>
        <w:rPr>
          <w:rFonts w:ascii="Times New Roman" w:hAnsi="Times New Roman" w:eastAsia="Times New Roman"/>
          <w:sz w:val="28"/>
          <w:szCs w:val="28"/>
        </w:rPr>
        <w:t xml:space="preserve">Российской Федерации введен институт прекращения российского гражданства, механизмы которого распространены также на лиц, приобретших его в результате признания гражданином Российской Федерации на основании федеральных конституционных законов.</w:t>
      </w:r>
      <w:r>
        <w:rPr>
          <w:rFonts w:ascii="Times New Roman" w:hAnsi="Times New Roman" w:eastAsia="Times New Roman"/>
          <w:sz w:val="28"/>
          <w:szCs w:val="28"/>
        </w:rPr>
      </w:r>
      <w:r>
        <w:rPr>
          <w:rFonts w:ascii="Times New Roman" w:hAnsi="Times New Roman" w:eastAsia="Times New Roman"/>
          <w:sz w:val="28"/>
          <w:szCs w:val="28"/>
        </w:rPr>
      </w:r>
    </w:p>
    <w:p>
      <w:pPr>
        <w:ind w:firstLine="709"/>
        <w:jc w:val="both"/>
        <w:spacing w:after="0"/>
        <w:rPr>
          <w:rFonts w:ascii="Times New Roman" w:hAnsi="Times New Roman" w:eastAsia="Times New Roman"/>
          <w:sz w:val="28"/>
          <w:szCs w:val="28"/>
        </w:rPr>
      </w:pPr>
      <w:r>
        <w:rPr>
          <w:rFonts w:ascii="Times New Roman" w:hAnsi="Times New Roman" w:eastAsia="Times New Roman"/>
          <w:sz w:val="28"/>
          <w:szCs w:val="28"/>
        </w:rPr>
        <w:t xml:space="preserve">В 2025 году поступило 1586 (2149; -26,2%) заявлений иностранных граждан об изменении гражданства, по результатам которых принято 1493 (2072; -27,9%) решения о приеме (восстановлении) в гражданство Российской Федерации.</w:t>
      </w:r>
      <w:r>
        <w:rPr>
          <w:rFonts w:ascii="Times New Roman" w:hAnsi="Times New Roman" w:eastAsia="Times New Roman"/>
          <w:sz w:val="28"/>
          <w:szCs w:val="28"/>
        </w:rPr>
      </w:r>
      <w:r>
        <w:rPr>
          <w:rFonts w:ascii="Times New Roman" w:hAnsi="Times New Roman" w:eastAsia="Times New Roman"/>
          <w:sz w:val="28"/>
          <w:szCs w:val="28"/>
        </w:rPr>
      </w:r>
    </w:p>
    <w:p>
      <w:pPr>
        <w:ind w:firstLine="709"/>
        <w:jc w:val="both"/>
        <w:spacing w:after="0"/>
        <w:rPr>
          <w:rFonts w:ascii="Times New Roman" w:hAnsi="Times New Roman" w:eastAsia="Times New Roman"/>
          <w:color w:val="000000" w:themeColor="text1"/>
          <w:sz w:val="28"/>
          <w:szCs w:val="28"/>
        </w:rPr>
      </w:pPr>
      <w:r>
        <w:rPr>
          <w:rFonts w:ascii="Times New Roman" w:hAnsi="Times New Roman" w:eastAsia="Times New Roman"/>
          <w:sz w:val="28"/>
          <w:szCs w:val="28"/>
        </w:rPr>
        <w:t xml:space="preserve">По итогам 2025 год</w:t>
      </w:r>
      <w:r>
        <w:rPr>
          <w:rFonts w:ascii="Times New Roman" w:hAnsi="Times New Roman" w:eastAsia="Times New Roman"/>
          <w:color w:val="000000" w:themeColor="text1"/>
          <w:sz w:val="28"/>
          <w:szCs w:val="28"/>
        </w:rPr>
        <w:t xml:space="preserve">а отмеча</w:t>
      </w:r>
      <w:r>
        <w:rPr>
          <w:rFonts w:ascii="Times New Roman" w:hAnsi="Times New Roman" w:eastAsia="Times New Roman"/>
          <w:color w:val="000000" w:themeColor="text1"/>
          <w:sz w:val="28"/>
          <w:szCs w:val="28"/>
        </w:rPr>
        <w:t xml:space="preserve">ется незначительное увеличение (+0,7%) общего количества оказанных государственных услуг в сфере миграции, составившее 257 459 (255 496), из которых 87 655 предоставлено через МФЦ            (106 271; -17,5%) и 48 917 (39 830;+ 22,8%) - в электронном виде.</w:t>
      </w:r>
      <w:r>
        <w:rPr>
          <w:rFonts w:ascii="Times New Roman" w:hAnsi="Times New Roman" w:eastAsia="Times New Roman"/>
          <w:color w:val="000000" w:themeColor="text1"/>
          <w:sz w:val="28"/>
          <w:szCs w:val="28"/>
        </w:rPr>
      </w:r>
      <w:r>
        <w:rPr>
          <w:rFonts w:ascii="Times New Roman" w:hAnsi="Times New Roman" w:eastAsia="Times New Roman"/>
          <w:color w:val="000000" w:themeColor="text1"/>
          <w:sz w:val="28"/>
          <w:szCs w:val="28"/>
        </w:rPr>
      </w:r>
    </w:p>
    <w:p>
      <w:pPr>
        <w:ind w:firstLine="709"/>
        <w:jc w:val="both"/>
        <w:spacing w:after="0"/>
        <w:rPr>
          <w:rFonts w:ascii="Times New Roman" w:hAnsi="Times New Roman" w:eastAsia="Times New Roman"/>
          <w:color w:val="000000" w:themeColor="text1"/>
          <w:sz w:val="28"/>
          <w:szCs w:val="28"/>
          <w:highlight w:val="none"/>
        </w:rPr>
      </w:pPr>
      <w:r>
        <w:rPr>
          <w:rFonts w:ascii="Times New Roman" w:hAnsi="Times New Roman" w:eastAsia="Times New Roman"/>
          <w:color w:val="000000" w:themeColor="text1"/>
          <w:sz w:val="28"/>
          <w:szCs w:val="28"/>
        </w:rPr>
        <w:t xml:space="preserve">Наиболее востребованными государственными услугами в сфере мигра</w:t>
      </w:r>
      <w:r>
        <w:rPr>
          <w:rFonts w:ascii="Times New Roman" w:hAnsi="Times New Roman" w:eastAsia="Times New Roman"/>
          <w:color w:val="000000" w:themeColor="text1"/>
          <w:sz w:val="28"/>
          <w:szCs w:val="28"/>
        </w:rPr>
        <w:t xml:space="preserve">ции являются: осуществление регистрационного учета граждан Российской Федерации (83 682), осуществление миграционного учета иностранных граждан и ЛБГ (86 532), оформление внутреннего (40 068)                                и заграничного паспорта (21 740).</w:t>
      </w:r>
      <w:r>
        <w:rPr>
          <w:rFonts w:ascii="Times New Roman" w:hAnsi="Times New Roman" w:eastAsia="Times New Roman"/>
          <w:color w:val="000000" w:themeColor="text1"/>
          <w:sz w:val="28"/>
          <w:szCs w:val="28"/>
        </w:rPr>
        <w:t xml:space="preserve"> Необходимо отметить адресную работу руководства Управления миграции по оказанию действенной помощи в разрешении проблем заявителей, тактичность  и оперативность.</w:t>
      </w:r>
      <w:r>
        <w:rPr>
          <w:rFonts w:ascii="Times New Roman" w:hAnsi="Times New Roman" w:eastAsia="Times New Roman"/>
          <w:color w:val="000000" w:themeColor="text1"/>
          <w:sz w:val="28"/>
          <w:szCs w:val="28"/>
          <w:highlight w:val="none"/>
        </w:rPr>
      </w:r>
      <w:r>
        <w:rPr>
          <w:rFonts w:ascii="Times New Roman" w:hAnsi="Times New Roman" w:eastAsia="Times New Roman"/>
          <w:color w:val="000000" w:themeColor="text1"/>
          <w:sz w:val="28"/>
          <w:szCs w:val="28"/>
          <w:highlight w:val="none"/>
        </w:rPr>
      </w:r>
    </w:p>
    <w:p>
      <w:pPr>
        <w:ind w:firstLine="709"/>
        <w:jc w:val="both"/>
        <w:spacing w:after="0"/>
        <w:rPr>
          <w:rFonts w:ascii="Times New Roman" w:hAnsi="Times New Roman" w:eastAsia="Times New Roman"/>
          <w:color w:val="000000" w:themeColor="text1"/>
          <w:sz w:val="28"/>
          <w:szCs w:val="28"/>
        </w:rPr>
      </w:pPr>
      <w:r>
        <w:rPr>
          <w:rFonts w:ascii="Times New Roman" w:hAnsi="Times New Roman" w:eastAsia="Times New Roman"/>
          <w:color w:val="000000" w:themeColor="text1"/>
          <w:sz w:val="28"/>
          <w:szCs w:val="28"/>
        </w:rPr>
      </w:r>
      <w:r>
        <w:rPr>
          <w:rFonts w:ascii="Times New Roman" w:hAnsi="Times New Roman" w:eastAsia="Times New Roman"/>
          <w:color w:val="000000" w:themeColor="text1"/>
          <w:sz w:val="28"/>
          <w:szCs w:val="28"/>
        </w:rPr>
      </w:r>
      <w:r>
        <w:rPr>
          <w:rFonts w:ascii="Times New Roman" w:hAnsi="Times New Roman" w:eastAsia="Times New Roman"/>
          <w:color w:val="000000" w:themeColor="text1"/>
          <w:sz w:val="28"/>
          <w:szCs w:val="28"/>
        </w:rPr>
      </w:r>
    </w:p>
    <w:p>
      <w:pPr>
        <w:ind w:firstLine="709"/>
        <w:jc w:val="both"/>
        <w:spacing w:after="0"/>
      </w:pPr>
      <w:r>
        <w:rPr>
          <w:rFonts w:ascii="Times New Roman" w:hAnsi="Times New Roman" w:eastAsia="Times New Roman"/>
          <w:color w:val="000000" w:themeColor="text1"/>
          <w:sz w:val="28"/>
          <w:szCs w:val="28"/>
        </w:rPr>
        <w:t xml:space="preserve">Оперативная о</w:t>
      </w:r>
      <w:r>
        <w:rPr>
          <w:rFonts w:ascii="Times New Roman" w:hAnsi="Times New Roman" w:eastAsia="Times New Roman"/>
          <w:color w:val="000000" w:themeColor="text1"/>
          <w:sz w:val="28"/>
          <w:szCs w:val="28"/>
        </w:rPr>
        <w:t xml:space="preserve">бстановка на территории Ивановской области за 2025 год характеризуется снижением общего количества зарегистрированных преступлений, совершенных с использованием информационно-коммуникационных технологий на 13,1% (с 4352 до 3781), из которых 2491 (65,9%) - </w:t>
      </w:r>
      <w:r>
        <w:rPr>
          <w:rFonts w:ascii="Times New Roman" w:hAnsi="Times New Roman" w:eastAsia="Times New Roman"/>
          <w:color w:val="000000" w:themeColor="text1"/>
          <w:sz w:val="28"/>
          <w:szCs w:val="28"/>
        </w:rPr>
        <w:t xml:space="preserve">киберхищения</w:t>
      </w:r>
      <w:r>
        <w:rPr>
          <w:rFonts w:ascii="Times New Roman" w:hAnsi="Times New Roman" w:eastAsia="Times New Roman"/>
          <w:color w:val="000000" w:themeColor="text1"/>
          <w:sz w:val="28"/>
          <w:szCs w:val="28"/>
        </w:rPr>
        <w:t xml:space="preserve">. Расследовано 1124 (-8,2%) уголовных дела, приостановлено - 2633 (-14,6%), удельный вес расследованных уголовных дел увеличился с 28,4% до 29,9%.</w:t>
      </w:r>
      <w:r/>
    </w:p>
    <w:p>
      <w:pPr>
        <w:ind w:firstLine="709"/>
        <w:jc w:val="both"/>
        <w:spacing w:after="0"/>
      </w:pPr>
      <w:r>
        <w:rPr>
          <w:rFonts w:ascii="Times New Roman" w:hAnsi="Times New Roman" w:eastAsia="Times New Roman"/>
          <w:color w:val="000000" w:themeColor="text1"/>
          <w:sz w:val="28"/>
          <w:szCs w:val="28"/>
        </w:rPr>
        <w:t xml:space="preserve">Из 2491 зарегистрированного факта </w:t>
      </w:r>
      <w:r>
        <w:rPr>
          <w:rFonts w:ascii="Times New Roman" w:hAnsi="Times New Roman" w:eastAsia="Times New Roman"/>
          <w:color w:val="000000" w:themeColor="text1"/>
          <w:sz w:val="28"/>
          <w:szCs w:val="28"/>
        </w:rPr>
        <w:t xml:space="preserve">киберхищений</w:t>
      </w:r>
      <w:r>
        <w:rPr>
          <w:rFonts w:ascii="Times New Roman" w:hAnsi="Times New Roman" w:eastAsia="Times New Roman"/>
          <w:color w:val="000000" w:themeColor="text1"/>
          <w:sz w:val="28"/>
          <w:szCs w:val="28"/>
        </w:rPr>
        <w:t xml:space="preserve">: мошенничеств - 1868 (-11,6%) и краж - 617 (-15,8%), удельный вес расследованных уголовных дел увеличился: мошенничеств - с 6,7% до 7%, краж - с 42,2% до 43,4%.</w:t>
      </w:r>
      <w:r/>
    </w:p>
    <w:p>
      <w:pPr>
        <w:ind w:firstLine="709"/>
        <w:jc w:val="both"/>
        <w:spacing w:after="0"/>
      </w:pPr>
      <w:r>
        <w:rPr>
          <w:rFonts w:ascii="Times New Roman" w:hAnsi="Times New Roman" w:eastAsia="Times New Roman"/>
          <w:color w:val="000000" w:themeColor="text1"/>
          <w:sz w:val="28"/>
          <w:szCs w:val="28"/>
        </w:rPr>
        <w:t xml:space="preserve">Число выявленных сотрудниками органов внутренних дел Ивановской области лиц по преступлениям, совершенным с использованием ИКТ, или в сфере компьютерной информации, составило 501 (АППГ - 605). </w:t>
      </w:r>
      <w:r/>
    </w:p>
    <w:p>
      <w:pPr>
        <w:ind w:firstLine="709"/>
        <w:jc w:val="both"/>
        <w:spacing w:after="0"/>
      </w:pPr>
      <w:r>
        <w:rPr>
          <w:rFonts w:ascii="Times New Roman" w:hAnsi="Times New Roman" w:eastAsia="Times New Roman"/>
          <w:color w:val="000000" w:themeColor="text1"/>
          <w:sz w:val="28"/>
          <w:szCs w:val="28"/>
        </w:rPr>
        <w:t xml:space="preserve">В общей структуре зарегистрированных </w:t>
      </w:r>
      <w:r>
        <w:rPr>
          <w:rFonts w:ascii="Times New Roman" w:hAnsi="Times New Roman" w:eastAsia="Times New Roman"/>
          <w:color w:val="000000" w:themeColor="text1"/>
          <w:sz w:val="28"/>
          <w:szCs w:val="28"/>
        </w:rPr>
        <w:t xml:space="preserve">киберпреступлений</w:t>
      </w:r>
      <w:r>
        <w:rPr>
          <w:rFonts w:ascii="Times New Roman" w:hAnsi="Times New Roman" w:eastAsia="Times New Roman"/>
          <w:color w:val="000000" w:themeColor="text1"/>
          <w:sz w:val="28"/>
          <w:szCs w:val="28"/>
        </w:rPr>
        <w:t xml:space="preserve">: 1868 (АППГ - 2114) - мошенничество (ст. 159 УК РФ), 617 (АППГ - 733) - кража с банковского счета,</w:t>
      </w:r>
      <w:r>
        <w:rPr>
          <w:rFonts w:ascii="Times New Roman" w:hAnsi="Times New Roman" w:eastAsia="Times New Roman"/>
          <w:color w:val="000000" w:themeColor="text1"/>
          <w:sz w:val="28"/>
          <w:szCs w:val="28"/>
        </w:rPr>
        <w:t xml:space="preserve"> а равно в отношении электронных денежных средств (п. «г» ч. 3, ч. 4 ст. 158 УК РФ), 266 (АППГ - 372) - неправомерный доступ к компьютерной информации (ст. 272 УК РФ), 169 (АППГ - 98) – экономической направленности, 20 (АППГ - 34) - вымогательство (ст. 163</w:t>
      </w:r>
      <w:r>
        <w:rPr>
          <w:rFonts w:ascii="Times New Roman" w:hAnsi="Times New Roman" w:eastAsia="Times New Roman"/>
          <w:color w:val="000000" w:themeColor="text1"/>
          <w:sz w:val="28"/>
          <w:szCs w:val="28"/>
        </w:rPr>
        <w:t xml:space="preserve"> </w:t>
      </w:r>
      <w:r>
        <w:rPr>
          <w:rFonts w:ascii="Times New Roman" w:hAnsi="Times New Roman" w:eastAsia="Times New Roman"/>
          <w:color w:val="000000" w:themeColor="text1"/>
          <w:sz w:val="28"/>
          <w:szCs w:val="28"/>
        </w:rPr>
        <w:t xml:space="preserve">УК РФ).</w:t>
      </w:r>
      <w:r/>
    </w:p>
    <w:p>
      <w:pPr>
        <w:ind w:firstLine="709"/>
        <w:jc w:val="both"/>
        <w:spacing w:after="0"/>
      </w:pPr>
      <w:r>
        <w:rPr>
          <w:rFonts w:ascii="Times New Roman" w:hAnsi="Times New Roman" w:eastAsia="Times New Roman"/>
          <w:color w:val="000000" w:themeColor="text1"/>
          <w:sz w:val="28"/>
          <w:szCs w:val="28"/>
        </w:rPr>
        <w:t xml:space="preserve">Анализ преступлений, совершенных на территории Ивановской области, показал, что основными способами совершения </w:t>
      </w:r>
      <w:r>
        <w:rPr>
          <w:rFonts w:ascii="Times New Roman" w:hAnsi="Times New Roman" w:eastAsia="Times New Roman"/>
          <w:color w:val="000000" w:themeColor="text1"/>
          <w:sz w:val="28"/>
          <w:szCs w:val="28"/>
        </w:rPr>
        <w:t xml:space="preserve">киберхищений</w:t>
      </w:r>
      <w:r>
        <w:rPr>
          <w:rFonts w:ascii="Times New Roman" w:hAnsi="Times New Roman" w:eastAsia="Times New Roman"/>
          <w:color w:val="000000" w:themeColor="text1"/>
          <w:sz w:val="28"/>
          <w:szCs w:val="28"/>
        </w:rPr>
        <w:t xml:space="preserve"> в отчетном периоде являются: звонки лиц под разными</w:t>
      </w:r>
      <w:r>
        <w:rPr>
          <w:rFonts w:ascii="Times New Roman" w:hAnsi="Times New Roman" w:eastAsia="Times New Roman"/>
          <w:color w:val="000000" w:themeColor="text1"/>
          <w:sz w:val="28"/>
          <w:szCs w:val="28"/>
        </w:rPr>
        <w:t xml:space="preserve"> предлогами, в дальнейшем перевод денежных средств на безопасный счет – 31%; обман потерпевшего при совершении в сети «Интернет» сделок купли-продажи – 17%; неправомерное завладение банковской картой – 17%; оформление кредитов дистанционным способом – 13%;</w:t>
      </w:r>
      <w:r>
        <w:rPr>
          <w:rFonts w:ascii="Times New Roman" w:hAnsi="Times New Roman" w:eastAsia="Times New Roman"/>
          <w:color w:val="000000" w:themeColor="text1"/>
          <w:sz w:val="28"/>
          <w:szCs w:val="28"/>
        </w:rPr>
        <w:t xml:space="preserve"> </w:t>
      </w:r>
      <w:r>
        <w:rPr>
          <w:rFonts w:ascii="Times New Roman" w:hAnsi="Times New Roman" w:eastAsia="Times New Roman"/>
          <w:color w:val="000000" w:themeColor="text1"/>
          <w:sz w:val="28"/>
          <w:szCs w:val="28"/>
        </w:rPr>
        <w:t xml:space="preserve">завладение денежными средствами потерпевшего, играющего на электронных биржах, делающего ставки – 7%; обман потерпевшего под предлогом заработка дистанционным способом в сети «Интернет» – 7%; знакомство в сети интернет, пред</w:t>
      </w:r>
      <w:r>
        <w:rPr>
          <w:rFonts w:ascii="Times New Roman" w:hAnsi="Times New Roman" w:eastAsia="Times New Roman"/>
          <w:color w:val="000000" w:themeColor="text1"/>
          <w:sz w:val="28"/>
          <w:szCs w:val="28"/>
        </w:rPr>
        <w:t xml:space="preserve">оставление поддельной ссылки на оплату билетов в театр, кино – 2%; завладение денежными средствами потерпевшего под предлогом оказания интим услуг – 1%; вымогательство денежных средств под угрозой распространения различной компрометирующей информации – 1%;</w:t>
      </w:r>
      <w:r>
        <w:rPr>
          <w:rFonts w:ascii="Times New Roman" w:hAnsi="Times New Roman" w:eastAsia="Times New Roman"/>
          <w:color w:val="000000" w:themeColor="text1"/>
          <w:sz w:val="28"/>
          <w:szCs w:val="28"/>
        </w:rPr>
        <w:t xml:space="preserve"> иное – 4%.</w:t>
      </w:r>
      <w:r/>
    </w:p>
    <w:p>
      <w:pPr>
        <w:ind w:firstLine="709"/>
        <w:jc w:val="both"/>
        <w:spacing w:after="0"/>
      </w:pPr>
      <w:r>
        <w:rPr>
          <w:rFonts w:ascii="Times New Roman" w:hAnsi="Times New Roman" w:eastAsia="Times New Roman"/>
          <w:color w:val="000000" w:themeColor="text1"/>
          <w:sz w:val="28"/>
          <w:szCs w:val="28"/>
        </w:rPr>
        <w:t xml:space="preserve">Руководством УМВД в 2025 году в целях стабилизации оперативной обстановки и повышения результативности работы по раскрытию и расследованию преступлений, совершаемых с использованием ИКТ, принимались следующие меры:</w:t>
      </w:r>
      <w:r/>
    </w:p>
    <w:p>
      <w:pPr>
        <w:pStyle w:val="1227"/>
        <w:numPr>
          <w:ilvl w:val="0"/>
          <w:numId w:val="67"/>
        </w:numPr>
        <w:ind w:left="0" w:firstLine="709"/>
        <w:jc w:val="both"/>
        <w:spacing w:line="276" w:lineRule="auto"/>
        <w:rPr>
          <w:lang w:val="ru-RU"/>
        </w:rPr>
      </w:pPr>
      <w:r>
        <w:rPr>
          <w:rFonts w:ascii="Times New Roman" w:hAnsi="Times New Roman" w:eastAsia="Times New Roman"/>
          <w:color w:val="000000" w:themeColor="text1"/>
          <w:sz w:val="28"/>
          <w:szCs w:val="28"/>
          <w:lang w:val="ru-RU"/>
        </w:rPr>
        <w:t xml:space="preserve">проведены</w:t>
      </w:r>
      <w:r>
        <w:rPr>
          <w:rFonts w:ascii="Times New Roman" w:hAnsi="Times New Roman" w:eastAsia="Times New Roman"/>
          <w:color w:val="000000" w:themeColor="text1"/>
          <w:sz w:val="28"/>
          <w:szCs w:val="28"/>
          <w:lang w:val="ru-RU"/>
        </w:rPr>
        <w:t xml:space="preserve"> комплекс оперативно-розыскных мероприятий, направленных на предупреждение и выявление преступлений, связанных с хищениями, совершаемыми с использованием ИКТ;</w:t>
      </w:r>
      <w:r>
        <w:rPr>
          <w:lang w:val="ru-RU"/>
        </w:rPr>
      </w:r>
      <w:r>
        <w:rPr>
          <w:lang w:val="ru-RU"/>
        </w:rPr>
      </w:r>
    </w:p>
    <w:p>
      <w:pPr>
        <w:pStyle w:val="1227"/>
        <w:numPr>
          <w:ilvl w:val="0"/>
          <w:numId w:val="67"/>
        </w:numPr>
        <w:ind w:left="0" w:firstLine="709"/>
        <w:jc w:val="both"/>
        <w:spacing w:line="276" w:lineRule="auto"/>
        <w:rPr>
          <w:lang w:val="ru-RU"/>
        </w:rPr>
      </w:pPr>
      <w:r>
        <w:rPr>
          <w:rFonts w:ascii="Times New Roman" w:hAnsi="Times New Roman" w:eastAsia="Times New Roman"/>
          <w:color w:val="000000" w:themeColor="text1"/>
          <w:sz w:val="28"/>
          <w:szCs w:val="28"/>
          <w:lang w:val="ru-RU"/>
        </w:rPr>
        <w:t xml:space="preserve">организовано участие сотрудников УМВД в учебных семинарах по использованию сервиса «ВТБ </w:t>
      </w:r>
      <w:r>
        <w:rPr>
          <w:rFonts w:ascii="Times New Roman" w:hAnsi="Times New Roman" w:eastAsia="Times New Roman"/>
          <w:color w:val="000000" w:themeColor="text1"/>
          <w:sz w:val="28"/>
          <w:szCs w:val="28"/>
          <w:lang w:val="ru-RU"/>
        </w:rPr>
        <w:t xml:space="preserve">Бизнес-онлайн</w:t>
      </w:r>
      <w:r>
        <w:rPr>
          <w:rFonts w:ascii="Times New Roman" w:hAnsi="Times New Roman" w:eastAsia="Times New Roman"/>
          <w:color w:val="000000" w:themeColor="text1"/>
          <w:sz w:val="28"/>
          <w:szCs w:val="28"/>
          <w:lang w:val="ru-RU"/>
        </w:rPr>
        <w:t xml:space="preserve">» (20.02.2025), с представителями ПАО Сбербанк (28.02.2025), с представителями Центрального Банка (14.05.2025, 26.06.2025, 02.07.2025, 16.09.2025);</w:t>
      </w:r>
      <w:r>
        <w:rPr>
          <w:lang w:val="ru-RU"/>
        </w:rPr>
      </w:r>
      <w:r>
        <w:rPr>
          <w:lang w:val="ru-RU"/>
        </w:rPr>
      </w:r>
    </w:p>
    <w:p>
      <w:pPr>
        <w:pStyle w:val="1227"/>
        <w:numPr>
          <w:ilvl w:val="0"/>
          <w:numId w:val="67"/>
        </w:numPr>
        <w:ind w:left="0" w:firstLine="709"/>
        <w:jc w:val="both"/>
        <w:spacing w:line="276" w:lineRule="auto"/>
      </w:pPr>
      <w:r>
        <w:rPr>
          <w:rFonts w:ascii="Times New Roman" w:hAnsi="Times New Roman" w:eastAsia="Times New Roman"/>
          <w:color w:val="000000" w:themeColor="text1"/>
          <w:sz w:val="28"/>
          <w:szCs w:val="28"/>
          <w:lang w:val="ru-RU"/>
        </w:rPr>
        <w:t xml:space="preserve">продолжает функционировать подсистема ИБД-Ф «Дис</w:t>
      </w:r>
      <w:r>
        <w:rPr>
          <w:rFonts w:ascii="Times New Roman" w:hAnsi="Times New Roman" w:eastAsia="Times New Roman"/>
          <w:color w:val="000000" w:themeColor="text1"/>
          <w:sz w:val="28"/>
          <w:szCs w:val="28"/>
          <w:lang w:val="ru-RU"/>
        </w:rPr>
        <w:t xml:space="preserve">танционное мошенничество», позволяющая учитывать и анализировать совершенные преступления, определять их серийность и совпадения с преступлениями в других регионах РФ. В настоящее время в данную подсистему внесены изменения позволяющие учитывать не только </w:t>
      </w:r>
      <w:r>
        <w:rPr>
          <w:rFonts w:ascii="Times New Roman" w:hAnsi="Times New Roman" w:eastAsia="Times New Roman"/>
          <w:color w:val="000000" w:themeColor="text1"/>
          <w:sz w:val="28"/>
          <w:szCs w:val="28"/>
          <w:lang w:val="ru-RU"/>
        </w:rPr>
        <w:t xml:space="preserve">киберхищения</w:t>
      </w:r>
      <w:r>
        <w:rPr>
          <w:rFonts w:ascii="Times New Roman" w:hAnsi="Times New Roman" w:eastAsia="Times New Roman"/>
          <w:color w:val="000000" w:themeColor="text1"/>
          <w:sz w:val="28"/>
          <w:szCs w:val="28"/>
          <w:lang w:val="ru-RU"/>
        </w:rPr>
        <w:t xml:space="preserve">, а также </w:t>
      </w:r>
      <w:r>
        <w:rPr>
          <w:rFonts w:ascii="Times New Roman" w:hAnsi="Times New Roman" w:eastAsia="Times New Roman"/>
          <w:color w:val="000000" w:themeColor="text1"/>
          <w:sz w:val="28"/>
          <w:szCs w:val="28"/>
          <w:lang w:val="ru-RU"/>
        </w:rPr>
        <w:t xml:space="preserve">преступления</w:t>
      </w:r>
      <w:r>
        <w:rPr>
          <w:rFonts w:ascii="Times New Roman" w:hAnsi="Times New Roman" w:eastAsia="Times New Roman"/>
          <w:color w:val="000000" w:themeColor="text1"/>
          <w:sz w:val="28"/>
          <w:szCs w:val="28"/>
          <w:lang w:val="ru-RU"/>
        </w:rPr>
        <w:t xml:space="preserve"> предусмотренные ст.ст. 205, 207, 272 и 273 УК РФ. </w:t>
      </w:r>
      <w:r>
        <w:rPr>
          <w:rFonts w:ascii="Times New Roman" w:hAnsi="Times New Roman" w:eastAsia="Times New Roman"/>
          <w:color w:val="000000" w:themeColor="text1"/>
          <w:sz w:val="28"/>
          <w:szCs w:val="28"/>
        </w:rPr>
        <w:t xml:space="preserve">В </w:t>
      </w:r>
      <w:r>
        <w:rPr>
          <w:rFonts w:ascii="Times New Roman" w:hAnsi="Times New Roman" w:eastAsia="Times New Roman"/>
          <w:color w:val="000000" w:themeColor="text1"/>
          <w:sz w:val="28"/>
          <w:szCs w:val="28"/>
        </w:rPr>
        <w:t xml:space="preserve">подсистему</w:t>
      </w:r>
      <w:r>
        <w:rPr>
          <w:rFonts w:ascii="Times New Roman" w:hAnsi="Times New Roman" w:eastAsia="Times New Roman"/>
          <w:color w:val="000000" w:themeColor="text1"/>
          <w:sz w:val="28"/>
          <w:szCs w:val="28"/>
        </w:rPr>
        <w:t xml:space="preserve"> </w:t>
      </w:r>
      <w:r>
        <w:rPr>
          <w:rFonts w:ascii="Times New Roman" w:hAnsi="Times New Roman" w:eastAsia="Times New Roman"/>
          <w:color w:val="000000" w:themeColor="text1"/>
          <w:sz w:val="28"/>
          <w:szCs w:val="28"/>
        </w:rPr>
        <w:t xml:space="preserve">внесена</w:t>
      </w:r>
      <w:r>
        <w:rPr>
          <w:rFonts w:ascii="Times New Roman" w:hAnsi="Times New Roman" w:eastAsia="Times New Roman"/>
          <w:color w:val="000000" w:themeColor="text1"/>
          <w:sz w:val="28"/>
          <w:szCs w:val="28"/>
        </w:rPr>
        <w:t xml:space="preserve"> </w:t>
      </w:r>
      <w:r>
        <w:rPr>
          <w:rFonts w:ascii="Times New Roman" w:hAnsi="Times New Roman" w:eastAsia="Times New Roman"/>
          <w:color w:val="000000" w:themeColor="text1"/>
          <w:sz w:val="28"/>
          <w:szCs w:val="28"/>
        </w:rPr>
        <w:t xml:space="preserve">информация</w:t>
      </w:r>
      <w:r>
        <w:rPr>
          <w:rFonts w:ascii="Times New Roman" w:hAnsi="Times New Roman" w:eastAsia="Times New Roman"/>
          <w:color w:val="000000" w:themeColor="text1"/>
          <w:sz w:val="28"/>
          <w:szCs w:val="28"/>
        </w:rPr>
        <w:t xml:space="preserve"> </w:t>
      </w:r>
      <w:r>
        <w:rPr>
          <w:rFonts w:ascii="Times New Roman" w:hAnsi="Times New Roman" w:eastAsia="Times New Roman"/>
          <w:color w:val="000000" w:themeColor="text1"/>
          <w:sz w:val="28"/>
          <w:szCs w:val="28"/>
        </w:rPr>
        <w:t xml:space="preserve">по</w:t>
      </w:r>
      <w:r>
        <w:rPr>
          <w:rFonts w:ascii="Times New Roman" w:hAnsi="Times New Roman" w:eastAsia="Times New Roman"/>
          <w:color w:val="000000" w:themeColor="text1"/>
          <w:sz w:val="28"/>
          <w:szCs w:val="28"/>
        </w:rPr>
        <w:t xml:space="preserve"> 19</w:t>
      </w:r>
      <w:r>
        <w:rPr>
          <w:rFonts w:ascii="Times New Roman" w:hAnsi="Times New Roman" w:eastAsia="Times New Roman"/>
          <w:color w:val="000000" w:themeColor="text1"/>
          <w:sz w:val="28"/>
          <w:szCs w:val="28"/>
        </w:rPr>
        <w:t xml:space="preserve"> </w:t>
      </w:r>
      <w:r>
        <w:rPr>
          <w:rFonts w:ascii="Times New Roman" w:hAnsi="Times New Roman" w:eastAsia="Times New Roman"/>
          <w:color w:val="000000" w:themeColor="text1"/>
          <w:sz w:val="28"/>
          <w:szCs w:val="28"/>
        </w:rPr>
        <w:t xml:space="preserve">105 </w:t>
      </w:r>
      <w:r>
        <w:rPr>
          <w:rFonts w:ascii="Times New Roman" w:hAnsi="Times New Roman" w:eastAsia="Times New Roman"/>
          <w:color w:val="000000" w:themeColor="text1"/>
          <w:sz w:val="28"/>
          <w:szCs w:val="28"/>
        </w:rPr>
        <w:t xml:space="preserve">преступлениям</w:t>
      </w:r>
      <w:r>
        <w:rPr>
          <w:rFonts w:ascii="Times New Roman" w:hAnsi="Times New Roman" w:eastAsia="Times New Roman"/>
          <w:color w:val="000000" w:themeColor="text1"/>
          <w:sz w:val="28"/>
          <w:szCs w:val="28"/>
        </w:rPr>
        <w:t xml:space="preserve">;</w:t>
      </w:r>
      <w:r/>
    </w:p>
    <w:p>
      <w:pPr>
        <w:pStyle w:val="1227"/>
        <w:numPr>
          <w:ilvl w:val="0"/>
          <w:numId w:val="67"/>
        </w:numPr>
        <w:ind w:left="0" w:firstLine="709"/>
        <w:jc w:val="both"/>
        <w:spacing w:line="276" w:lineRule="auto"/>
        <w:rPr>
          <w:lang w:val="ru-RU"/>
        </w:rPr>
      </w:pPr>
      <w:r>
        <w:rPr>
          <w:rFonts w:ascii="Times New Roman" w:hAnsi="Times New Roman" w:eastAsia="Times New Roman"/>
          <w:color w:val="000000" w:themeColor="text1"/>
          <w:sz w:val="28"/>
          <w:szCs w:val="28"/>
          <w:lang w:val="ru-RU"/>
        </w:rPr>
        <w:t xml:space="preserve">осуществляется ежедневный анализ информационного взаимодействия территориальных органов с Центральным банком посредством модуля подсистемы «Дистанционное мошенничество» «</w:t>
      </w:r>
      <w:r>
        <w:rPr>
          <w:rFonts w:ascii="Times New Roman" w:hAnsi="Times New Roman" w:eastAsia="Times New Roman"/>
          <w:color w:val="000000" w:themeColor="text1"/>
          <w:sz w:val="28"/>
          <w:szCs w:val="28"/>
          <w:lang w:val="ru-RU"/>
        </w:rPr>
        <w:t xml:space="preserve">Финцерт</w:t>
      </w:r>
      <w:r>
        <w:rPr>
          <w:rFonts w:ascii="Times New Roman" w:hAnsi="Times New Roman" w:eastAsia="Times New Roman"/>
          <w:color w:val="000000" w:themeColor="text1"/>
          <w:sz w:val="28"/>
          <w:szCs w:val="28"/>
          <w:lang w:val="ru-RU"/>
        </w:rPr>
        <w:t xml:space="preserve">». Совместно с сотрудниками Ивановского отделения ЦБ проведены две рабочие встречи по вопросам эксплуатации и функционирования Личного Кабинета СИВ </w:t>
      </w:r>
      <w:r>
        <w:rPr>
          <w:rFonts w:ascii="Times New Roman" w:hAnsi="Times New Roman" w:eastAsia="Times New Roman"/>
          <w:color w:val="000000" w:themeColor="text1"/>
          <w:sz w:val="28"/>
          <w:szCs w:val="28"/>
          <w:lang w:val="ru-RU"/>
        </w:rPr>
        <w:t xml:space="preserve">ФинЦЕРТА</w:t>
      </w:r>
      <w:r>
        <w:rPr>
          <w:rFonts w:ascii="Times New Roman" w:hAnsi="Times New Roman" w:eastAsia="Times New Roman"/>
          <w:color w:val="000000" w:themeColor="text1"/>
          <w:sz w:val="28"/>
          <w:szCs w:val="28"/>
          <w:lang w:val="ru-RU"/>
        </w:rPr>
        <w:t xml:space="preserve">;</w:t>
      </w:r>
      <w:r>
        <w:rPr>
          <w:lang w:val="ru-RU"/>
        </w:rPr>
      </w:r>
      <w:r>
        <w:rPr>
          <w:lang w:val="ru-RU"/>
        </w:rPr>
      </w:r>
    </w:p>
    <w:p>
      <w:pPr>
        <w:pStyle w:val="1227"/>
        <w:numPr>
          <w:ilvl w:val="0"/>
          <w:numId w:val="67"/>
        </w:numPr>
        <w:ind w:left="0" w:firstLine="709"/>
        <w:jc w:val="both"/>
        <w:spacing w:line="276" w:lineRule="auto"/>
        <w:rPr>
          <w:lang w:val="ru-RU"/>
        </w:rPr>
      </w:pPr>
      <w:r>
        <w:rPr>
          <w:rFonts w:ascii="Times New Roman" w:hAnsi="Times New Roman" w:eastAsia="Times New Roman"/>
          <w:color w:val="000000" w:themeColor="text1"/>
          <w:sz w:val="28"/>
          <w:szCs w:val="28"/>
          <w:lang w:val="ru-RU"/>
        </w:rPr>
        <w:t xml:space="preserve">продолжают развиваться и использоваться каналы электронного документооборота между УМВД и финансово-кредитными организациями: </w:t>
      </w:r>
      <w:r>
        <w:rPr>
          <w:rFonts w:ascii="Times New Roman" w:hAnsi="Times New Roman" w:eastAsia="Times New Roman"/>
          <w:color w:val="000000" w:themeColor="text1"/>
          <w:sz w:val="28"/>
          <w:szCs w:val="28"/>
          <w:lang w:val="ru-RU"/>
        </w:rPr>
        <w:t xml:space="preserve">ПАО «Сбербанк», АО «Альфа-Банк», АО «Т-Банк» (через сервис «СПС МВД»), «МТС Банк», «</w:t>
      </w:r>
      <w:r>
        <w:rPr>
          <w:rFonts w:ascii="Times New Roman" w:hAnsi="Times New Roman" w:eastAsia="Times New Roman"/>
          <w:color w:val="000000" w:themeColor="text1"/>
          <w:sz w:val="28"/>
          <w:szCs w:val="28"/>
          <w:lang w:val="ru-RU"/>
        </w:rPr>
        <w:t xml:space="preserve">Совкомбанк</w:t>
      </w:r>
      <w:r>
        <w:rPr>
          <w:rFonts w:ascii="Times New Roman" w:hAnsi="Times New Roman" w:eastAsia="Times New Roman"/>
          <w:color w:val="000000" w:themeColor="text1"/>
          <w:sz w:val="28"/>
          <w:szCs w:val="28"/>
          <w:lang w:val="ru-RU"/>
        </w:rPr>
        <w:t xml:space="preserve">», «</w:t>
      </w:r>
      <w:r>
        <w:rPr>
          <w:rFonts w:ascii="Times New Roman" w:hAnsi="Times New Roman" w:eastAsia="Times New Roman"/>
          <w:color w:val="000000" w:themeColor="text1"/>
          <w:sz w:val="28"/>
          <w:szCs w:val="28"/>
          <w:lang w:val="ru-RU"/>
        </w:rPr>
        <w:t xml:space="preserve">Юмани</w:t>
      </w:r>
      <w:r>
        <w:rPr>
          <w:rFonts w:ascii="Times New Roman" w:hAnsi="Times New Roman" w:eastAsia="Times New Roman"/>
          <w:color w:val="000000" w:themeColor="text1"/>
          <w:sz w:val="28"/>
          <w:szCs w:val="28"/>
          <w:lang w:val="ru-RU"/>
        </w:rPr>
        <w:t xml:space="preserve">», «ОЗОН Банк» (через сервис «</w:t>
      </w:r>
      <w:r>
        <w:rPr>
          <w:rFonts w:ascii="Times New Roman" w:hAnsi="Times New Roman" w:eastAsia="Times New Roman"/>
          <w:color w:val="000000" w:themeColor="text1"/>
          <w:sz w:val="28"/>
          <w:szCs w:val="28"/>
          <w:lang w:val="ru-RU"/>
        </w:rPr>
        <w:t xml:space="preserve">Таском</w:t>
      </w:r>
      <w:r>
        <w:rPr>
          <w:rFonts w:ascii="Times New Roman" w:hAnsi="Times New Roman" w:eastAsia="Times New Roman"/>
          <w:color w:val="000000" w:themeColor="text1"/>
          <w:sz w:val="28"/>
          <w:szCs w:val="28"/>
          <w:lang w:val="ru-RU"/>
        </w:rPr>
        <w:t xml:space="preserve">»), ПАО «ВТБ», а также с операторами сотовой связи:</w:t>
      </w:r>
      <w:r>
        <w:rPr>
          <w:rFonts w:ascii="Times New Roman" w:hAnsi="Times New Roman" w:eastAsia="Times New Roman"/>
          <w:color w:val="000000" w:themeColor="text1"/>
          <w:sz w:val="28"/>
          <w:szCs w:val="28"/>
          <w:lang w:val="ru-RU"/>
        </w:rPr>
        <w:t xml:space="preserve"> ПАО «Т</w:t>
      </w:r>
      <w:r>
        <w:rPr>
          <w:rFonts w:ascii="Times New Roman" w:hAnsi="Times New Roman" w:eastAsia="Times New Roman"/>
          <w:color w:val="000000" w:themeColor="text1"/>
          <w:sz w:val="28"/>
          <w:szCs w:val="28"/>
          <w:lang w:val="ru-RU"/>
        </w:rPr>
        <w:t xml:space="preserve">2</w:t>
      </w:r>
      <w:r>
        <w:rPr>
          <w:rFonts w:ascii="Times New Roman" w:hAnsi="Times New Roman" w:eastAsia="Times New Roman"/>
          <w:color w:val="000000" w:themeColor="text1"/>
          <w:sz w:val="28"/>
          <w:szCs w:val="28"/>
          <w:lang w:val="ru-RU"/>
        </w:rPr>
        <w:t xml:space="preserve"> </w:t>
      </w:r>
      <w:r>
        <w:rPr>
          <w:rFonts w:ascii="Times New Roman" w:hAnsi="Times New Roman" w:eastAsia="Times New Roman"/>
          <w:color w:val="000000" w:themeColor="text1"/>
          <w:sz w:val="28"/>
          <w:szCs w:val="28"/>
          <w:lang w:val="ru-RU"/>
        </w:rPr>
        <w:t xml:space="preserve">Мобайл</w:t>
      </w:r>
      <w:r>
        <w:rPr>
          <w:rFonts w:ascii="Times New Roman" w:hAnsi="Times New Roman" w:eastAsia="Times New Roman"/>
          <w:color w:val="000000" w:themeColor="text1"/>
          <w:sz w:val="28"/>
          <w:szCs w:val="28"/>
          <w:lang w:val="ru-RU"/>
        </w:rPr>
        <w:t xml:space="preserve">», ПАО «Мегафон» и ООО «</w:t>
      </w:r>
      <w:r>
        <w:rPr>
          <w:rFonts w:ascii="Times New Roman" w:hAnsi="Times New Roman" w:eastAsia="Times New Roman"/>
          <w:color w:val="000000" w:themeColor="text1"/>
          <w:sz w:val="28"/>
          <w:szCs w:val="28"/>
          <w:lang w:val="ru-RU"/>
        </w:rPr>
        <w:t xml:space="preserve">Скартел</w:t>
      </w:r>
      <w:r>
        <w:rPr>
          <w:rFonts w:ascii="Times New Roman" w:hAnsi="Times New Roman" w:eastAsia="Times New Roman"/>
          <w:color w:val="000000" w:themeColor="text1"/>
          <w:sz w:val="28"/>
          <w:szCs w:val="28"/>
          <w:lang w:val="ru-RU"/>
        </w:rPr>
        <w:t xml:space="preserve">», осуществляется взаимодействие с сервисами ООО «</w:t>
      </w:r>
      <w:r>
        <w:rPr>
          <w:rFonts w:ascii="Times New Roman" w:hAnsi="Times New Roman" w:eastAsia="Times New Roman"/>
          <w:color w:val="000000" w:themeColor="text1"/>
          <w:sz w:val="28"/>
          <w:szCs w:val="28"/>
          <w:lang w:val="ru-RU"/>
        </w:rPr>
        <w:t xml:space="preserve">Яндекс</w:t>
      </w:r>
      <w:r>
        <w:rPr>
          <w:rFonts w:ascii="Times New Roman" w:hAnsi="Times New Roman" w:eastAsia="Times New Roman"/>
          <w:color w:val="000000" w:themeColor="text1"/>
          <w:sz w:val="28"/>
          <w:szCs w:val="28"/>
          <w:lang w:val="ru-RU"/>
        </w:rPr>
        <w:t xml:space="preserve">»;</w:t>
      </w:r>
      <w:r>
        <w:rPr>
          <w:lang w:val="ru-RU"/>
        </w:rPr>
      </w:r>
      <w:r>
        <w:rPr>
          <w:lang w:val="ru-RU"/>
        </w:rPr>
      </w:r>
    </w:p>
    <w:p>
      <w:pPr>
        <w:pStyle w:val="1227"/>
        <w:numPr>
          <w:ilvl w:val="0"/>
          <w:numId w:val="67"/>
        </w:numPr>
        <w:ind w:left="0" w:firstLine="709"/>
        <w:jc w:val="both"/>
        <w:spacing w:line="276" w:lineRule="auto"/>
      </w:pPr>
      <w:r>
        <w:rPr>
          <w:rFonts w:ascii="Times New Roman" w:hAnsi="Times New Roman" w:eastAsia="Times New Roman"/>
          <w:color w:val="000000" w:themeColor="text1"/>
          <w:sz w:val="28"/>
          <w:szCs w:val="28"/>
          <w:lang w:val="ru-RU"/>
        </w:rPr>
        <w:t xml:space="preserve">организовано взаимодействие с </w:t>
      </w:r>
      <w:r>
        <w:rPr>
          <w:rFonts w:ascii="Times New Roman" w:hAnsi="Times New Roman" w:eastAsia="Times New Roman"/>
          <w:color w:val="000000" w:themeColor="text1"/>
          <w:sz w:val="28"/>
          <w:szCs w:val="28"/>
          <w:lang w:val="ru-RU"/>
        </w:rPr>
        <w:t xml:space="preserve">риэлтерскими</w:t>
      </w:r>
      <w:r>
        <w:rPr>
          <w:rFonts w:ascii="Times New Roman" w:hAnsi="Times New Roman" w:eastAsia="Times New Roman"/>
          <w:color w:val="000000" w:themeColor="text1"/>
          <w:sz w:val="28"/>
          <w:szCs w:val="28"/>
          <w:lang w:val="ru-RU"/>
        </w:rPr>
        <w:t xml:space="preserve"> организациями, ведущими свою деятельность на территории Ивановской области. Руководство УМВД приняло участие в совместном совещании с Прокуратурой Ивановской области и с представителями Союза «Профессиональное </w:t>
      </w:r>
      <w:r>
        <w:rPr>
          <w:rFonts w:ascii="Times New Roman" w:hAnsi="Times New Roman" w:eastAsia="Times New Roman"/>
          <w:color w:val="000000" w:themeColor="text1"/>
          <w:sz w:val="28"/>
          <w:szCs w:val="28"/>
          <w:lang w:val="ru-RU"/>
        </w:rPr>
        <w:t xml:space="preserve">риэлтерское</w:t>
      </w:r>
      <w:r>
        <w:rPr>
          <w:rFonts w:ascii="Times New Roman" w:hAnsi="Times New Roman" w:eastAsia="Times New Roman"/>
          <w:color w:val="000000" w:themeColor="text1"/>
          <w:sz w:val="28"/>
          <w:szCs w:val="28"/>
          <w:lang w:val="ru-RU"/>
        </w:rPr>
        <w:t xml:space="preserve"> объединение» по вопросам предупреждения, профилактики и противодействия преступлениям в сфере недвижимости (18.02.2025), в </w:t>
      </w:r>
      <w:r>
        <w:rPr>
          <w:rFonts w:ascii="Times New Roman" w:hAnsi="Times New Roman" w:eastAsia="Times New Roman"/>
          <w:color w:val="000000" w:themeColor="text1"/>
          <w:sz w:val="28"/>
          <w:szCs w:val="28"/>
          <w:lang w:val="ru-RU"/>
        </w:rPr>
        <w:t xml:space="preserve">результате</w:t>
      </w:r>
      <w:r>
        <w:rPr>
          <w:rFonts w:ascii="Times New Roman" w:hAnsi="Times New Roman" w:eastAsia="Times New Roman"/>
          <w:color w:val="000000" w:themeColor="text1"/>
          <w:sz w:val="28"/>
          <w:szCs w:val="28"/>
          <w:lang w:val="ru-RU"/>
        </w:rPr>
        <w:t xml:space="preserve"> которого выработаны инициативы: создание горячей линии для информирования о мошенничестве, проведение семинаров для риэлтеров, членов Союза по вопросам безопасности сделок, организации регулярного взаимодействия. </w:t>
      </w:r>
      <w:r>
        <w:rPr>
          <w:rFonts w:ascii="Times New Roman" w:hAnsi="Times New Roman" w:eastAsia="Times New Roman"/>
          <w:color w:val="000000" w:themeColor="text1"/>
          <w:sz w:val="28"/>
          <w:szCs w:val="28"/>
        </w:rPr>
        <w:t xml:space="preserve">Подготовлено</w:t>
      </w:r>
      <w:r>
        <w:rPr>
          <w:rFonts w:ascii="Times New Roman" w:hAnsi="Times New Roman" w:eastAsia="Times New Roman"/>
          <w:color w:val="000000" w:themeColor="text1"/>
          <w:sz w:val="28"/>
          <w:szCs w:val="28"/>
        </w:rPr>
        <w:t xml:space="preserve"> </w:t>
      </w:r>
      <w:r>
        <w:rPr>
          <w:rFonts w:ascii="Times New Roman" w:hAnsi="Times New Roman" w:eastAsia="Times New Roman"/>
          <w:color w:val="000000" w:themeColor="text1"/>
          <w:sz w:val="28"/>
          <w:szCs w:val="28"/>
        </w:rPr>
        <w:t xml:space="preserve">трехстороннее</w:t>
      </w:r>
      <w:r>
        <w:rPr>
          <w:rFonts w:ascii="Times New Roman" w:hAnsi="Times New Roman" w:eastAsia="Times New Roman"/>
          <w:color w:val="000000" w:themeColor="text1"/>
          <w:sz w:val="28"/>
          <w:szCs w:val="28"/>
        </w:rPr>
        <w:t xml:space="preserve"> </w:t>
      </w:r>
      <w:r>
        <w:rPr>
          <w:rFonts w:ascii="Times New Roman" w:hAnsi="Times New Roman" w:eastAsia="Times New Roman"/>
          <w:color w:val="000000" w:themeColor="text1"/>
          <w:sz w:val="28"/>
          <w:szCs w:val="28"/>
        </w:rPr>
        <w:t xml:space="preserve">соглашение</w:t>
      </w:r>
      <w:r>
        <w:rPr>
          <w:rFonts w:ascii="Times New Roman" w:hAnsi="Times New Roman" w:eastAsia="Times New Roman"/>
          <w:color w:val="000000" w:themeColor="text1"/>
          <w:sz w:val="28"/>
          <w:szCs w:val="28"/>
        </w:rPr>
        <w:t xml:space="preserve">.</w:t>
      </w:r>
      <w:r/>
    </w:p>
    <w:p>
      <w:pPr>
        <w:ind w:firstLine="709"/>
        <w:jc w:val="both"/>
        <w:spacing w:after="0"/>
      </w:pPr>
      <w:r>
        <w:rPr>
          <w:rFonts w:ascii="Times New Roman" w:hAnsi="Times New Roman" w:eastAsia="Times New Roman"/>
          <w:color w:val="000000" w:themeColor="text1"/>
          <w:sz w:val="28"/>
          <w:szCs w:val="28"/>
        </w:rPr>
        <w:t xml:space="preserve">С целью раскрытия данного вида преступлений осуществлялись оперативно-розыскные мероприятия и следственные действия в иных регионах, на территории которых установлено лицо, совершившее преступление. </w:t>
      </w:r>
      <w:r>
        <w:rPr>
          <w:rFonts w:ascii="Times New Roman" w:hAnsi="Times New Roman" w:eastAsia="Times New Roman"/>
          <w:color w:val="000000" w:themeColor="text1"/>
          <w:sz w:val="28"/>
          <w:szCs w:val="28"/>
        </w:rPr>
        <w:t xml:space="preserve">Сотрудниками УМВД осуществлено 11 выездов в служебные командировки (г. Н. Новгород, г. Москва, Московская область – по 2 раза, Ставропольский край, г. Ижевск, г. Омск, Астраханская и Кемеровская области), в результате которых цели выездов достигнуты.</w:t>
      </w:r>
      <w:r/>
    </w:p>
    <w:p>
      <w:pPr>
        <w:ind w:firstLine="709"/>
        <w:jc w:val="both"/>
        <w:spacing w:after="0"/>
        <w:rPr>
          <w:rFonts w:ascii="Times New Roman" w:hAnsi="Times New Roman" w:eastAsia="Times New Roman"/>
          <w:color w:val="000000" w:themeColor="text1"/>
          <w:sz w:val="28"/>
          <w:szCs w:val="28"/>
        </w:rPr>
      </w:pPr>
      <w:r>
        <w:rPr>
          <w:rFonts w:ascii="Times New Roman" w:hAnsi="Times New Roman" w:eastAsia="Times New Roman"/>
          <w:color w:val="000000" w:themeColor="text1"/>
          <w:sz w:val="28"/>
          <w:szCs w:val="28"/>
        </w:rPr>
        <w:t xml:space="preserve">Проведены оперативно-розыскные мероприятия, направленные на установление пострадавших от деятельности </w:t>
      </w:r>
      <w:r>
        <w:rPr>
          <w:rFonts w:ascii="Times New Roman" w:hAnsi="Times New Roman" w:eastAsia="Times New Roman"/>
          <w:color w:val="000000" w:themeColor="text1"/>
          <w:sz w:val="28"/>
          <w:szCs w:val="28"/>
        </w:rPr>
        <w:t xml:space="preserve">колл-центра</w:t>
      </w:r>
      <w:r>
        <w:rPr>
          <w:rFonts w:ascii="Times New Roman" w:hAnsi="Times New Roman" w:eastAsia="Times New Roman"/>
          <w:color w:val="000000" w:themeColor="text1"/>
          <w:sz w:val="28"/>
          <w:szCs w:val="28"/>
        </w:rPr>
        <w:t xml:space="preserve">, действующего на территории Республики Узбекистан.</w:t>
      </w:r>
      <w:r>
        <w:rPr>
          <w:rFonts w:ascii="Times New Roman" w:hAnsi="Times New Roman" w:eastAsia="Times New Roman"/>
          <w:color w:val="000000" w:themeColor="text1"/>
          <w:sz w:val="28"/>
          <w:szCs w:val="28"/>
        </w:rPr>
      </w:r>
      <w:r>
        <w:rPr>
          <w:rFonts w:ascii="Times New Roman" w:hAnsi="Times New Roman" w:eastAsia="Times New Roman"/>
          <w:color w:val="000000" w:themeColor="text1"/>
          <w:sz w:val="28"/>
          <w:szCs w:val="28"/>
        </w:rPr>
      </w:r>
    </w:p>
    <w:p>
      <w:pPr>
        <w:ind w:firstLine="709"/>
        <w:jc w:val="both"/>
        <w:spacing w:after="0"/>
        <w:rPr>
          <w:rFonts w:ascii="Times New Roman" w:hAnsi="Times New Roman" w:eastAsia="Times New Roman"/>
          <w:color w:val="000000" w:themeColor="text1"/>
          <w:sz w:val="28"/>
          <w:szCs w:val="28"/>
        </w:rPr>
      </w:pPr>
      <w:r>
        <w:rPr>
          <w:rFonts w:ascii="Times New Roman" w:hAnsi="Times New Roman" w:eastAsia="Times New Roman"/>
          <w:color w:val="000000" w:themeColor="text1"/>
          <w:sz w:val="28"/>
          <w:szCs w:val="28"/>
        </w:rPr>
      </w:r>
      <w:r>
        <w:rPr>
          <w:rFonts w:ascii="Times New Roman" w:hAnsi="Times New Roman" w:eastAsia="Times New Roman"/>
          <w:color w:val="000000" w:themeColor="text1"/>
          <w:sz w:val="28"/>
          <w:szCs w:val="28"/>
        </w:rPr>
      </w:r>
      <w:r>
        <w:rPr>
          <w:rFonts w:ascii="Times New Roman" w:hAnsi="Times New Roman" w:eastAsia="Times New Roman"/>
          <w:color w:val="000000" w:themeColor="text1"/>
          <w:sz w:val="28"/>
          <w:szCs w:val="28"/>
        </w:rPr>
      </w:r>
    </w:p>
    <w:p>
      <w:pPr>
        <w:ind w:firstLine="709"/>
        <w:jc w:val="both"/>
        <w:spacing w:after="0"/>
      </w:pPr>
      <w:r>
        <w:rPr>
          <w:rFonts w:ascii="Times New Roman" w:hAnsi="Times New Roman" w:eastAsia="Times New Roman"/>
          <w:color w:val="000000" w:themeColor="text1"/>
          <w:sz w:val="28"/>
          <w:szCs w:val="28"/>
        </w:rPr>
        <w:t xml:space="preserve">За 12 месяцев 2025 года на территории Ивановской области зарегистрировано 8147 дорожно-транспортных происшествий, в том числе 934 ДТП с пострадавшими, в которых 70 человек погибли и 1206 получили ранения. </w:t>
      </w:r>
      <w:r/>
    </w:p>
    <w:p>
      <w:pPr>
        <w:ind w:firstLine="709"/>
        <w:jc w:val="both"/>
        <w:spacing w:after="0"/>
      </w:pPr>
      <w:r>
        <w:rPr>
          <w:rFonts w:ascii="Times New Roman" w:hAnsi="Times New Roman" w:eastAsia="Times New Roman"/>
          <w:color w:val="000000" w:themeColor="text1"/>
          <w:sz w:val="28"/>
          <w:szCs w:val="28"/>
        </w:rPr>
        <w:t xml:space="preserve">По сравнению с аналогичным периодом прошлого года зарегистрировано снижение основных показателей аварийности: количество ДТП снизилось на 6,6%, ДТП с пострадавшими людьми - на 12,0%, число раненых в них людей - на 8,1%, число погибших - на 23,1%.</w:t>
      </w:r>
      <w:r/>
    </w:p>
    <w:p>
      <w:pPr>
        <w:ind w:firstLine="709"/>
        <w:jc w:val="both"/>
        <w:spacing w:after="0"/>
      </w:pPr>
      <w:r>
        <w:rPr>
          <w:rFonts w:ascii="Times New Roman" w:hAnsi="Times New Roman" w:eastAsia="Times New Roman"/>
          <w:color w:val="000000" w:themeColor="text1"/>
          <w:sz w:val="28"/>
          <w:szCs w:val="28"/>
        </w:rPr>
        <w:t xml:space="preserve">С участием водителей в состоянии или с признаками опьянения совершено 148 ДТП (+11,3%), в которых 19 человек погибли (-26,9%) и 206 получили ранения (+30,4%).</w:t>
      </w:r>
      <w:r/>
    </w:p>
    <w:p>
      <w:pPr>
        <w:ind w:firstLine="709"/>
        <w:jc w:val="both"/>
        <w:spacing w:after="0"/>
      </w:pPr>
      <w:r>
        <w:rPr>
          <w:rFonts w:ascii="Times New Roman" w:hAnsi="Times New Roman" w:eastAsia="Times New Roman"/>
          <w:color w:val="000000" w:themeColor="text1"/>
          <w:sz w:val="28"/>
          <w:szCs w:val="28"/>
        </w:rPr>
        <w:t xml:space="preserve">Отмечено снижение детской дорожно-транспортной аварийности. Зарегистрировано 112 ДТП с участием несовершеннолетних (-15,2%), в которых погибли 2 детей (-60,0%), 129 получили ранения (-10,4%).</w:t>
      </w:r>
      <w:r/>
    </w:p>
    <w:p>
      <w:pPr>
        <w:ind w:firstLine="709"/>
        <w:jc w:val="both"/>
        <w:spacing w:after="0"/>
      </w:pPr>
      <w:r>
        <w:rPr>
          <w:rFonts w:ascii="Times New Roman" w:hAnsi="Times New Roman" w:eastAsia="Times New Roman"/>
          <w:color w:val="000000" w:themeColor="text1"/>
          <w:sz w:val="28"/>
          <w:szCs w:val="28"/>
        </w:rPr>
        <w:t xml:space="preserve">За 12 месяцев прошлого года сотрудниками Госавтоинспекции по линии дорожного надзора в ад</w:t>
      </w:r>
      <w:r>
        <w:rPr>
          <w:rFonts w:ascii="Times New Roman" w:hAnsi="Times New Roman" w:eastAsia="Times New Roman"/>
          <w:color w:val="000000" w:themeColor="text1"/>
          <w:sz w:val="28"/>
          <w:szCs w:val="28"/>
        </w:rPr>
        <w:t xml:space="preserve">рес органов исполнительной власти и органов местного самоуправления вынесено 35 представлений о неудовлетворительном состоянии автомобильных дорог, из которых 24 - в отношении органов местного самоуправления, 11 - в отношении органов исполнительной власти.</w:t>
      </w:r>
      <w:r/>
    </w:p>
    <w:p>
      <w:pPr>
        <w:ind w:firstLine="709"/>
        <w:jc w:val="both"/>
        <w:spacing w:after="0"/>
        <w:rPr>
          <w:color w:val="000000" w:themeColor="text1"/>
        </w:rPr>
      </w:pPr>
      <w:r>
        <w:rPr>
          <w:rFonts w:ascii="Times New Roman" w:hAnsi="Times New Roman"/>
          <w:color w:val="000000" w:themeColor="text1"/>
          <w:sz w:val="28"/>
          <w:szCs w:val="28"/>
        </w:rPr>
        <w:t xml:space="preserve">На территории Ивановской области функционирует Центр временного содержания иностранных граждан и лиц без гражданства, подлежащих административному </w:t>
      </w:r>
      <w:r>
        <w:rPr>
          <w:rFonts w:ascii="Times New Roman" w:hAnsi="Times New Roman"/>
          <w:color w:val="000000" w:themeColor="text1"/>
          <w:sz w:val="28"/>
          <w:szCs w:val="28"/>
        </w:rPr>
        <w:t xml:space="preserve">выдворению</w:t>
      </w:r>
      <w:r>
        <w:rPr>
          <w:rFonts w:ascii="Times New Roman" w:hAnsi="Times New Roman"/>
          <w:color w:val="000000" w:themeColor="text1"/>
          <w:sz w:val="28"/>
          <w:szCs w:val="28"/>
        </w:rPr>
        <w:t xml:space="preserve"> за пределы Российской Федерации, депортации или </w:t>
      </w:r>
      <w:r>
        <w:rPr>
          <w:rFonts w:ascii="Times New Roman" w:hAnsi="Times New Roman"/>
          <w:color w:val="000000" w:themeColor="text1"/>
          <w:sz w:val="28"/>
          <w:szCs w:val="28"/>
        </w:rPr>
        <w:t xml:space="preserve">реадмиссии</w:t>
      </w:r>
      <w:r>
        <w:rPr>
          <w:rFonts w:ascii="Times New Roman" w:hAnsi="Times New Roman"/>
          <w:color w:val="000000" w:themeColor="text1"/>
          <w:sz w:val="28"/>
          <w:szCs w:val="28"/>
        </w:rPr>
        <w:t xml:space="preserve"> УМВД, расположенный по адресу: город Фурманов, ул. </w:t>
      </w:r>
      <w:r>
        <w:rPr>
          <w:rFonts w:ascii="Times New Roman" w:hAnsi="Times New Roman"/>
          <w:color w:val="000000" w:themeColor="text1"/>
          <w:sz w:val="28"/>
          <w:szCs w:val="28"/>
        </w:rPr>
        <w:t xml:space="preserve">Наримановская</w:t>
      </w:r>
      <w:r>
        <w:rPr>
          <w:rFonts w:ascii="Times New Roman" w:hAnsi="Times New Roman"/>
          <w:color w:val="000000" w:themeColor="text1"/>
          <w:sz w:val="28"/>
          <w:szCs w:val="28"/>
        </w:rPr>
        <w:t xml:space="preserve">, д. 12. </w:t>
      </w:r>
      <w:r>
        <w:rPr>
          <w:color w:val="000000" w:themeColor="text1"/>
        </w:rPr>
      </w:r>
      <w:r>
        <w:rPr>
          <w:color w:val="000000" w:themeColor="text1"/>
        </w:rPr>
      </w:r>
    </w:p>
    <w:p>
      <w:pPr>
        <w:ind w:firstLine="709"/>
        <w:jc w:val="both"/>
        <w:spacing w:after="0"/>
        <w:rPr>
          <w:color w:val="000000" w:themeColor="text1"/>
        </w:rPr>
      </w:pPr>
      <w:r>
        <w:rPr>
          <w:rFonts w:ascii="Times New Roman" w:hAnsi="Times New Roman"/>
          <w:color w:val="000000" w:themeColor="text1"/>
          <w:sz w:val="28"/>
          <w:szCs w:val="28"/>
        </w:rPr>
        <w:t xml:space="preserve">В настоящее время Центр функционирует в штатном режиме, внутри помещения оборудовано 6 комнат для содержания </w:t>
      </w:r>
      <w:r>
        <w:rPr>
          <w:rFonts w:ascii="Times New Roman" w:hAnsi="Times New Roman"/>
          <w:color w:val="000000" w:themeColor="text1"/>
          <w:sz w:val="28"/>
          <w:szCs w:val="28"/>
        </w:rPr>
        <w:t xml:space="preserve">спецконтингента</w:t>
      </w:r>
      <w:r>
        <w:rPr>
          <w:rFonts w:ascii="Times New Roman" w:hAnsi="Times New Roman"/>
          <w:color w:val="000000" w:themeColor="text1"/>
          <w:sz w:val="28"/>
          <w:szCs w:val="28"/>
        </w:rPr>
        <w:t xml:space="preserve"> общей площадью 133,16 м² с лимитом на 29 к</w:t>
      </w:r>
      <w:r>
        <w:rPr>
          <w:rFonts w:ascii="Times New Roman" w:hAnsi="Times New Roman"/>
          <w:color w:val="000000" w:themeColor="text1"/>
          <w:sz w:val="28"/>
          <w:szCs w:val="28"/>
        </w:rPr>
        <w:t xml:space="preserve">ойко-мест. В соответствии с нормами санитарной площади в комнатах - 6 м² на 1 человека, при установке 2-х ярусных кроватей - не менее 4,5 м² на 1 человека, имеется медицинский кабинет, медицинский изолятор, должность медицинского работника укомплектована. </w:t>
      </w:r>
      <w:r>
        <w:rPr>
          <w:color w:val="000000" w:themeColor="text1"/>
        </w:rPr>
      </w:r>
      <w:r>
        <w:rPr>
          <w:color w:val="000000" w:themeColor="text1"/>
        </w:rPr>
      </w:r>
    </w:p>
    <w:p>
      <w:pPr>
        <w:ind w:firstLine="709"/>
        <w:jc w:val="both"/>
        <w:spacing w:after="0"/>
        <w:rPr>
          <w:color w:val="000000" w:themeColor="text1"/>
        </w:rPr>
      </w:pPr>
      <w:r>
        <w:rPr>
          <w:rFonts w:ascii="Times New Roman" w:hAnsi="Times New Roman"/>
          <w:color w:val="000000" w:themeColor="text1"/>
          <w:sz w:val="28"/>
          <w:szCs w:val="28"/>
        </w:rPr>
        <w:t xml:space="preserve">В соответствии с рекомендациями, выработанными по результатам заседания Всероссийского координационного совета уполномоченных по правам человека по теме «Защита прав человека в местах принудительного содержания», прошедшего 23.09.2</w:t>
      </w:r>
      <w:r>
        <w:rPr>
          <w:rFonts w:ascii="Times New Roman" w:hAnsi="Times New Roman"/>
          <w:color w:val="000000" w:themeColor="text1"/>
          <w:sz w:val="28"/>
          <w:szCs w:val="28"/>
        </w:rPr>
        <w:t xml:space="preserve">025 в г. Москва и в целях обеспечения прав иностранных граждан, содержащихся в ЦВСИГ УМВД, и не реализовавших свое положение на территории Российской Федерации, своевременного вывоза их в страны исхода, проводится ежедневный мониторинг наполняемости Центра</w:t>
      </w:r>
      <w:r>
        <w:rPr>
          <w:rFonts w:ascii="Times New Roman" w:hAnsi="Times New Roman"/>
          <w:color w:val="000000" w:themeColor="text1"/>
          <w:sz w:val="28"/>
          <w:szCs w:val="28"/>
        </w:rPr>
        <w:t xml:space="preserve">, а также отслеживаются сроки освобождения иностранных </w:t>
      </w:r>
      <w:r>
        <w:rPr>
          <w:rFonts w:ascii="Times New Roman" w:hAnsi="Times New Roman"/>
          <w:color w:val="000000" w:themeColor="text1"/>
          <w:sz w:val="28"/>
          <w:szCs w:val="28"/>
        </w:rPr>
        <w:t xml:space="preserve">граждан из учреждений УФСИН России по Ивановской области. Данный анализ позволяет осуществлять прогнозирование наполняемости и планирование вывоза иностранных граждан за пределы Российской Федерации, минимизировать сроки содержания в Центре свыше 90 суток.</w:t>
      </w:r>
      <w:r>
        <w:rPr>
          <w:color w:val="000000" w:themeColor="text1"/>
        </w:rPr>
      </w:r>
      <w:r>
        <w:rPr>
          <w:color w:val="000000" w:themeColor="text1"/>
        </w:rPr>
      </w:r>
    </w:p>
    <w:p>
      <w:pPr>
        <w:ind w:firstLine="709"/>
        <w:jc w:val="both"/>
        <w:spacing w:after="0"/>
        <w:rPr>
          <w:color w:val="000000" w:themeColor="text1"/>
        </w:rPr>
      </w:pPr>
      <w:r>
        <w:rPr>
          <w:rFonts w:ascii="Times New Roman" w:hAnsi="Times New Roman"/>
          <w:color w:val="000000" w:themeColor="text1"/>
          <w:sz w:val="28"/>
          <w:szCs w:val="28"/>
        </w:rPr>
        <w:t xml:space="preserve">Руководством УМВД на постоянной основе принимаются своевременные меры по взаимодействию с ФССП России по Ивановской области по вопросам оперативной высылки содержащихся иностранных граждан, подлежащих административному </w:t>
      </w:r>
      <w:r>
        <w:rPr>
          <w:rFonts w:ascii="Times New Roman" w:hAnsi="Times New Roman"/>
          <w:color w:val="000000" w:themeColor="text1"/>
          <w:sz w:val="28"/>
          <w:szCs w:val="28"/>
        </w:rPr>
        <w:t xml:space="preserve">выдворению</w:t>
      </w:r>
      <w:r>
        <w:rPr>
          <w:rFonts w:ascii="Times New Roman" w:hAnsi="Times New Roman"/>
          <w:color w:val="000000" w:themeColor="text1"/>
          <w:sz w:val="28"/>
          <w:szCs w:val="28"/>
        </w:rPr>
        <w:t xml:space="preserve"> и имеющих необходимые документы. Проблем в части процедуры </w:t>
      </w:r>
      <w:r>
        <w:rPr>
          <w:rFonts w:ascii="Times New Roman" w:hAnsi="Times New Roman"/>
          <w:color w:val="000000" w:themeColor="text1"/>
          <w:sz w:val="28"/>
          <w:szCs w:val="28"/>
        </w:rPr>
        <w:t xml:space="preserve">выдворения</w:t>
      </w:r>
      <w:r>
        <w:rPr>
          <w:rFonts w:ascii="Times New Roman" w:hAnsi="Times New Roman"/>
          <w:color w:val="000000" w:themeColor="text1"/>
          <w:sz w:val="28"/>
          <w:szCs w:val="28"/>
        </w:rPr>
        <w:t xml:space="preserve"> для указанной категории граждан, не имеется.</w:t>
      </w:r>
      <w:r>
        <w:rPr>
          <w:color w:val="000000" w:themeColor="text1"/>
        </w:rPr>
      </w:r>
      <w:r>
        <w:rPr>
          <w:color w:val="000000" w:themeColor="text1"/>
        </w:rPr>
      </w:r>
    </w:p>
    <w:p>
      <w:pPr>
        <w:ind w:firstLine="709"/>
        <w:jc w:val="both"/>
        <w:spacing w:after="0"/>
        <w:rPr>
          <w:rFonts w:ascii="Times New Roman" w:hAnsi="Times New Roman"/>
          <w:color w:val="000000" w:themeColor="text1"/>
          <w:sz w:val="28"/>
          <w:szCs w:val="28"/>
        </w:rPr>
      </w:pPr>
      <w:r>
        <w:rPr>
          <w:rFonts w:ascii="Times New Roman" w:hAnsi="Times New Roman"/>
          <w:color w:val="000000" w:themeColor="text1"/>
          <w:sz w:val="28"/>
          <w:szCs w:val="28"/>
        </w:rPr>
        <w:t xml:space="preserve">Все специальные учреждения полиции УМВД ИВС и спецприемник оборудованы медицинскими кабинетами, помещения для граждан с ограниченными возможностями (инвалидов), отсутствуют.</w:t>
      </w:r>
      <w:r>
        <w:rPr>
          <w:rFonts w:ascii="Times New Roman" w:hAnsi="Times New Roman"/>
          <w:color w:val="000000" w:themeColor="text1"/>
          <w:sz w:val="28"/>
          <w:szCs w:val="28"/>
        </w:rPr>
      </w:r>
      <w:r>
        <w:rPr>
          <w:rFonts w:ascii="Times New Roman" w:hAnsi="Times New Roman"/>
          <w:color w:val="000000" w:themeColor="text1"/>
          <w:sz w:val="28"/>
          <w:szCs w:val="28"/>
        </w:rPr>
      </w:r>
    </w:p>
    <w:p>
      <w:pPr>
        <w:ind w:firstLine="709"/>
        <w:jc w:val="both"/>
        <w:spacing w:after="0"/>
        <w:rPr>
          <w:rFonts w:ascii="Times New Roman" w:hAnsi="Times New Roman"/>
          <w:color w:val="000000" w:themeColor="text1"/>
          <w:sz w:val="28"/>
          <w:szCs w:val="28"/>
        </w:rPr>
      </w:pPr>
      <w:r>
        <w:rPr>
          <w:rFonts w:ascii="Times New Roman" w:hAnsi="Times New Roman"/>
          <w:color w:val="000000" w:themeColor="text1"/>
          <w:sz w:val="28"/>
          <w:szCs w:val="28"/>
        </w:rPr>
        <w:t xml:space="preserve">Содержание по решению суда иностранных граждан и лиц без гражданства, подлежащих административному выдворению, депортации и </w:t>
      </w:r>
      <w:r>
        <w:rPr>
          <w:rFonts w:ascii="Times New Roman" w:hAnsi="Times New Roman"/>
          <w:color w:val="000000" w:themeColor="text1"/>
          <w:sz w:val="28"/>
          <w:szCs w:val="28"/>
        </w:rPr>
        <w:t xml:space="preserve">реадмиссии</w:t>
      </w:r>
      <w:r>
        <w:rPr>
          <w:rFonts w:ascii="Times New Roman" w:hAnsi="Times New Roman"/>
          <w:color w:val="000000" w:themeColor="text1"/>
          <w:sz w:val="28"/>
          <w:szCs w:val="28"/>
        </w:rPr>
        <w:t xml:space="preserve"> за пределы Российской Федерации осуществляется в Центре временного содержания иностранных граждан  УМВД (Ивановская область, </w:t>
      </w:r>
      <w:r>
        <w:rPr>
          <w:rFonts w:ascii="Times New Roman" w:hAnsi="Times New Roman"/>
          <w:color w:val="000000" w:themeColor="text1"/>
          <w:sz w:val="28"/>
          <w:szCs w:val="28"/>
        </w:rPr>
        <w:t xml:space="preserve">г</w:t>
      </w:r>
      <w:r>
        <w:rPr>
          <w:rFonts w:ascii="Times New Roman" w:hAnsi="Times New Roman"/>
          <w:color w:val="000000" w:themeColor="text1"/>
          <w:sz w:val="28"/>
          <w:szCs w:val="28"/>
        </w:rPr>
        <w:t xml:space="preserve">. Фурманов, ул. </w:t>
      </w:r>
      <w:r>
        <w:rPr>
          <w:rFonts w:ascii="Times New Roman" w:hAnsi="Times New Roman"/>
          <w:color w:val="000000" w:themeColor="text1"/>
          <w:sz w:val="28"/>
          <w:szCs w:val="28"/>
        </w:rPr>
        <w:t xml:space="preserve">Наримановская</w:t>
      </w:r>
      <w:r>
        <w:rPr>
          <w:rFonts w:ascii="Times New Roman" w:hAnsi="Times New Roman"/>
          <w:color w:val="000000" w:themeColor="text1"/>
          <w:sz w:val="28"/>
          <w:szCs w:val="28"/>
        </w:rPr>
        <w:t xml:space="preserve">, д. 12). В учреждении оборудовано 6 комнат для содержания </w:t>
      </w:r>
      <w:r>
        <w:rPr>
          <w:rFonts w:ascii="Times New Roman" w:hAnsi="Times New Roman"/>
          <w:color w:val="000000" w:themeColor="text1"/>
          <w:sz w:val="28"/>
          <w:szCs w:val="28"/>
        </w:rPr>
        <w:t xml:space="preserve">спецконтингента</w:t>
      </w:r>
      <w:r>
        <w:rPr>
          <w:rFonts w:ascii="Times New Roman" w:hAnsi="Times New Roman"/>
          <w:color w:val="000000" w:themeColor="text1"/>
          <w:sz w:val="28"/>
          <w:szCs w:val="28"/>
        </w:rPr>
        <w:t xml:space="preserve"> общей площадью 133,16 м² с лимитом на 29 койко-мест. В соответствии с нормами санитарной площади в комнатах 6 квадратных метров на 1-го человека, при установке 2-х ярусных кроватей – не менее 4,5 квадратных метра на 1 человека.</w:t>
      </w:r>
      <w:r>
        <w:rPr>
          <w:rFonts w:ascii="Times New Roman" w:hAnsi="Times New Roman"/>
          <w:color w:val="000000" w:themeColor="text1"/>
          <w:sz w:val="28"/>
          <w:szCs w:val="28"/>
        </w:rPr>
      </w:r>
      <w:r>
        <w:rPr>
          <w:rFonts w:ascii="Times New Roman" w:hAnsi="Times New Roman"/>
          <w:color w:val="000000" w:themeColor="text1"/>
          <w:sz w:val="28"/>
          <w:szCs w:val="28"/>
        </w:rPr>
      </w:r>
    </w:p>
    <w:p>
      <w:pPr>
        <w:ind w:firstLine="709"/>
        <w:jc w:val="both"/>
        <w:spacing w:after="0"/>
        <w:rPr>
          <w:rFonts w:ascii="Times New Roman" w:hAnsi="Times New Roman"/>
          <w:color w:val="000000" w:themeColor="text1"/>
          <w:sz w:val="28"/>
          <w:szCs w:val="28"/>
        </w:rPr>
      </w:pPr>
      <w:r>
        <w:rPr>
          <w:rFonts w:ascii="Times New Roman" w:hAnsi="Times New Roman"/>
          <w:color w:val="000000" w:themeColor="text1"/>
          <w:sz w:val="28"/>
          <w:szCs w:val="28"/>
        </w:rPr>
        <w:t xml:space="preserve">Соблюдение прав человека в правоохранительной сфере является неотъемлемой частью демократического общества. Для обеспечения этого необходимо строго соблюдать законность действий правоохранительных органов, защищать права задержанных, обес</w:t>
      </w:r>
      <w:r>
        <w:rPr>
          <w:rFonts w:ascii="Times New Roman" w:hAnsi="Times New Roman"/>
          <w:color w:val="000000" w:themeColor="text1"/>
          <w:sz w:val="28"/>
          <w:szCs w:val="28"/>
        </w:rPr>
        <w:t xml:space="preserve">печивать прозрачность и открытость правоохранительных органов, а также повышать квалификацию сотрудников правоохранительных органов. Только таким образом можно создать справедливое и безопасное общество, где права и свободы каждого человека будут защищены.</w:t>
      </w:r>
      <w:r>
        <w:rPr>
          <w:rFonts w:ascii="Times New Roman" w:hAnsi="Times New Roman"/>
          <w:color w:val="000000" w:themeColor="text1"/>
          <w:sz w:val="28"/>
          <w:szCs w:val="28"/>
        </w:rPr>
      </w:r>
      <w:r>
        <w:rPr>
          <w:rFonts w:ascii="Times New Roman" w:hAnsi="Times New Roman"/>
          <w:color w:val="000000" w:themeColor="text1"/>
          <w:sz w:val="28"/>
          <w:szCs w:val="28"/>
        </w:rPr>
      </w:r>
    </w:p>
    <w:p>
      <w:pPr>
        <w:ind w:firstLine="709"/>
        <w:jc w:val="both"/>
        <w:spacing w:after="0"/>
        <w:rPr>
          <w:rFonts w:ascii="Times New Roman" w:hAnsi="Times New Roman"/>
          <w:color w:val="ff0000"/>
          <w:sz w:val="28"/>
          <w:szCs w:val="28"/>
        </w:rPr>
      </w:pPr>
      <w:r>
        <w:rPr>
          <w:rFonts w:ascii="Times New Roman" w:hAnsi="Times New Roman"/>
          <w:color w:val="ff0000"/>
          <w:sz w:val="28"/>
          <w:szCs w:val="28"/>
        </w:rPr>
      </w:r>
      <w:r>
        <w:rPr>
          <w:rFonts w:ascii="Times New Roman" w:hAnsi="Times New Roman"/>
          <w:color w:val="ff0000"/>
          <w:sz w:val="28"/>
          <w:szCs w:val="28"/>
        </w:rPr>
      </w:r>
      <w:r>
        <w:rPr>
          <w:rFonts w:ascii="Times New Roman" w:hAnsi="Times New Roman"/>
          <w:color w:val="ff0000"/>
          <w:sz w:val="28"/>
          <w:szCs w:val="28"/>
        </w:rPr>
      </w:r>
    </w:p>
    <w:p>
      <w:pPr>
        <w:pStyle w:val="1226"/>
        <w:jc w:val="center"/>
        <w:rPr>
          <w:rFonts w:ascii="Times New Roman" w:hAnsi="Times New Roman"/>
          <w:b/>
          <w:bCs/>
          <w:color w:val="000000" w:themeColor="text1"/>
          <w:sz w:val="28"/>
          <w:szCs w:val="28"/>
        </w:rPr>
      </w:pPr>
      <w:r/>
      <w:bookmarkStart w:id="57" w:name="_Toc35"/>
      <w:r>
        <w:rPr>
          <w:rFonts w:ascii="Times New Roman" w:hAnsi="Times New Roman"/>
          <w:b/>
          <w:bCs/>
          <w:color w:val="000000" w:themeColor="text1"/>
          <w:sz w:val="28"/>
          <w:szCs w:val="28"/>
        </w:rPr>
        <w:t xml:space="preserve">Уполномоченный рекомендует:</w:t>
      </w:r>
      <w:r>
        <w:rPr>
          <w:rFonts w:ascii="Times New Roman" w:hAnsi="Times New Roman"/>
          <w:b/>
          <w:bCs/>
          <w:color w:val="000000" w:themeColor="text1"/>
          <w:sz w:val="28"/>
          <w:szCs w:val="28"/>
        </w:rPr>
      </w:r>
      <w:bookmarkEnd w:id="57"/>
      <w:r>
        <w:rPr>
          <w:rFonts w:ascii="Times New Roman" w:hAnsi="Times New Roman"/>
          <w:b/>
          <w:bCs/>
          <w:color w:val="000000" w:themeColor="text1"/>
          <w:sz w:val="28"/>
          <w:szCs w:val="28"/>
        </w:rPr>
      </w:r>
      <w:r>
        <w:rPr>
          <w:rFonts w:ascii="Times New Roman" w:hAnsi="Times New Roman"/>
          <w:b/>
          <w:bCs/>
          <w:color w:val="000000" w:themeColor="text1"/>
          <w:sz w:val="28"/>
          <w:szCs w:val="28"/>
        </w:rPr>
      </w:r>
    </w:p>
    <w:p>
      <w:r/>
      <w:r/>
    </w:p>
    <w:p>
      <w:pPr>
        <w:ind w:firstLine="709"/>
        <w:jc w:val="both"/>
        <w:spacing w:after="0"/>
        <w:rPr>
          <w:rFonts w:ascii="Times New Roman" w:hAnsi="Times New Roman"/>
          <w:bCs/>
          <w:i/>
          <w:color w:val="000000" w:themeColor="text1"/>
          <w:sz w:val="28"/>
          <w:szCs w:val="28"/>
        </w:rPr>
      </w:pPr>
      <w:r>
        <w:rPr>
          <w:rFonts w:ascii="Times New Roman" w:hAnsi="Times New Roman"/>
          <w:b/>
          <w:bCs/>
          <w:i/>
          <w:color w:val="000000" w:themeColor="text1"/>
          <w:sz w:val="28"/>
          <w:szCs w:val="28"/>
        </w:rPr>
        <w:t xml:space="preserve">УМВД России по Ивановской области:</w:t>
      </w:r>
      <w:r>
        <w:rPr>
          <w:rFonts w:ascii="Times New Roman" w:hAnsi="Times New Roman"/>
          <w:bCs/>
          <w:i/>
          <w:color w:val="000000" w:themeColor="text1"/>
          <w:sz w:val="28"/>
          <w:szCs w:val="28"/>
        </w:rPr>
      </w:r>
      <w:r>
        <w:rPr>
          <w:rFonts w:ascii="Times New Roman" w:hAnsi="Times New Roman"/>
          <w:bCs/>
          <w:i/>
          <w:color w:val="000000" w:themeColor="text1"/>
          <w:sz w:val="28"/>
          <w:szCs w:val="28"/>
        </w:rPr>
      </w:r>
    </w:p>
    <w:p>
      <w:pPr>
        <w:pStyle w:val="1227"/>
        <w:numPr>
          <w:ilvl w:val="0"/>
          <w:numId w:val="68"/>
        </w:numPr>
        <w:ind w:left="0" w:firstLine="709"/>
        <w:jc w:val="both"/>
        <w:spacing w:line="276" w:lineRule="auto"/>
        <w:tabs>
          <w:tab w:val="left" w:pos="709" w:leader="none"/>
        </w:tabs>
        <w:rPr>
          <w:rFonts w:ascii="Times New Roman" w:hAnsi="Times New Roman"/>
          <w:color w:val="000000" w:themeColor="text1"/>
          <w:sz w:val="28"/>
          <w:szCs w:val="28"/>
          <w:lang w:val="ru-RU"/>
        </w:rPr>
      </w:pPr>
      <w:r>
        <w:rPr>
          <w:rFonts w:ascii="Times New Roman" w:hAnsi="Times New Roman"/>
          <w:color w:val="000000" w:themeColor="text1"/>
          <w:sz w:val="28"/>
          <w:szCs w:val="28"/>
          <w:lang w:val="ru-RU"/>
        </w:rPr>
        <w:t xml:space="preserve">усилить </w:t>
      </w:r>
      <w:r>
        <w:rPr>
          <w:rFonts w:ascii="Times New Roman" w:hAnsi="Times New Roman"/>
          <w:color w:val="000000" w:themeColor="text1"/>
          <w:sz w:val="28"/>
          <w:szCs w:val="28"/>
          <w:lang w:val="ru-RU"/>
        </w:rPr>
        <w:t xml:space="preserve">контроль за</w:t>
      </w:r>
      <w:r>
        <w:rPr>
          <w:rFonts w:ascii="Times New Roman" w:hAnsi="Times New Roman"/>
          <w:color w:val="000000" w:themeColor="text1"/>
          <w:sz w:val="28"/>
          <w:szCs w:val="28"/>
          <w:lang w:val="ru-RU"/>
        </w:rPr>
        <w:t xml:space="preserve"> соблюдением разумных сроков уголовного судопроизводства;</w:t>
      </w:r>
      <w:r>
        <w:rPr>
          <w:rFonts w:ascii="Times New Roman" w:hAnsi="Times New Roman"/>
          <w:bCs/>
          <w:i/>
          <w:color w:val="000000" w:themeColor="text1"/>
          <w:sz w:val="28"/>
          <w:szCs w:val="28"/>
          <w:lang w:val="ru-RU"/>
        </w:rPr>
      </w:r>
      <w:r>
        <w:rPr>
          <w:rFonts w:ascii="Times New Roman" w:hAnsi="Times New Roman"/>
          <w:color w:val="000000" w:themeColor="text1"/>
          <w:sz w:val="28"/>
          <w:szCs w:val="28"/>
          <w:lang w:val="ru-RU"/>
        </w:rPr>
      </w:r>
    </w:p>
    <w:p>
      <w:pPr>
        <w:pStyle w:val="1227"/>
        <w:numPr>
          <w:ilvl w:val="0"/>
          <w:numId w:val="68"/>
        </w:numPr>
        <w:ind w:left="0" w:firstLine="709"/>
        <w:jc w:val="both"/>
        <w:spacing w:line="276" w:lineRule="auto"/>
        <w:tabs>
          <w:tab w:val="left" w:pos="709" w:leader="none"/>
        </w:tabs>
        <w:rPr>
          <w:rFonts w:ascii="Times New Roman" w:hAnsi="Times New Roman"/>
          <w:bCs/>
          <w:i/>
          <w:color w:val="000000" w:themeColor="text1"/>
          <w:sz w:val="28"/>
          <w:szCs w:val="28"/>
          <w:lang w:val="ru-RU"/>
        </w:rPr>
      </w:pPr>
      <w:r>
        <w:rPr>
          <w:rFonts w:ascii="Times New Roman" w:hAnsi="Times New Roman"/>
          <w:color w:val="000000" w:themeColor="text1"/>
          <w:sz w:val="28"/>
          <w:szCs w:val="28"/>
          <w:lang w:val="ru-RU"/>
        </w:rPr>
        <w:t xml:space="preserve">исключить вынесение необоснованных и незаконных решений об отказе в возбуждении уголовного дела по результатам рассмотрения заявлений и сообщений;</w:t>
      </w:r>
      <w:r>
        <w:rPr>
          <w:rFonts w:ascii="Times New Roman" w:hAnsi="Times New Roman"/>
          <w:bCs/>
          <w:i/>
          <w:color w:val="000000" w:themeColor="text1"/>
          <w:sz w:val="28"/>
          <w:szCs w:val="28"/>
          <w:lang w:val="ru-RU"/>
        </w:rPr>
      </w:r>
      <w:r>
        <w:rPr>
          <w:rFonts w:ascii="Times New Roman" w:hAnsi="Times New Roman"/>
          <w:bCs/>
          <w:i/>
          <w:color w:val="000000" w:themeColor="text1"/>
          <w:sz w:val="28"/>
          <w:szCs w:val="28"/>
          <w:lang w:val="ru-RU"/>
        </w:rPr>
      </w:r>
    </w:p>
    <w:p>
      <w:pPr>
        <w:pStyle w:val="1227"/>
        <w:numPr>
          <w:ilvl w:val="0"/>
          <w:numId w:val="68"/>
        </w:numPr>
        <w:ind w:left="0" w:firstLine="709"/>
        <w:jc w:val="both"/>
        <w:spacing w:line="276" w:lineRule="auto"/>
        <w:tabs>
          <w:tab w:val="left" w:pos="709" w:leader="none"/>
        </w:tabs>
        <w:rPr>
          <w:rFonts w:ascii="Times New Roman" w:hAnsi="Times New Roman"/>
          <w:bCs/>
          <w:i/>
          <w:color w:val="000000" w:themeColor="text1"/>
          <w:sz w:val="28"/>
          <w:szCs w:val="28"/>
          <w:lang w:val="ru-RU"/>
        </w:rPr>
      </w:pPr>
      <w:r>
        <w:rPr>
          <w:rFonts w:ascii="Times New Roman" w:hAnsi="Times New Roman"/>
          <w:color w:val="000000" w:themeColor="text1"/>
          <w:sz w:val="28"/>
          <w:szCs w:val="28"/>
          <w:lang w:val="ru-RU"/>
        </w:rPr>
        <w:t xml:space="preserve">продолжить системный </w:t>
      </w:r>
      <w:r>
        <w:rPr>
          <w:rFonts w:ascii="Times New Roman" w:hAnsi="Times New Roman"/>
          <w:color w:val="000000" w:themeColor="text1"/>
          <w:sz w:val="28"/>
          <w:szCs w:val="28"/>
          <w:lang w:val="ru-RU"/>
        </w:rPr>
        <w:t xml:space="preserve">контроль за</w:t>
      </w:r>
      <w:r>
        <w:rPr>
          <w:rFonts w:ascii="Times New Roman" w:hAnsi="Times New Roman"/>
          <w:color w:val="000000" w:themeColor="text1"/>
          <w:sz w:val="28"/>
          <w:szCs w:val="28"/>
          <w:lang w:val="ru-RU"/>
        </w:rPr>
        <w:t xml:space="preserve"> соблюдением прав и свобод иностранных граждан, предусмотренный миграционным законодательством Российской Федерации. </w:t>
      </w:r>
      <w:r>
        <w:rPr>
          <w:rFonts w:ascii="Times New Roman" w:hAnsi="Times New Roman"/>
          <w:bCs/>
          <w:i/>
          <w:color w:val="000000" w:themeColor="text1"/>
          <w:sz w:val="28"/>
          <w:szCs w:val="28"/>
          <w:lang w:val="ru-RU"/>
        </w:rPr>
      </w:r>
      <w:r>
        <w:rPr>
          <w:rFonts w:ascii="Times New Roman" w:hAnsi="Times New Roman"/>
          <w:bCs/>
          <w:i/>
          <w:color w:val="000000" w:themeColor="text1"/>
          <w:sz w:val="28"/>
          <w:szCs w:val="28"/>
          <w:lang w:val="ru-RU"/>
        </w:rPr>
      </w:r>
    </w:p>
    <w:p>
      <w:pPr>
        <w:jc w:val="both"/>
        <w:rPr>
          <w:rFonts w:ascii="Times New Roman" w:hAnsi="Times New Roman"/>
          <w:bCs/>
          <w:iCs/>
          <w:sz w:val="28"/>
          <w:szCs w:val="28"/>
          <w:lang w:eastAsia="ru-RU"/>
        </w:rPr>
      </w:pPr>
      <w:r>
        <w:rPr>
          <w:rFonts w:ascii="Times New Roman" w:hAnsi="Times New Roman"/>
          <w:bCs/>
          <w:iCs/>
          <w:sz w:val="28"/>
          <w:szCs w:val="28"/>
          <w:lang w:eastAsia="ru-RU"/>
        </w:rPr>
      </w:r>
      <w:r>
        <w:rPr>
          <w:rFonts w:ascii="Times New Roman" w:hAnsi="Times New Roman"/>
          <w:bCs/>
          <w:iCs/>
          <w:sz w:val="28"/>
          <w:szCs w:val="28"/>
          <w:lang w:eastAsia="ru-RU"/>
        </w:rPr>
      </w:r>
      <w:r>
        <w:rPr>
          <w:rFonts w:ascii="Times New Roman" w:hAnsi="Times New Roman"/>
          <w:bCs/>
          <w:iCs/>
          <w:sz w:val="28"/>
          <w:szCs w:val="28"/>
          <w:lang w:eastAsia="ru-RU"/>
        </w:rPr>
      </w:r>
    </w:p>
    <w:p>
      <w:pPr>
        <w:pStyle w:val="1226"/>
        <w:jc w:val="center"/>
        <w:rPr>
          <w:rFonts w:ascii="Times New Roman" w:hAnsi="Times New Roman" w:cs="Times New Roman"/>
          <w:b/>
          <w:bCs/>
          <w:color w:val="auto"/>
          <w:sz w:val="28"/>
          <w:szCs w:val="28"/>
        </w:rPr>
      </w:pPr>
      <w:r/>
      <w:bookmarkStart w:id="58" w:name="_Toc36"/>
      <w:r>
        <w:rPr>
          <w:b/>
          <w:bCs/>
        </w:rPr>
      </w:r>
      <w:bookmarkStart w:id="22" w:name="undefined"/>
      <w:r>
        <w:rPr>
          <w:rFonts w:ascii="Times New Roman" w:hAnsi="Times New Roman" w:cs="Times New Roman"/>
          <w:b/>
          <w:bCs/>
          <w:color w:val="auto"/>
          <w:sz w:val="28"/>
          <w:szCs w:val="28"/>
        </w:rPr>
        <w:t xml:space="preserve">12.2. Защита прав человека в учреждениях уголовно-исполнительной системы</w:t>
      </w:r>
      <w:bookmarkEnd w:id="22"/>
      <w:r>
        <w:rPr>
          <w:rFonts w:ascii="Times New Roman" w:hAnsi="Times New Roman" w:cs="Times New Roman"/>
          <w:b/>
          <w:bCs/>
          <w:color w:val="auto"/>
          <w:sz w:val="28"/>
          <w:szCs w:val="28"/>
        </w:rPr>
      </w:r>
      <w:bookmarkEnd w:id="58"/>
      <w:r>
        <w:rPr>
          <w:rFonts w:ascii="Times New Roman" w:hAnsi="Times New Roman" w:cs="Times New Roman"/>
          <w:b/>
          <w:bCs/>
          <w:color w:val="auto"/>
          <w:sz w:val="28"/>
          <w:szCs w:val="28"/>
        </w:rPr>
      </w:r>
      <w:r>
        <w:rPr>
          <w:rFonts w:ascii="Times New Roman" w:hAnsi="Times New Roman" w:cs="Times New Roman"/>
          <w:b/>
          <w:bCs/>
          <w:color w:val="auto"/>
          <w:sz w:val="28"/>
          <w:szCs w:val="28"/>
        </w:rPr>
      </w:r>
    </w:p>
    <w:p>
      <w:pPr>
        <w:ind w:firstLine="709"/>
        <w:jc w:val="center"/>
        <w:spacing w:after="0"/>
        <w:rPr>
          <w:rFonts w:ascii="Times New Roman" w:hAnsi="Times New Roman"/>
          <w:b/>
          <w:i/>
          <w:sz w:val="28"/>
          <w:szCs w:val="28"/>
        </w:rPr>
      </w:pPr>
      <w:r>
        <w:rPr>
          <w:rFonts w:ascii="Times New Roman" w:hAnsi="Times New Roman"/>
          <w:b/>
          <w:i/>
          <w:sz w:val="28"/>
          <w:szCs w:val="28"/>
        </w:rPr>
      </w:r>
      <w:r>
        <w:rPr>
          <w:rFonts w:ascii="Times New Roman" w:hAnsi="Times New Roman"/>
          <w:b/>
          <w:i/>
          <w:sz w:val="28"/>
          <w:szCs w:val="28"/>
        </w:rPr>
      </w:r>
      <w:r>
        <w:rPr>
          <w:rFonts w:ascii="Times New Roman" w:hAnsi="Times New Roman"/>
          <w:b/>
          <w:i/>
          <w:sz w:val="28"/>
          <w:szCs w:val="28"/>
        </w:rPr>
      </w:r>
    </w:p>
    <w:p>
      <w:pPr>
        <w:ind w:firstLine="709"/>
        <w:jc w:val="both"/>
        <w:spacing w:after="0"/>
        <w:rPr>
          <w:rFonts w:ascii="Times New Roman" w:hAnsi="Times New Roman" w:eastAsia="Times New Roman"/>
          <w:sz w:val="28"/>
          <w:szCs w:val="28"/>
        </w:rPr>
      </w:pPr>
      <w:r>
        <w:rPr>
          <w:rFonts w:ascii="Times New Roman" w:hAnsi="Times New Roman" w:eastAsia="Times New Roman"/>
          <w:sz w:val="28"/>
          <w:szCs w:val="28"/>
        </w:rPr>
        <w:t xml:space="preserve">Деятельность Уполномоченного по правам человека в Ивановской области в сфере защиты прав лиц, содержащихся в учреждениях уголовно-исполнительной системы (УИС), остается одним из ключевых направлений работы. </w:t>
      </w:r>
      <w:r>
        <w:rPr>
          <w:rFonts w:ascii="Times New Roman" w:hAnsi="Times New Roman" w:eastAsia="Times New Roman"/>
          <w:sz w:val="28"/>
          <w:szCs w:val="28"/>
        </w:rPr>
      </w:r>
      <w:r>
        <w:rPr>
          <w:rFonts w:ascii="Times New Roman" w:hAnsi="Times New Roman" w:eastAsia="Times New Roman"/>
          <w:sz w:val="28"/>
          <w:szCs w:val="28"/>
        </w:rPr>
      </w:r>
    </w:p>
    <w:p>
      <w:pPr>
        <w:ind w:firstLine="709"/>
        <w:jc w:val="both"/>
        <w:spacing w:after="0"/>
        <w:rPr>
          <w:color w:val="00b050"/>
        </w:rPr>
      </w:pPr>
      <w:r>
        <w:rPr>
          <w:rFonts w:ascii="Times New Roman" w:hAnsi="Times New Roman" w:eastAsia="Times New Roman"/>
          <w:sz w:val="28"/>
          <w:szCs w:val="28"/>
        </w:rPr>
        <w:t xml:space="preserve">Права человека и гражданина являются важнейшей категорией, определяющей качество жизни каждого гражданина Российской Федерации.  Сегодня не всегда с пониманием относятся к лицам, совершившим преступление и отбываю</w:t>
      </w:r>
      <w:r>
        <w:rPr>
          <w:rFonts w:ascii="Times New Roman" w:hAnsi="Times New Roman" w:eastAsia="Times New Roman"/>
          <w:sz w:val="28"/>
          <w:szCs w:val="28"/>
        </w:rPr>
        <w:t xml:space="preserve">щим назначенное судом наказание. Вместе с тем, осужденные, отбывающие наказание, хотя и ограничены в некотором роде в конституционных правах, но при этом являются полноценными гражданами, а их права и свободы должны быть обеспечены защитой в полном объеме.</w:t>
      </w:r>
      <w:r>
        <w:rPr>
          <w:color w:val="00b050"/>
        </w:rPr>
      </w:r>
      <w:r>
        <w:rPr>
          <w:color w:val="00b050"/>
        </w:rPr>
      </w:r>
    </w:p>
    <w:p>
      <w:pPr>
        <w:ind w:firstLine="709"/>
        <w:jc w:val="both"/>
        <w:spacing w:after="0"/>
      </w:pPr>
      <w:r>
        <w:rPr>
          <w:rFonts w:ascii="Times New Roman" w:hAnsi="Times New Roman" w:eastAsia="Times New Roman"/>
          <w:sz w:val="28"/>
          <w:szCs w:val="28"/>
        </w:rPr>
        <w:t xml:space="preserve">В 2025 году основное внимание было сосредоточено на соблюдении законов в сфере материально-бытового обеспечения осужденных и лиц, содержащихся под стражей, доступ к качественной медицинской помощи, трудовую деятельность и социальную реабилитацию.</w:t>
      </w:r>
      <w:r/>
    </w:p>
    <w:p>
      <w:pPr>
        <w:ind w:firstLine="709"/>
        <w:jc w:val="both"/>
        <w:spacing w:after="0"/>
        <w:rPr>
          <w:rFonts w:ascii="Times New Roman" w:hAnsi="Times New Roman"/>
          <w:sz w:val="28"/>
          <w:szCs w:val="28"/>
        </w:rPr>
      </w:pPr>
      <w:r>
        <w:rPr>
          <w:rFonts w:ascii="Times New Roman" w:hAnsi="Times New Roman" w:eastAsia="Times New Roman"/>
          <w:sz w:val="28"/>
          <w:szCs w:val="28"/>
        </w:rPr>
        <w:t xml:space="preserve">В январе 2025 года Уполномоченный приняла участие в заседании региональной Общественной наблюдательной комиссии, посвященном подведению итогов работы общественников за 2024 год.</w:t>
      </w:r>
      <w:r>
        <w:rPr>
          <w:rFonts w:ascii="Times New Roman" w:hAnsi="Times New Roman"/>
          <w:sz w:val="28"/>
          <w:szCs w:val="28"/>
        </w:rPr>
      </w:r>
      <w:r>
        <w:rPr>
          <w:rFonts w:ascii="Times New Roman" w:hAnsi="Times New Roman"/>
          <w:sz w:val="28"/>
          <w:szCs w:val="28"/>
        </w:rPr>
      </w:r>
    </w:p>
    <w:p>
      <w:pPr>
        <w:ind w:firstLine="709"/>
        <w:jc w:val="both"/>
        <w:spacing w:after="0"/>
        <w:rPr>
          <w:rFonts w:ascii="Times New Roman" w:hAnsi="Times New Roman"/>
          <w:sz w:val="28"/>
          <w:szCs w:val="28"/>
        </w:rPr>
      </w:pPr>
      <w:r>
        <w:rPr>
          <w:rFonts w:ascii="Times New Roman" w:hAnsi="Times New Roman" w:eastAsia="Times New Roman"/>
          <w:sz w:val="28"/>
          <w:szCs w:val="28"/>
        </w:rPr>
        <w:t xml:space="preserve">В ходе обсуждения актуальных вопросов на заседании омбудсмен обратила внимание на жалобы, поступившие от осужденных и их родственников. </w:t>
      </w:r>
      <w:r>
        <w:rPr>
          <w:rFonts w:ascii="Times New Roman" w:hAnsi="Times New Roman"/>
          <w:sz w:val="28"/>
          <w:szCs w:val="28"/>
        </w:rPr>
      </w:r>
      <w:r>
        <w:rPr>
          <w:rFonts w:ascii="Times New Roman" w:hAnsi="Times New Roman"/>
          <w:sz w:val="28"/>
          <w:szCs w:val="28"/>
        </w:rPr>
      </w:r>
    </w:p>
    <w:p>
      <w:pPr>
        <w:ind w:firstLine="709"/>
        <w:jc w:val="both"/>
        <w:spacing w:after="0"/>
        <w:rPr>
          <w:rFonts w:ascii="Times New Roman" w:hAnsi="Times New Roman"/>
          <w:sz w:val="28"/>
          <w:szCs w:val="28"/>
        </w:rPr>
      </w:pPr>
      <w:r>
        <w:rPr>
          <w:rFonts w:ascii="Times New Roman" w:hAnsi="Times New Roman" w:eastAsia="Times New Roman"/>
          <w:sz w:val="28"/>
          <w:szCs w:val="28"/>
        </w:rPr>
        <w:t xml:space="preserve">Было отмечено, что в ходе работы с корреспонденцией из мест лишения свободы положительно зарекомендовали себя проверки совместно со </w:t>
      </w:r>
      <w:r>
        <w:rPr>
          <w:rFonts w:ascii="Times New Roman" w:hAnsi="Times New Roman" w:eastAsia="Times New Roman"/>
          <w:sz w:val="28"/>
          <w:szCs w:val="28"/>
        </w:rPr>
        <w:t xml:space="preserve">спецпрокуратурой</w:t>
      </w:r>
      <w:r>
        <w:rPr>
          <w:rFonts w:ascii="Times New Roman" w:hAnsi="Times New Roman" w:eastAsia="Times New Roman"/>
          <w:sz w:val="28"/>
          <w:szCs w:val="28"/>
        </w:rPr>
        <w:t xml:space="preserve"> и представителями ОНК; дни правового просвещения в учреждениях пенитенциарной системы региона; индивидуальные беседы с подозреваемыми, обвиняемыми, подсудимыми и осужденными; </w:t>
      </w:r>
      <w:r>
        <w:rPr>
          <w:rFonts w:ascii="Times New Roman" w:hAnsi="Times New Roman" w:eastAsia="Times New Roman"/>
          <w:sz w:val="28"/>
          <w:szCs w:val="28"/>
        </w:rPr>
        <w:t xml:space="preserve">проактивные</w:t>
      </w:r>
      <w:r>
        <w:rPr>
          <w:rFonts w:ascii="Times New Roman" w:hAnsi="Times New Roman" w:eastAsia="Times New Roman"/>
          <w:sz w:val="28"/>
          <w:szCs w:val="28"/>
        </w:rPr>
        <w:t xml:space="preserve"> формы работы </w:t>
      </w:r>
      <w:r>
        <w:rPr>
          <w:rFonts w:ascii="Times New Roman" w:hAnsi="Times New Roman" w:eastAsia="Times New Roman"/>
          <w:sz w:val="28"/>
          <w:szCs w:val="28"/>
        </w:rPr>
        <w:t xml:space="preserve">для</w:t>
      </w:r>
      <w:r>
        <w:rPr>
          <w:rFonts w:ascii="Times New Roman" w:hAnsi="Times New Roman" w:eastAsia="Times New Roman"/>
          <w:sz w:val="28"/>
          <w:szCs w:val="28"/>
        </w:rPr>
        <w:t xml:space="preserve"> отбывающих наказание.</w:t>
      </w:r>
      <w:r>
        <w:rPr>
          <w:rFonts w:ascii="Times New Roman" w:hAnsi="Times New Roman"/>
          <w:sz w:val="28"/>
          <w:szCs w:val="28"/>
        </w:rPr>
      </w:r>
      <w:r>
        <w:rPr>
          <w:rFonts w:ascii="Times New Roman" w:hAnsi="Times New Roman"/>
          <w:sz w:val="28"/>
          <w:szCs w:val="28"/>
        </w:rPr>
      </w:r>
    </w:p>
    <w:p>
      <w:pPr>
        <w:ind w:firstLine="709"/>
        <w:jc w:val="both"/>
        <w:spacing w:after="0"/>
        <w:rPr>
          <w:rFonts w:ascii="Times New Roman" w:hAnsi="Times New Roman" w:eastAsia="Times New Roman"/>
          <w:sz w:val="28"/>
          <w:szCs w:val="28"/>
        </w:rPr>
      </w:pPr>
      <w:r>
        <w:rPr>
          <w:rFonts w:ascii="Times New Roman" w:hAnsi="Times New Roman" w:eastAsia="Times New Roman"/>
          <w:sz w:val="28"/>
          <w:szCs w:val="28"/>
        </w:rPr>
        <w:t xml:space="preserve">Также в рамках заседания Уполномоченн</w:t>
      </w:r>
      <w:r>
        <w:rPr>
          <w:rFonts w:ascii="Times New Roman" w:hAnsi="Times New Roman" w:eastAsia="Times New Roman"/>
          <w:sz w:val="28"/>
          <w:szCs w:val="28"/>
        </w:rPr>
        <w:t xml:space="preserve">ый совместно с председателем Общественной палаты Ивановской области Еленой Леванюк поблагодарили членов ОНК во главе со Светланой Шишкиной за выявление проблемных вопросов и подключение к их решению в сфере защиты прав задержанных, обвиняемых и осужденных.</w:t>
      </w:r>
      <w:r>
        <w:rPr>
          <w:rFonts w:ascii="Times New Roman" w:hAnsi="Times New Roman" w:eastAsia="Times New Roman"/>
          <w:sz w:val="28"/>
          <w:szCs w:val="28"/>
        </w:rPr>
      </w:r>
      <w:r>
        <w:rPr>
          <w:rFonts w:ascii="Times New Roman" w:hAnsi="Times New Roman" w:eastAsia="Times New Roman"/>
          <w:sz w:val="28"/>
          <w:szCs w:val="28"/>
        </w:rPr>
      </w:r>
    </w:p>
    <w:p>
      <w:pPr>
        <w:ind w:firstLine="709"/>
        <w:jc w:val="both"/>
        <w:spacing w:after="0"/>
        <w:rPr>
          <w:rFonts w:ascii="Courier New" w:hAnsi="Courier New" w:eastAsia="Courier New" w:cs="Courier New"/>
          <w:color w:val="000000"/>
          <w:sz w:val="21"/>
          <w:szCs w:val="21"/>
          <w:highlight w:val="white"/>
        </w:rPr>
      </w:pPr>
      <w:r>
        <w:rPr>
          <w:rFonts w:ascii="Times New Roman" w:hAnsi="Times New Roman" w:eastAsia="Times New Roman"/>
          <w:color w:val="000000"/>
          <w:sz w:val="28"/>
          <w:szCs w:val="28"/>
          <w:highlight w:val="white"/>
        </w:rPr>
        <w:t xml:space="preserve">Для эффективной защиты прав крайне важен диалог. По вопросам принудительного содержания такой диалог ведется регулярно и предметно с УФСИН России по Ивановской области, в том числе на площадке коллегии Управления.</w:t>
      </w:r>
      <w:r>
        <w:rPr>
          <w:rFonts w:ascii="Courier New" w:hAnsi="Courier New" w:eastAsia="Courier New" w:cs="Courier New"/>
          <w:color w:val="000000"/>
          <w:sz w:val="21"/>
          <w:szCs w:val="21"/>
          <w:highlight w:val="white"/>
        </w:rPr>
      </w:r>
      <w:r>
        <w:rPr>
          <w:rFonts w:ascii="Courier New" w:hAnsi="Courier New" w:eastAsia="Courier New" w:cs="Courier New"/>
          <w:color w:val="000000"/>
          <w:sz w:val="21"/>
          <w:szCs w:val="21"/>
          <w:highlight w:val="white"/>
        </w:rPr>
      </w:r>
    </w:p>
    <w:p>
      <w:pPr>
        <w:ind w:firstLine="709"/>
        <w:jc w:val="both"/>
        <w:spacing w:after="0"/>
        <w:rPr>
          <w:rFonts w:ascii="Times New Roman" w:hAnsi="Times New Roman" w:eastAsia="Times New Roman"/>
          <w:sz w:val="28"/>
          <w:szCs w:val="28"/>
        </w:rPr>
      </w:pPr>
      <w:r>
        <w:rPr>
          <w:rFonts w:ascii="Times New Roman" w:hAnsi="Times New Roman" w:eastAsia="Times New Roman"/>
          <w:sz w:val="28"/>
          <w:szCs w:val="28"/>
        </w:rPr>
        <w:t xml:space="preserve">В феврале 2025 года в УФСИН России по Ивано</w:t>
      </w:r>
      <w:r>
        <w:rPr>
          <w:rFonts w:ascii="Times New Roman" w:hAnsi="Times New Roman" w:eastAsia="Times New Roman"/>
          <w:sz w:val="28"/>
          <w:szCs w:val="28"/>
        </w:rPr>
        <w:t xml:space="preserve">вской области прошло расширенное заседание коллегии, в ходе которого были рассмотрены итоги оперативно-служебной, производственно-хозяйственной и финансово-экономической деятельности УФСИН и подведомственных ему учреждений за 2024 год и задачи на 2025 год.</w:t>
      </w:r>
      <w:r>
        <w:rPr>
          <w:rFonts w:ascii="Times New Roman" w:hAnsi="Times New Roman" w:eastAsia="Times New Roman"/>
          <w:sz w:val="28"/>
          <w:szCs w:val="28"/>
        </w:rPr>
        <w:t xml:space="preserve"> </w:t>
      </w:r>
      <w:r>
        <w:rPr>
          <w:rFonts w:ascii="Times New Roman" w:hAnsi="Times New Roman" w:eastAsia="Times New Roman"/>
          <w:sz w:val="28"/>
          <w:szCs w:val="28"/>
        </w:rPr>
      </w:r>
      <w:r>
        <w:rPr>
          <w:rFonts w:ascii="Times New Roman" w:hAnsi="Times New Roman" w:eastAsia="Times New Roman"/>
          <w:sz w:val="28"/>
          <w:szCs w:val="28"/>
        </w:rPr>
      </w:r>
    </w:p>
    <w:p>
      <w:pPr>
        <w:ind w:firstLine="709"/>
        <w:jc w:val="both"/>
        <w:spacing w:after="0"/>
        <w:rPr>
          <w:rFonts w:ascii="Times New Roman" w:hAnsi="Times New Roman" w:eastAsia="Times New Roman"/>
          <w:sz w:val="28"/>
          <w:szCs w:val="28"/>
        </w:rPr>
      </w:pPr>
      <w:r>
        <w:rPr>
          <w:rFonts w:ascii="Times New Roman" w:hAnsi="Times New Roman" w:eastAsia="Times New Roman"/>
          <w:sz w:val="28"/>
          <w:szCs w:val="28"/>
        </w:rPr>
        <w:t xml:space="preserve">Омбудсмен в своем выступлении представила краткую информацию о работе с </w:t>
      </w:r>
      <w:r>
        <w:rPr>
          <w:rFonts w:ascii="Times New Roman" w:hAnsi="Times New Roman" w:eastAsia="Times New Roman"/>
          <w:sz w:val="28"/>
          <w:szCs w:val="28"/>
        </w:rPr>
        <w:t xml:space="preserve">обращениями</w:t>
      </w:r>
      <w:r>
        <w:rPr>
          <w:rFonts w:ascii="Times New Roman" w:hAnsi="Times New Roman" w:eastAsia="Times New Roman"/>
          <w:sz w:val="28"/>
          <w:szCs w:val="28"/>
        </w:rPr>
        <w:t xml:space="preserve"> поступившими от лиц, отбывающих наказание в местах принудительного лишения свободы. Озвучила одну из острых проблем - нехватку врачей в ведомственной медицинской службе, а также длительное ожидание на прием к узким медицинским специалистам.</w:t>
      </w:r>
      <w:r>
        <w:rPr>
          <w:rFonts w:ascii="Times New Roman" w:hAnsi="Times New Roman" w:eastAsia="Times New Roman"/>
          <w:sz w:val="28"/>
          <w:szCs w:val="28"/>
        </w:rPr>
      </w:r>
      <w:r>
        <w:rPr>
          <w:rFonts w:ascii="Times New Roman" w:hAnsi="Times New Roman" w:eastAsia="Times New Roman"/>
          <w:sz w:val="28"/>
          <w:szCs w:val="28"/>
        </w:rPr>
      </w:r>
    </w:p>
    <w:p>
      <w:pPr>
        <w:ind w:firstLine="709"/>
        <w:jc w:val="both"/>
        <w:spacing w:after="0"/>
      </w:pPr>
      <w:r>
        <w:rPr>
          <w:rFonts w:ascii="Times New Roman" w:hAnsi="Times New Roman" w:eastAsia="Times New Roman"/>
          <w:sz w:val="28"/>
          <w:szCs w:val="28"/>
        </w:rPr>
        <w:t xml:space="preserve">В декабре 2025 года Уполномоченный приняла участие в  координационном совещании с участием представителей общественно наблюдательной комиссии (ОНК), региональной прокуратуры  и УМВД России по Ивановской области. </w:t>
      </w:r>
      <w:r>
        <w:rPr>
          <w:rFonts w:ascii="Times New Roman" w:hAnsi="Times New Roman" w:eastAsia="Times New Roman"/>
          <w:sz w:val="28"/>
          <w:szCs w:val="28"/>
        </w:rPr>
        <w:t xml:space="preserve">В ходе рабочего совещания были вы</w:t>
      </w:r>
      <w:r>
        <w:rPr>
          <w:rFonts w:ascii="Times New Roman" w:hAnsi="Times New Roman" w:eastAsia="Times New Roman"/>
          <w:sz w:val="28"/>
          <w:szCs w:val="28"/>
        </w:rPr>
        <w:t xml:space="preserve">работаны совместные подходы к деятельности по общественном контролю, запланированы совместные мероприятия в местах принудительного содержания, каждой из сторон предложены меры по оказанию содействия лицам, содержащимся в местах принудительного содержания. </w:t>
      </w:r>
      <w:r/>
    </w:p>
    <w:p>
      <w:pPr>
        <w:ind w:firstLine="709"/>
        <w:jc w:val="both"/>
        <w:spacing w:after="0"/>
        <w:rPr>
          <w:rFonts w:ascii="Times New Roman" w:hAnsi="Times New Roman" w:eastAsia="Times New Roman"/>
          <w:sz w:val="28"/>
          <w:szCs w:val="28"/>
        </w:rPr>
      </w:pPr>
      <w:r>
        <w:rPr>
          <w:rFonts w:ascii="Times New Roman" w:hAnsi="Times New Roman" w:eastAsia="Times New Roman"/>
          <w:sz w:val="28"/>
          <w:szCs w:val="28"/>
        </w:rPr>
        <w:t xml:space="preserve">В течение отчетного года Уполномоченным по правам человека </w:t>
      </w:r>
      <w:r>
        <w:rPr>
          <w:rFonts w:ascii="Times New Roman" w:hAnsi="Times New Roman" w:eastAsia="Times New Roman"/>
          <w:color w:val="000000" w:themeColor="text1"/>
          <w:sz w:val="28"/>
          <w:szCs w:val="28"/>
        </w:rPr>
        <w:t xml:space="preserve">15</w:t>
      </w:r>
      <w:r>
        <w:rPr>
          <w:rFonts w:ascii="Times New Roman" w:hAnsi="Times New Roman" w:eastAsia="Times New Roman"/>
          <w:sz w:val="28"/>
          <w:szCs w:val="28"/>
        </w:rPr>
        <w:t xml:space="preserve"> раз осуществлялись выезды в исправительные учреждения УИС, в том числе следственный изолятор №1 города Иваново. </w:t>
      </w:r>
      <w:r>
        <w:rPr>
          <w:rFonts w:ascii="Times New Roman" w:hAnsi="Times New Roman" w:eastAsia="Times New Roman"/>
          <w:sz w:val="28"/>
          <w:szCs w:val="28"/>
        </w:rPr>
      </w:r>
      <w:r>
        <w:rPr>
          <w:rFonts w:ascii="Times New Roman" w:hAnsi="Times New Roman" w:eastAsia="Times New Roman"/>
          <w:sz w:val="28"/>
          <w:szCs w:val="28"/>
        </w:rPr>
      </w:r>
    </w:p>
    <w:p>
      <w:pPr>
        <w:ind w:firstLine="709"/>
        <w:jc w:val="both"/>
        <w:spacing w:after="0"/>
      </w:pPr>
      <w:r>
        <w:rPr>
          <w:rFonts w:ascii="Times New Roman" w:hAnsi="Times New Roman" w:eastAsia="Times New Roman"/>
          <w:sz w:val="28"/>
          <w:szCs w:val="28"/>
        </w:rPr>
        <w:t xml:space="preserve">Уполномоченному по правам человека поступали жалобы на ненадлежащие условия содержания, выразившееся в неудовлетворительном состоянии отдельных помещений коммунально-бытовых и жилых объектов, ненадлежащее оказание медицинской помощи и другие. </w:t>
      </w:r>
      <w:r/>
    </w:p>
    <w:p>
      <w:pPr>
        <w:ind w:firstLine="709"/>
        <w:jc w:val="both"/>
        <w:spacing w:after="0"/>
        <w:rPr>
          <w:rFonts w:ascii="Times New Roman" w:hAnsi="Times New Roman" w:eastAsia="Times New Roman"/>
          <w:color w:val="000000" w:themeColor="text1"/>
          <w:sz w:val="28"/>
          <w:szCs w:val="28"/>
        </w:rPr>
      </w:pPr>
      <w:r>
        <w:rPr>
          <w:rFonts w:ascii="Times New Roman" w:hAnsi="Times New Roman" w:eastAsia="Times New Roman"/>
          <w:color w:val="000000" w:themeColor="text1"/>
          <w:sz w:val="28"/>
          <w:szCs w:val="28"/>
        </w:rPr>
        <w:t xml:space="preserve">В рамках работы по данному направлению в прошлом году от лиц, содержащихся в учреждениях УИС, и их родственников Уполномоченному поступило 59 письменных обращений (АППГ - 100) и 278 устных (АППГ - 323).</w:t>
      </w:r>
      <w:r>
        <w:rPr>
          <w:rFonts w:ascii="Times New Roman" w:hAnsi="Times New Roman" w:eastAsia="Times New Roman"/>
          <w:color w:val="000000" w:themeColor="text1"/>
          <w:sz w:val="28"/>
          <w:szCs w:val="28"/>
        </w:rPr>
      </w:r>
      <w:r>
        <w:rPr>
          <w:rFonts w:ascii="Times New Roman" w:hAnsi="Times New Roman" w:eastAsia="Times New Roman"/>
          <w:color w:val="000000" w:themeColor="text1"/>
          <w:sz w:val="28"/>
          <w:szCs w:val="28"/>
        </w:rPr>
      </w:r>
    </w:p>
    <w:p>
      <w:pPr>
        <w:ind w:firstLine="709"/>
        <w:jc w:val="both"/>
        <w:spacing w:after="0"/>
        <w:rPr>
          <w:rFonts w:ascii="Times New Roman" w:hAnsi="Times New Roman" w:eastAsia="Times New Roman"/>
          <w:color w:val="000000" w:themeColor="text1"/>
          <w:sz w:val="28"/>
          <w:szCs w:val="28"/>
        </w:rPr>
      </w:pPr>
      <w:r>
        <w:rPr>
          <w:rFonts w:ascii="Times New Roman" w:hAnsi="Times New Roman" w:eastAsia="Times New Roman"/>
          <w:color w:val="000000" w:themeColor="text1"/>
          <w:sz w:val="28"/>
          <w:szCs w:val="28"/>
        </w:rPr>
        <w:t xml:space="preserve">Тематика обращений распределилась следующим образом:</w:t>
      </w:r>
      <w:r>
        <w:rPr>
          <w:rFonts w:ascii="Times New Roman" w:hAnsi="Times New Roman" w:eastAsia="Times New Roman"/>
          <w:color w:val="000000" w:themeColor="text1"/>
          <w:sz w:val="28"/>
          <w:szCs w:val="28"/>
        </w:rPr>
      </w:r>
      <w:r>
        <w:rPr>
          <w:rFonts w:ascii="Times New Roman" w:hAnsi="Times New Roman" w:eastAsia="Times New Roman"/>
          <w:color w:val="000000" w:themeColor="text1"/>
          <w:sz w:val="28"/>
          <w:szCs w:val="28"/>
        </w:rPr>
      </w:r>
    </w:p>
    <w:p>
      <w:pPr>
        <w:pStyle w:val="1227"/>
        <w:numPr>
          <w:ilvl w:val="0"/>
          <w:numId w:val="69"/>
        </w:numPr>
        <w:ind w:left="0" w:firstLine="709"/>
        <w:jc w:val="both"/>
        <w:spacing w:line="276" w:lineRule="auto"/>
        <w:rPr>
          <w:rFonts w:ascii="Times New Roman" w:hAnsi="Times New Roman" w:eastAsia="Times New Roman"/>
          <w:color w:val="000000" w:themeColor="text1"/>
          <w:sz w:val="28"/>
          <w:szCs w:val="28"/>
          <w:lang w:val="ru-RU"/>
        </w:rPr>
      </w:pPr>
      <w:r>
        <w:rPr>
          <w:rFonts w:ascii="Times New Roman" w:hAnsi="Times New Roman" w:eastAsia="Times New Roman"/>
          <w:color w:val="000000" w:themeColor="text1"/>
          <w:sz w:val="28"/>
          <w:szCs w:val="28"/>
          <w:lang w:val="ru-RU"/>
        </w:rPr>
        <w:t xml:space="preserve">жалобы на ненадлежащее оказание медицинской помощи 148;</w:t>
      </w:r>
      <w:r>
        <w:rPr>
          <w:rFonts w:ascii="Times New Roman" w:hAnsi="Times New Roman" w:eastAsia="Times New Roman"/>
          <w:color w:val="000000" w:themeColor="text1"/>
          <w:sz w:val="28"/>
          <w:szCs w:val="28"/>
          <w:lang w:val="ru-RU"/>
        </w:rPr>
      </w:r>
      <w:r>
        <w:rPr>
          <w:rFonts w:ascii="Times New Roman" w:hAnsi="Times New Roman" w:eastAsia="Times New Roman"/>
          <w:color w:val="000000" w:themeColor="text1"/>
          <w:sz w:val="28"/>
          <w:szCs w:val="28"/>
          <w:lang w:val="ru-RU"/>
        </w:rPr>
      </w:r>
    </w:p>
    <w:p>
      <w:pPr>
        <w:pStyle w:val="1227"/>
        <w:numPr>
          <w:ilvl w:val="0"/>
          <w:numId w:val="69"/>
        </w:numPr>
        <w:ind w:left="0" w:firstLine="709"/>
        <w:jc w:val="both"/>
        <w:spacing w:line="276" w:lineRule="auto"/>
        <w:rPr>
          <w:rFonts w:ascii="Times New Roman" w:hAnsi="Times New Roman" w:eastAsia="Times New Roman"/>
          <w:color w:val="000000" w:themeColor="text1"/>
          <w:sz w:val="28"/>
          <w:szCs w:val="28"/>
          <w:lang w:val="ru-RU"/>
        </w:rPr>
      </w:pPr>
      <w:r>
        <w:rPr>
          <w:rFonts w:ascii="Times New Roman" w:hAnsi="Times New Roman" w:eastAsia="Times New Roman"/>
          <w:color w:val="000000" w:themeColor="text1"/>
          <w:sz w:val="28"/>
          <w:szCs w:val="28"/>
          <w:lang w:val="ru-RU"/>
        </w:rPr>
        <w:t xml:space="preserve">обращения, связанные с условно-досрочным освобождением 32;</w:t>
      </w:r>
      <w:r>
        <w:rPr>
          <w:rFonts w:ascii="Times New Roman" w:hAnsi="Times New Roman" w:eastAsia="Times New Roman"/>
          <w:color w:val="000000" w:themeColor="text1"/>
          <w:sz w:val="28"/>
          <w:szCs w:val="28"/>
          <w:lang w:val="ru-RU"/>
        </w:rPr>
      </w:r>
      <w:r>
        <w:rPr>
          <w:rFonts w:ascii="Times New Roman" w:hAnsi="Times New Roman" w:eastAsia="Times New Roman"/>
          <w:color w:val="000000" w:themeColor="text1"/>
          <w:sz w:val="28"/>
          <w:szCs w:val="28"/>
          <w:lang w:val="ru-RU"/>
        </w:rPr>
      </w:r>
    </w:p>
    <w:p>
      <w:pPr>
        <w:pStyle w:val="1227"/>
        <w:numPr>
          <w:ilvl w:val="0"/>
          <w:numId w:val="69"/>
        </w:numPr>
        <w:ind w:left="0" w:firstLine="709"/>
        <w:jc w:val="both"/>
        <w:spacing w:line="276" w:lineRule="auto"/>
        <w:rPr>
          <w:rFonts w:ascii="Times New Roman" w:hAnsi="Times New Roman" w:eastAsia="Times New Roman"/>
          <w:color w:val="000000" w:themeColor="text1"/>
          <w:sz w:val="28"/>
          <w:szCs w:val="28"/>
          <w:lang w:val="ru-RU"/>
        </w:rPr>
      </w:pPr>
      <w:r>
        <w:rPr>
          <w:rFonts w:ascii="Times New Roman" w:hAnsi="Times New Roman" w:eastAsia="Times New Roman"/>
          <w:color w:val="000000" w:themeColor="text1"/>
          <w:sz w:val="28"/>
          <w:szCs w:val="28"/>
          <w:lang w:val="ru-RU"/>
        </w:rPr>
        <w:t xml:space="preserve">жалобы на ненадлежащие бытовые условия 22;</w:t>
      </w:r>
      <w:r>
        <w:rPr>
          <w:rFonts w:ascii="Times New Roman" w:hAnsi="Times New Roman" w:eastAsia="Times New Roman"/>
          <w:color w:val="000000" w:themeColor="text1"/>
          <w:sz w:val="28"/>
          <w:szCs w:val="28"/>
          <w:lang w:val="ru-RU"/>
        </w:rPr>
      </w:r>
      <w:r>
        <w:rPr>
          <w:rFonts w:ascii="Times New Roman" w:hAnsi="Times New Roman" w:eastAsia="Times New Roman"/>
          <w:color w:val="000000" w:themeColor="text1"/>
          <w:sz w:val="28"/>
          <w:szCs w:val="28"/>
          <w:lang w:val="ru-RU"/>
        </w:rPr>
      </w:r>
    </w:p>
    <w:p>
      <w:pPr>
        <w:pStyle w:val="1227"/>
        <w:numPr>
          <w:ilvl w:val="0"/>
          <w:numId w:val="69"/>
        </w:numPr>
        <w:ind w:left="0" w:firstLine="709"/>
        <w:jc w:val="both"/>
        <w:spacing w:line="276" w:lineRule="auto"/>
        <w:rPr>
          <w:rFonts w:ascii="Times New Roman" w:hAnsi="Times New Roman" w:eastAsia="Times New Roman"/>
          <w:color w:val="000000" w:themeColor="text1"/>
          <w:sz w:val="28"/>
          <w:szCs w:val="28"/>
          <w:lang w:val="ru-RU"/>
        </w:rPr>
      </w:pPr>
      <w:r>
        <w:rPr>
          <w:rFonts w:ascii="Times New Roman" w:hAnsi="Times New Roman" w:eastAsia="Times New Roman"/>
          <w:color w:val="000000" w:themeColor="text1"/>
          <w:sz w:val="28"/>
          <w:szCs w:val="28"/>
          <w:lang w:val="ru-RU"/>
        </w:rPr>
        <w:t xml:space="preserve">жалобы на действия должностных лиц 34;</w:t>
      </w:r>
      <w:r>
        <w:rPr>
          <w:rFonts w:ascii="Times New Roman" w:hAnsi="Times New Roman" w:eastAsia="Times New Roman"/>
          <w:color w:val="000000" w:themeColor="text1"/>
          <w:sz w:val="28"/>
          <w:szCs w:val="28"/>
          <w:lang w:val="ru-RU"/>
        </w:rPr>
      </w:r>
      <w:r>
        <w:rPr>
          <w:rFonts w:ascii="Times New Roman" w:hAnsi="Times New Roman" w:eastAsia="Times New Roman"/>
          <w:color w:val="000000" w:themeColor="text1"/>
          <w:sz w:val="28"/>
          <w:szCs w:val="28"/>
          <w:lang w:val="ru-RU"/>
        </w:rPr>
      </w:r>
    </w:p>
    <w:p>
      <w:pPr>
        <w:pStyle w:val="1227"/>
        <w:numPr>
          <w:ilvl w:val="0"/>
          <w:numId w:val="69"/>
        </w:numPr>
        <w:ind w:left="0" w:firstLine="709"/>
        <w:jc w:val="both"/>
        <w:spacing w:line="276" w:lineRule="auto"/>
        <w:rPr>
          <w:rFonts w:ascii="Times New Roman" w:hAnsi="Times New Roman" w:eastAsia="Times New Roman"/>
          <w:color w:val="000000" w:themeColor="text1"/>
          <w:sz w:val="28"/>
          <w:szCs w:val="28"/>
          <w:lang w:val="ru-RU"/>
        </w:rPr>
      </w:pPr>
      <w:r>
        <w:rPr>
          <w:rFonts w:ascii="Times New Roman" w:hAnsi="Times New Roman" w:eastAsia="Times New Roman"/>
          <w:color w:val="000000" w:themeColor="text1"/>
          <w:sz w:val="28"/>
          <w:szCs w:val="28"/>
          <w:lang w:val="ru-RU"/>
        </w:rPr>
        <w:t xml:space="preserve">несогласие с приговором 43;</w:t>
      </w:r>
      <w:r>
        <w:rPr>
          <w:rFonts w:ascii="Times New Roman" w:hAnsi="Times New Roman" w:eastAsia="Times New Roman"/>
          <w:color w:val="000000" w:themeColor="text1"/>
          <w:sz w:val="28"/>
          <w:szCs w:val="28"/>
          <w:lang w:val="ru-RU"/>
        </w:rPr>
      </w:r>
      <w:r>
        <w:rPr>
          <w:rFonts w:ascii="Times New Roman" w:hAnsi="Times New Roman" w:eastAsia="Times New Roman"/>
          <w:color w:val="000000" w:themeColor="text1"/>
          <w:sz w:val="28"/>
          <w:szCs w:val="28"/>
          <w:lang w:val="ru-RU"/>
        </w:rPr>
      </w:r>
    </w:p>
    <w:p>
      <w:pPr>
        <w:pStyle w:val="1227"/>
        <w:numPr>
          <w:ilvl w:val="0"/>
          <w:numId w:val="69"/>
        </w:numPr>
        <w:ind w:left="0" w:firstLine="709"/>
        <w:jc w:val="both"/>
        <w:spacing w:line="276" w:lineRule="auto"/>
        <w:rPr>
          <w:rFonts w:ascii="Times New Roman" w:hAnsi="Times New Roman" w:eastAsia="Times New Roman"/>
          <w:color w:val="000000" w:themeColor="text1"/>
          <w:sz w:val="28"/>
          <w:szCs w:val="28"/>
          <w:lang w:val="ru-RU"/>
        </w:rPr>
      </w:pPr>
      <w:r>
        <w:rPr>
          <w:rFonts w:ascii="Times New Roman" w:hAnsi="Times New Roman" w:eastAsia="Times New Roman"/>
          <w:color w:val="000000" w:themeColor="text1"/>
          <w:sz w:val="28"/>
          <w:szCs w:val="28"/>
          <w:lang w:val="ru-RU"/>
        </w:rPr>
        <w:t xml:space="preserve">иные вопросы 58.</w:t>
      </w:r>
      <w:r>
        <w:rPr>
          <w:rFonts w:ascii="Times New Roman" w:hAnsi="Times New Roman" w:eastAsia="Times New Roman"/>
          <w:color w:val="000000" w:themeColor="text1"/>
          <w:sz w:val="28"/>
          <w:szCs w:val="28"/>
          <w:lang w:val="ru-RU"/>
        </w:rPr>
      </w:r>
      <w:r>
        <w:rPr>
          <w:rFonts w:ascii="Times New Roman" w:hAnsi="Times New Roman" w:eastAsia="Times New Roman"/>
          <w:color w:val="000000" w:themeColor="text1"/>
          <w:sz w:val="28"/>
          <w:szCs w:val="28"/>
          <w:lang w:val="ru-RU"/>
        </w:rPr>
      </w:r>
    </w:p>
    <w:p>
      <w:pPr>
        <w:pStyle w:val="1227"/>
        <w:ind w:left="0"/>
        <w:jc w:val="both"/>
        <w:spacing w:line="276" w:lineRule="auto"/>
        <w:rPr>
          <w:rFonts w:ascii="Times New Roman" w:hAnsi="Times New Roman" w:eastAsia="Times New Roman"/>
          <w:color w:val="000000" w:themeColor="text1"/>
          <w:sz w:val="28"/>
          <w:szCs w:val="28"/>
          <w:lang w:val="ru-RU"/>
        </w:rPr>
      </w:pPr>
      <w:r>
        <w:rPr>
          <w:rFonts w:ascii="Times New Roman" w:hAnsi="Times New Roman" w:eastAsia="Times New Roman"/>
          <w:color w:val="000000" w:themeColor="text1"/>
          <w:sz w:val="28"/>
          <w:szCs w:val="28"/>
          <w:lang w:val="ru-RU"/>
        </w:rPr>
      </w:r>
      <w:r>
        <w:rPr>
          <w:rFonts w:ascii="Times New Roman" w:hAnsi="Times New Roman" w:eastAsia="Times New Roman"/>
          <w:color w:val="000000" w:themeColor="text1"/>
          <w:sz w:val="28"/>
          <w:szCs w:val="28"/>
          <w:lang w:val="ru-RU"/>
        </w:rPr>
      </w:r>
      <w:r>
        <w:rPr>
          <w:rFonts w:ascii="Times New Roman" w:hAnsi="Times New Roman" w:eastAsia="Times New Roman"/>
          <w:color w:val="000000" w:themeColor="text1"/>
          <w:sz w:val="28"/>
          <w:szCs w:val="28"/>
          <w:lang w:val="ru-RU"/>
        </w:rPr>
      </w:r>
    </w:p>
    <w:p>
      <w:pPr>
        <w:ind w:firstLine="709"/>
        <w:jc w:val="center"/>
        <w:spacing w:after="0"/>
        <w:rPr>
          <w:rFonts w:ascii="Times New Roman" w:hAnsi="Times New Roman" w:eastAsia="Times New Roman"/>
          <w:b/>
          <w:sz w:val="28"/>
          <w:szCs w:val="28"/>
        </w:rPr>
      </w:pPr>
      <w:r>
        <w:rPr>
          <w:rFonts w:ascii="Times New Roman" w:hAnsi="Times New Roman" w:eastAsia="Times New Roman"/>
          <w:b/>
          <w:sz w:val="28"/>
          <w:szCs w:val="28"/>
        </w:rPr>
        <w:t xml:space="preserve">Рисунок 12.1. Тематика обращений от осужденных и их родственников в 2025 году</w:t>
      </w:r>
      <w:r>
        <w:rPr>
          <w:rFonts w:ascii="Times New Roman" w:hAnsi="Times New Roman" w:eastAsia="Times New Roman"/>
          <w:b/>
          <w:sz w:val="28"/>
          <w:szCs w:val="28"/>
        </w:rPr>
      </w:r>
      <w:r>
        <w:rPr>
          <w:rFonts w:ascii="Times New Roman" w:hAnsi="Times New Roman" w:eastAsia="Times New Roman"/>
          <w:b/>
          <w:sz w:val="28"/>
          <w:szCs w:val="28"/>
        </w:rPr>
      </w:r>
    </w:p>
    <w:p>
      <w:pPr>
        <w:ind w:firstLine="709"/>
        <w:jc w:val="center"/>
        <w:spacing w:after="0"/>
        <w:rPr>
          <w:rFonts w:ascii="Times New Roman" w:hAnsi="Times New Roman" w:eastAsia="Times New Roman"/>
          <w:color w:val="ff0000"/>
          <w:sz w:val="28"/>
          <w:szCs w:val="28"/>
        </w:rPr>
      </w:pPr>
      <w:r>
        <w:rPr>
          <w:lang w:eastAsia="ru-RU"/>
        </w:rPr>
        <w:drawing>
          <wp:inline distT="0" distB="0" distL="0" distR="0">
            <wp:extent cx="5349852" cy="2821738"/>
            <wp:effectExtent l="4762" t="4762" r="4762" b="4762"/>
            <wp:docPr id="24" name=""/>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r>
        <w:rPr>
          <w:rFonts w:ascii="Times New Roman" w:hAnsi="Times New Roman" w:eastAsia="Times New Roman"/>
          <w:color w:val="ff0000"/>
          <w:sz w:val="28"/>
          <w:szCs w:val="28"/>
        </w:rPr>
      </w:r>
      <w:r>
        <w:rPr>
          <w:rFonts w:ascii="Times New Roman" w:hAnsi="Times New Roman" w:eastAsia="Times New Roman"/>
          <w:color w:val="ff0000"/>
          <w:sz w:val="28"/>
          <w:szCs w:val="28"/>
        </w:rPr>
      </w:r>
    </w:p>
    <w:p>
      <w:pPr>
        <w:jc w:val="both"/>
        <w:spacing w:after="0"/>
        <w:rPr>
          <w:rFonts w:ascii="Times New Roman" w:hAnsi="Times New Roman" w:eastAsia="Times New Roman"/>
          <w:sz w:val="28"/>
          <w:szCs w:val="28"/>
        </w:rPr>
      </w:pPr>
      <w:r>
        <w:rPr>
          <w:rFonts w:ascii="Times New Roman" w:hAnsi="Times New Roman" w:eastAsia="Times New Roman"/>
          <w:sz w:val="28"/>
          <w:szCs w:val="28"/>
        </w:rPr>
      </w:r>
      <w:r>
        <w:rPr>
          <w:rFonts w:ascii="Times New Roman" w:hAnsi="Times New Roman" w:eastAsia="Times New Roman"/>
          <w:sz w:val="28"/>
          <w:szCs w:val="28"/>
        </w:rPr>
      </w:r>
      <w:r>
        <w:rPr>
          <w:rFonts w:ascii="Times New Roman" w:hAnsi="Times New Roman" w:eastAsia="Times New Roman"/>
          <w:sz w:val="28"/>
          <w:szCs w:val="28"/>
        </w:rPr>
      </w:r>
    </w:p>
    <w:p>
      <w:pPr>
        <w:ind w:firstLine="709"/>
        <w:jc w:val="both"/>
        <w:spacing w:after="0"/>
        <w:rPr>
          <w:rFonts w:ascii="Times New Roman" w:hAnsi="Times New Roman" w:eastAsia="Times New Roman"/>
          <w:color w:val="00b050"/>
          <w:sz w:val="28"/>
          <w:szCs w:val="28"/>
        </w:rPr>
      </w:pPr>
      <w:r>
        <w:rPr>
          <w:rFonts w:ascii="Times New Roman" w:hAnsi="Times New Roman" w:eastAsia="Times New Roman"/>
          <w:sz w:val="28"/>
          <w:szCs w:val="28"/>
        </w:rPr>
        <w:t xml:space="preserve">Каждое поступившее обращение внимательно изучалось и прорабатывалось.</w:t>
      </w:r>
      <w:r>
        <w:rPr>
          <w:rFonts w:ascii="Times New Roman" w:hAnsi="Times New Roman" w:eastAsia="Times New Roman"/>
          <w:color w:val="00b050"/>
          <w:sz w:val="28"/>
          <w:szCs w:val="28"/>
        </w:rPr>
      </w:r>
      <w:r>
        <w:rPr>
          <w:rFonts w:ascii="Times New Roman" w:hAnsi="Times New Roman" w:eastAsia="Times New Roman"/>
          <w:color w:val="00b050"/>
          <w:sz w:val="28"/>
          <w:szCs w:val="28"/>
        </w:rPr>
      </w:r>
    </w:p>
    <w:p>
      <w:pPr>
        <w:ind w:firstLine="709"/>
        <w:jc w:val="both"/>
        <w:spacing w:after="0"/>
        <w:rPr>
          <w:rFonts w:ascii="Times New Roman" w:hAnsi="Times New Roman" w:eastAsia="Times New Roman"/>
          <w:sz w:val="28"/>
          <w:szCs w:val="28"/>
        </w:rPr>
      </w:pPr>
      <w:r>
        <w:rPr>
          <w:rFonts w:ascii="Times New Roman" w:hAnsi="Times New Roman" w:eastAsia="Times New Roman"/>
          <w:sz w:val="28"/>
          <w:szCs w:val="28"/>
        </w:rPr>
        <w:t xml:space="preserve">Для человека, оказавшегося в местах лишения свободы, письмо (обращение, жалоба) Уполномоченному зачастую становится последней надеждой на восстановление справедливости. Это канал связи с внешним миром, </w:t>
      </w:r>
      <w:r>
        <w:rPr>
          <w:rFonts w:ascii="Times New Roman" w:hAnsi="Times New Roman" w:eastAsia="Times New Roman"/>
          <w:sz w:val="28"/>
          <w:szCs w:val="28"/>
        </w:rPr>
        <w:t xml:space="preserve">который, по закону, не может быть ограничен или подвергнут цензуре. И этот канал работает. Каждое такое обращение - не просто строчка в отчете, а личная история, которая попадает в поле пристального внимания и требует тщательной, индивидуальной проработки.</w:t>
      </w:r>
      <w:r>
        <w:rPr>
          <w:rFonts w:ascii="Times New Roman" w:hAnsi="Times New Roman" w:eastAsia="Times New Roman"/>
          <w:sz w:val="28"/>
          <w:szCs w:val="28"/>
        </w:rPr>
      </w:r>
      <w:r>
        <w:rPr>
          <w:rFonts w:ascii="Times New Roman" w:hAnsi="Times New Roman" w:eastAsia="Times New Roman"/>
          <w:sz w:val="28"/>
          <w:szCs w:val="28"/>
        </w:rPr>
      </w:r>
    </w:p>
    <w:p>
      <w:pPr>
        <w:ind w:firstLine="709"/>
        <w:jc w:val="both"/>
        <w:spacing w:after="0"/>
      </w:pPr>
      <w:r>
        <w:rPr>
          <w:rFonts w:ascii="Times New Roman" w:hAnsi="Times New Roman" w:eastAsia="Times New Roman"/>
          <w:sz w:val="28"/>
          <w:szCs w:val="28"/>
        </w:rPr>
        <w:t xml:space="preserve">Фраза «внимательно изучалось и прорабатывалось» - не бюрократический штамп, а описание реального процесса.</w:t>
      </w:r>
      <w:r/>
    </w:p>
    <w:p>
      <w:pPr>
        <w:ind w:firstLine="709"/>
        <w:jc w:val="both"/>
        <w:spacing w:after="0"/>
      </w:pPr>
      <w:r>
        <w:rPr>
          <w:rFonts w:ascii="Times New Roman" w:hAnsi="Times New Roman" w:eastAsia="Times New Roman"/>
          <w:sz w:val="28"/>
          <w:szCs w:val="28"/>
        </w:rPr>
        <w:t xml:space="preserve">Каждое обращение, независимо от стиля или эмоциональной окраски, регистрируется. Специалисты анализируют его на предмет указания на конкретные, проверяемые нарушения. Важно выделить суть из эмоций.</w:t>
      </w:r>
      <w:r/>
    </w:p>
    <w:p>
      <w:pPr>
        <w:ind w:firstLine="709"/>
        <w:jc w:val="both"/>
        <w:spacing w:after="0"/>
      </w:pPr>
      <w:r>
        <w:rPr>
          <w:rFonts w:ascii="Times New Roman" w:hAnsi="Times New Roman" w:eastAsia="Times New Roman"/>
          <w:sz w:val="28"/>
          <w:szCs w:val="28"/>
        </w:rPr>
        <w:t xml:space="preserve">В абсолютном большинстве слу</w:t>
      </w:r>
      <w:r>
        <w:rPr>
          <w:rFonts w:ascii="Times New Roman" w:hAnsi="Times New Roman" w:eastAsia="Times New Roman"/>
          <w:sz w:val="28"/>
          <w:szCs w:val="28"/>
        </w:rPr>
        <w:t xml:space="preserve">чаев следующим шагом становится направление официального запроса в территориальный орган ФСИН России, в региональную прокуратуру. Омбудсмен не подменяет собой надзорные органы, но он вправе и обязан истребовать все материалы, касающиеся ситуации заявителя.</w:t>
      </w:r>
      <w:r/>
    </w:p>
    <w:p>
      <w:pPr>
        <w:ind w:firstLine="709"/>
        <w:jc w:val="both"/>
        <w:spacing w:after="0"/>
      </w:pPr>
      <w:r>
        <w:rPr>
          <w:rFonts w:ascii="Times New Roman" w:hAnsi="Times New Roman" w:eastAsia="Times New Roman"/>
          <w:sz w:val="28"/>
          <w:szCs w:val="28"/>
        </w:rPr>
        <w:t xml:space="preserve">Часто для прояснения обстоятельств организуются совместные пр</w:t>
      </w:r>
      <w:r>
        <w:rPr>
          <w:rFonts w:ascii="Times New Roman" w:hAnsi="Times New Roman" w:eastAsia="Times New Roman"/>
          <w:sz w:val="28"/>
          <w:szCs w:val="28"/>
        </w:rPr>
        <w:t xml:space="preserve">оверки с сотрудниками прокуратуры или региональными общественными наблюдательными комиссиями (ОНК). Уполномоченный также использует право на безотлагательный прием руководителями любых учреждений УИС, что позволяет оперативно реагировать на острые сигналы.</w:t>
      </w:r>
      <w:r/>
    </w:p>
    <w:p>
      <w:pPr>
        <w:ind w:firstLine="709"/>
        <w:jc w:val="both"/>
        <w:spacing w:after="0"/>
      </w:pPr>
      <w:r>
        <w:rPr>
          <w:rFonts w:ascii="Times New Roman" w:hAnsi="Times New Roman" w:eastAsia="Times New Roman"/>
          <w:sz w:val="28"/>
          <w:szCs w:val="28"/>
        </w:rPr>
        <w:t xml:space="preserve">Каждому заявителю, направившему обращение, направляется мотивированный ответ с разъяснением принятых мер и правовой позиции. Даже если в ходе проверки нарушения не подтвердились, человек получает детальное объяснение.</w:t>
      </w:r>
      <w:r/>
    </w:p>
    <w:p>
      <w:pPr>
        <w:ind w:firstLine="709"/>
        <w:jc w:val="both"/>
        <w:spacing w:after="0"/>
      </w:pPr>
      <w:r>
        <w:rPr>
          <w:rFonts w:ascii="Times New Roman" w:hAnsi="Times New Roman" w:eastAsia="Times New Roman"/>
          <w:sz w:val="28"/>
          <w:szCs w:val="28"/>
        </w:rPr>
        <w:t xml:space="preserve">Работа с обращениями из УИС - это не только </w:t>
      </w:r>
      <w:r>
        <w:rPr>
          <w:rFonts w:ascii="Times New Roman" w:hAnsi="Times New Roman" w:eastAsia="Times New Roman"/>
          <w:sz w:val="28"/>
          <w:szCs w:val="28"/>
        </w:rPr>
        <w:t xml:space="preserve">контроль за</w:t>
      </w:r>
      <w:r>
        <w:rPr>
          <w:rFonts w:ascii="Times New Roman" w:hAnsi="Times New Roman" w:eastAsia="Times New Roman"/>
          <w:sz w:val="28"/>
          <w:szCs w:val="28"/>
        </w:rPr>
        <w:t xml:space="preserve"> соблюдением закона. Это важнейший превентивный и гуманитарный инструмент.</w:t>
      </w:r>
      <w:r/>
    </w:p>
    <w:p>
      <w:pPr>
        <w:ind w:firstLine="709"/>
        <w:jc w:val="both"/>
        <w:spacing w:after="0"/>
      </w:pPr>
      <w:r>
        <w:rPr>
          <w:rFonts w:ascii="Times New Roman" w:hAnsi="Times New Roman" w:eastAsia="Times New Roman"/>
          <w:sz w:val="28"/>
          <w:szCs w:val="28"/>
        </w:rPr>
        <w:t xml:space="preserve">Знание о том, что жалоба будет услышана и изучена, снижает уровень социальной напряженности внутри учреждений.</w:t>
      </w:r>
      <w:r/>
    </w:p>
    <w:p>
      <w:pPr>
        <w:ind w:firstLine="709"/>
        <w:jc w:val="both"/>
        <w:spacing w:after="0"/>
      </w:pPr>
      <w:r>
        <w:rPr>
          <w:rFonts w:ascii="Times New Roman" w:hAnsi="Times New Roman" w:eastAsia="Times New Roman"/>
          <w:sz w:val="28"/>
          <w:szCs w:val="28"/>
        </w:rPr>
        <w:t xml:space="preserve">Множество обращений на одну тему (например, по качеству медицинской помощи) позволяют омбудсмену выявить и поднять на федеральный уровень системную проблему, добиваясь изменений в законодательстве или практике.</w:t>
      </w:r>
      <w:r/>
    </w:p>
    <w:p>
      <w:pPr>
        <w:ind w:firstLine="709"/>
        <w:jc w:val="both"/>
        <w:spacing w:after="0"/>
      </w:pPr>
      <w:r>
        <w:rPr>
          <w:rFonts w:ascii="Times New Roman" w:hAnsi="Times New Roman" w:eastAsia="Times New Roman"/>
          <w:sz w:val="28"/>
          <w:szCs w:val="28"/>
        </w:rPr>
        <w:t xml:space="preserve">Для многих осужденных это возможность быть услышанным государством, что является ключевым элементом их последующей </w:t>
      </w:r>
      <w:r>
        <w:rPr>
          <w:rFonts w:ascii="Times New Roman" w:hAnsi="Times New Roman" w:eastAsia="Times New Roman"/>
          <w:sz w:val="28"/>
          <w:szCs w:val="28"/>
        </w:rPr>
        <w:t xml:space="preserve">ресоциализации</w:t>
      </w:r>
      <w:r>
        <w:rPr>
          <w:rFonts w:ascii="Times New Roman" w:hAnsi="Times New Roman" w:eastAsia="Times New Roman"/>
          <w:sz w:val="28"/>
          <w:szCs w:val="28"/>
        </w:rPr>
        <w:t xml:space="preserve">.</w:t>
      </w:r>
      <w:r/>
    </w:p>
    <w:p>
      <w:pPr>
        <w:ind w:firstLine="709"/>
        <w:jc w:val="both"/>
        <w:spacing w:after="0"/>
        <w:rPr>
          <w:rFonts w:ascii="Times New Roman" w:hAnsi="Times New Roman" w:eastAsia="Times New Roman"/>
          <w:sz w:val="28"/>
          <w:szCs w:val="28"/>
        </w:rPr>
      </w:pPr>
      <w:r>
        <w:rPr>
          <w:rFonts w:ascii="Times New Roman" w:hAnsi="Times New Roman" w:eastAsia="Times New Roman"/>
          <w:sz w:val="28"/>
          <w:szCs w:val="28"/>
        </w:rPr>
        <w:t xml:space="preserve">Принцип «каждое обращение изучается» - это краеугольный камень в защите прав тех, кто находится в наиболее уязвимом положении. Уполномоченный по правам человека выступает здесь в роли независимого арбитра, «моста» между закрытой системой и обществом, </w:t>
      </w:r>
      <w:r>
        <w:rPr>
          <w:rFonts w:ascii="Times New Roman" w:hAnsi="Times New Roman" w:eastAsia="Times New Roman"/>
          <w:sz w:val="28"/>
          <w:szCs w:val="28"/>
        </w:rPr>
        <w:t xml:space="preserve">гарантируя, что даже из-за колючей проволоки голос человека может быть услышан, а его законные интересы - защищены. Это сложная, часто рутинная, но крайне важная работа, от которой зависит не только соблюдение прав конкретного человека, но и общий уровень </w:t>
      </w:r>
      <w:r>
        <w:rPr>
          <w:rFonts w:ascii="Times New Roman" w:hAnsi="Times New Roman" w:eastAsia="Times New Roman"/>
          <w:sz w:val="28"/>
          <w:szCs w:val="28"/>
        </w:rPr>
        <w:t xml:space="preserve">гуманизации</w:t>
      </w:r>
      <w:r>
        <w:rPr>
          <w:rFonts w:ascii="Times New Roman" w:hAnsi="Times New Roman" w:eastAsia="Times New Roman"/>
          <w:sz w:val="28"/>
          <w:szCs w:val="28"/>
        </w:rPr>
        <w:t xml:space="preserve"> всей пенитенциарной системы.</w:t>
      </w:r>
      <w:r>
        <w:rPr>
          <w:rFonts w:ascii="Times New Roman" w:hAnsi="Times New Roman" w:eastAsia="Times New Roman"/>
          <w:sz w:val="28"/>
          <w:szCs w:val="28"/>
        </w:rPr>
      </w:r>
      <w:r>
        <w:rPr>
          <w:rFonts w:ascii="Times New Roman" w:hAnsi="Times New Roman" w:eastAsia="Times New Roman"/>
          <w:sz w:val="28"/>
          <w:szCs w:val="28"/>
        </w:rPr>
      </w:r>
    </w:p>
    <w:p>
      <w:pPr>
        <w:ind w:firstLine="709"/>
        <w:jc w:val="both"/>
        <w:spacing w:after="0"/>
        <w:rPr>
          <w:rFonts w:ascii="Times New Roman" w:hAnsi="Times New Roman" w:eastAsia="Times New Roman"/>
          <w:sz w:val="28"/>
          <w:szCs w:val="28"/>
        </w:rPr>
      </w:pPr>
      <w:r>
        <w:rPr>
          <w:rFonts w:ascii="Times New Roman" w:hAnsi="Times New Roman" w:eastAsia="Times New Roman"/>
          <w:sz w:val="28"/>
          <w:szCs w:val="28"/>
        </w:rPr>
        <w:t xml:space="preserve">С целью анализа и проработки проблемных вопросов, связанных с защитой прав лиц, находящихся в местах лишения свободы, Уполномоченный регулярно запрашивает информацию в УФСИН России по Ивановской области (далее – УФСИН).</w:t>
      </w:r>
      <w:r>
        <w:rPr>
          <w:rFonts w:ascii="Times New Roman" w:hAnsi="Times New Roman" w:eastAsia="Times New Roman"/>
          <w:sz w:val="28"/>
          <w:szCs w:val="28"/>
        </w:rPr>
      </w:r>
      <w:r>
        <w:rPr>
          <w:rFonts w:ascii="Times New Roman" w:hAnsi="Times New Roman" w:eastAsia="Times New Roman"/>
          <w:sz w:val="28"/>
          <w:szCs w:val="28"/>
        </w:rPr>
      </w:r>
    </w:p>
    <w:p>
      <w:pPr>
        <w:ind w:firstLine="709"/>
        <w:jc w:val="both"/>
        <w:spacing w:after="0"/>
        <w:rPr>
          <w:rFonts w:ascii="Times New Roman" w:hAnsi="Times New Roman" w:eastAsia="Times New Roman"/>
          <w:sz w:val="28"/>
          <w:szCs w:val="28"/>
        </w:rPr>
      </w:pPr>
      <w:r>
        <w:rPr>
          <w:rFonts w:ascii="Times New Roman" w:hAnsi="Times New Roman" w:eastAsia="Times New Roman"/>
          <w:sz w:val="28"/>
          <w:szCs w:val="28"/>
        </w:rPr>
        <w:t xml:space="preserve">По предоставленной информации в 2025 году в состав УФСИН входили 5 исправительных колоний, из них общего режима – 3 (ИК-3, 7 – женские, ИК-6 – мужская), строгого режима – 2 (ИК-4, 5), лечебное </w:t>
      </w:r>
      <w:r>
        <w:rPr>
          <w:rFonts w:ascii="Times New Roman" w:hAnsi="Times New Roman" w:eastAsia="Times New Roman"/>
          <w:sz w:val="28"/>
          <w:szCs w:val="28"/>
        </w:rPr>
        <w:t xml:space="preserve">исправительное учреждение (ЛИУ-8), 2 колонии-поселения (КП-10, 12), 2 следственных изолятора (СИЗО-1,2), УИИ (в ее составе 9 филиалов), ФКУ Центр инженерно-технического обеспечения и вооружения, ФКУ Отдел по конвоированию, ФКУ База материально-технического</w:t>
      </w:r>
      <w:r>
        <w:rPr>
          <w:rFonts w:ascii="Times New Roman" w:hAnsi="Times New Roman" w:eastAsia="Times New Roman"/>
          <w:sz w:val="28"/>
          <w:szCs w:val="28"/>
        </w:rPr>
        <w:t xml:space="preserve"> и военного снабжения, ФКУЗ МСЧ-37 ФСИН России, 3 федеральных казенных профессиональных образовательных учреждения ФСИН России, действующих на базе исправительных учреждений Ивановской области, УФИЦ № 1, № 2  при ИК-3, УФИЦ при ИК-5, УФИЦ при ИК-7.</w:t>
      </w:r>
      <w:r>
        <w:rPr>
          <w:rFonts w:ascii="Times New Roman" w:hAnsi="Times New Roman" w:eastAsia="Times New Roman"/>
          <w:sz w:val="28"/>
          <w:szCs w:val="28"/>
        </w:rPr>
      </w:r>
      <w:r>
        <w:rPr>
          <w:rFonts w:ascii="Times New Roman" w:hAnsi="Times New Roman" w:eastAsia="Times New Roman"/>
          <w:sz w:val="28"/>
          <w:szCs w:val="28"/>
        </w:rPr>
      </w:r>
    </w:p>
    <w:p>
      <w:pPr>
        <w:ind w:firstLine="709"/>
        <w:jc w:val="both"/>
        <w:spacing w:after="0"/>
      </w:pPr>
      <w:r>
        <w:rPr>
          <w:rFonts w:ascii="Times New Roman" w:hAnsi="Times New Roman" w:eastAsia="Times New Roman"/>
          <w:sz w:val="28"/>
          <w:szCs w:val="28"/>
        </w:rPr>
        <w:t xml:space="preserve">В целях ликвидации неэффективно используемых подведомственных учреждений УФСИН в 2021 году было принято решение о ликвидации четырех учреждений уголовно-исполнительной си</w:t>
      </w:r>
      <w:r>
        <w:rPr>
          <w:rFonts w:ascii="Times New Roman" w:hAnsi="Times New Roman" w:eastAsia="Times New Roman"/>
          <w:sz w:val="28"/>
          <w:szCs w:val="28"/>
        </w:rPr>
        <w:t xml:space="preserve">стемы Ивановской области: ИК-2, КП-13, ЛИУ-8, КП-12. В соответствии с приказом Минюста России от 19.03.2024 №193 до 01.03.2025 завершена ликвидация КП-13. В соответствии с приказом Минюста России от 20.12.2024 № 379 до 01.12.2025 завершена ликвидация ИК-2.</w:t>
      </w:r>
      <w:r/>
    </w:p>
    <w:p>
      <w:pPr>
        <w:ind w:firstLine="709"/>
        <w:jc w:val="both"/>
        <w:spacing w:after="0"/>
      </w:pPr>
      <w:r>
        <w:rPr>
          <w:rFonts w:ascii="Times New Roman" w:hAnsi="Times New Roman" w:eastAsia="Times New Roman"/>
          <w:sz w:val="28"/>
          <w:szCs w:val="28"/>
        </w:rPr>
        <w:t xml:space="preserve">В соответствии с приказом Минюста России от 16.09.2025 № 238, приказом ФСИН России от 26.09.2025 </w:t>
      </w:r>
      <w:r>
        <w:rPr>
          <w:rFonts w:ascii="Times New Roman" w:hAnsi="Times New Roman" w:eastAsia="Times New Roman"/>
          <w:sz w:val="28"/>
          <w:szCs w:val="28"/>
        </w:rPr>
        <w:t xml:space="preserve">№ 718 в срок до 01.09.2026 необходимо завершить ликвидацию ЛИУ-8. УФСИН разработан и утвержден 10.10.2025 план мероприятий по ликвидации учреждения, установлены сроки его выполнения и определены ответственные лица за контролем проведения мероприятий плана.</w:t>
      </w:r>
      <w:r/>
    </w:p>
    <w:p>
      <w:pPr>
        <w:ind w:firstLine="709"/>
        <w:jc w:val="both"/>
        <w:spacing w:after="0"/>
      </w:pPr>
      <w:r>
        <w:rPr>
          <w:rFonts w:ascii="Times New Roman" w:hAnsi="Times New Roman" w:eastAsia="Times New Roman"/>
          <w:sz w:val="28"/>
          <w:szCs w:val="28"/>
        </w:rPr>
        <w:t xml:space="preserve">КП-12 до настоящего времени в проект приказа о ликвидации не вошла.</w:t>
      </w:r>
      <w:r/>
    </w:p>
    <w:p>
      <w:pPr>
        <w:ind w:firstLine="709"/>
        <w:jc w:val="both"/>
        <w:spacing w:after="0"/>
        <w:rPr>
          <w:rFonts w:ascii="Times New Roman" w:hAnsi="Times New Roman" w:eastAsia="Times New Roman"/>
          <w:sz w:val="28"/>
          <w:szCs w:val="28"/>
        </w:rPr>
      </w:pPr>
      <w:r>
        <w:rPr>
          <w:rFonts w:ascii="Times New Roman" w:hAnsi="Times New Roman" w:eastAsia="Times New Roman"/>
          <w:sz w:val="28"/>
          <w:szCs w:val="28"/>
        </w:rPr>
        <w:t xml:space="preserve">Фактическая численность </w:t>
      </w:r>
      <w:r>
        <w:rPr>
          <w:rFonts w:ascii="Times New Roman" w:hAnsi="Times New Roman" w:eastAsia="Times New Roman"/>
          <w:sz w:val="28"/>
          <w:szCs w:val="28"/>
        </w:rPr>
        <w:t xml:space="preserve">спецконтингента</w:t>
      </w:r>
      <w:r>
        <w:rPr>
          <w:rFonts w:ascii="Times New Roman" w:hAnsi="Times New Roman" w:eastAsia="Times New Roman"/>
          <w:sz w:val="28"/>
          <w:szCs w:val="28"/>
        </w:rPr>
        <w:t xml:space="preserve"> на 01.01.2026 составила 2957 человек, из них: 2350 осужденных, в том числе 914 женщин.</w:t>
      </w:r>
      <w:r>
        <w:rPr>
          <w:rFonts w:ascii="Times New Roman" w:hAnsi="Times New Roman" w:eastAsia="Times New Roman"/>
          <w:sz w:val="28"/>
          <w:szCs w:val="28"/>
        </w:rPr>
      </w:r>
      <w:r>
        <w:rPr>
          <w:rFonts w:ascii="Times New Roman" w:hAnsi="Times New Roman" w:eastAsia="Times New Roman"/>
          <w:sz w:val="28"/>
          <w:szCs w:val="28"/>
        </w:rPr>
      </w:r>
    </w:p>
    <w:p>
      <w:pPr>
        <w:ind w:firstLine="709"/>
        <w:jc w:val="both"/>
        <w:spacing w:after="0"/>
        <w:rPr>
          <w:rFonts w:ascii="Times New Roman" w:hAnsi="Times New Roman" w:eastAsia="Times New Roman"/>
          <w:sz w:val="28"/>
          <w:szCs w:val="28"/>
        </w:rPr>
      </w:pPr>
      <w:r>
        <w:rPr>
          <w:rFonts w:ascii="Times New Roman" w:hAnsi="Times New Roman" w:eastAsia="Times New Roman"/>
          <w:sz w:val="28"/>
          <w:szCs w:val="28"/>
        </w:rPr>
        <w:t xml:space="preserve">В 2025 году среднесписочная численность осужденных составила 2061 человек, что меньше, чем в 2024 году на 16% (2465).</w:t>
      </w:r>
      <w:r>
        <w:rPr>
          <w:rFonts w:ascii="Times New Roman" w:hAnsi="Times New Roman" w:eastAsia="Times New Roman"/>
          <w:sz w:val="28"/>
          <w:szCs w:val="28"/>
        </w:rPr>
      </w:r>
      <w:r>
        <w:rPr>
          <w:rFonts w:ascii="Times New Roman" w:hAnsi="Times New Roman" w:eastAsia="Times New Roman"/>
          <w:sz w:val="28"/>
          <w:szCs w:val="28"/>
        </w:rPr>
      </w:r>
    </w:p>
    <w:p>
      <w:pPr>
        <w:ind w:firstLine="709"/>
        <w:jc w:val="both"/>
        <w:spacing w:after="0"/>
      </w:pPr>
      <w:r>
        <w:rPr>
          <w:rFonts w:ascii="Times New Roman" w:hAnsi="Times New Roman" w:eastAsia="Times New Roman"/>
          <w:sz w:val="28"/>
          <w:szCs w:val="28"/>
        </w:rPr>
        <w:t xml:space="preserve">Воспитательных колоний и тюрем в УФСИН нет.</w:t>
      </w:r>
      <w:r/>
    </w:p>
    <w:p>
      <w:pPr>
        <w:ind w:firstLine="709"/>
        <w:jc w:val="both"/>
        <w:spacing w:after="0"/>
      </w:pPr>
      <w:r>
        <w:rPr>
          <w:rFonts w:ascii="Times New Roman" w:hAnsi="Times New Roman" w:eastAsia="Times New Roman"/>
          <w:sz w:val="28"/>
          <w:szCs w:val="28"/>
        </w:rPr>
        <w:t xml:space="preserve">На территории области созданы 4 участка, </w:t>
      </w:r>
      <w:r>
        <w:rPr>
          <w:rFonts w:ascii="Times New Roman" w:hAnsi="Times New Roman" w:eastAsia="Times New Roman"/>
          <w:sz w:val="28"/>
          <w:szCs w:val="28"/>
        </w:rPr>
        <w:t xml:space="preserve">функционирующих</w:t>
      </w:r>
      <w:r>
        <w:rPr>
          <w:rFonts w:ascii="Times New Roman" w:hAnsi="Times New Roman" w:eastAsia="Times New Roman"/>
          <w:sz w:val="28"/>
          <w:szCs w:val="28"/>
        </w:rPr>
        <w:t xml:space="preserve"> как исправительные центры, все в</w:t>
      </w:r>
      <w:r>
        <w:rPr>
          <w:rFonts w:ascii="Times New Roman" w:hAnsi="Times New Roman" w:eastAsia="Times New Roman"/>
          <w:sz w:val="28"/>
          <w:szCs w:val="28"/>
        </w:rPr>
        <w:t xml:space="preserve">ведены в эксплуатацию: УФИЦ № 1 и № 2 ИК-3 с лимитами наполнения 75 мест (62 места для мужчин и 13 для женщин) и 90 мест (для женщин) соответственно; УФИЦ ИК-5 с лимитом наполнения 119 мест (для мужчин); УФИЦ ИК-7 с лимитом наполнения 50 мест (для женщин).</w:t>
      </w:r>
      <w:r/>
    </w:p>
    <w:p>
      <w:pPr>
        <w:ind w:firstLine="709"/>
        <w:jc w:val="both"/>
        <w:spacing w:after="0"/>
        <w:rPr>
          <w:rFonts w:ascii="Times New Roman" w:hAnsi="Times New Roman" w:eastAsia="Times New Roman"/>
          <w:sz w:val="28"/>
          <w:szCs w:val="28"/>
        </w:rPr>
      </w:pPr>
      <w:r>
        <w:rPr>
          <w:rFonts w:ascii="Times New Roman" w:hAnsi="Times New Roman" w:eastAsia="Times New Roman"/>
          <w:sz w:val="28"/>
          <w:szCs w:val="28"/>
        </w:rPr>
        <w:t xml:space="preserve">По состоянию на 01.01.2026 на учете в УФИЦ состояло 311 осужденных к принудительным работам, из </w:t>
      </w:r>
      <w:r>
        <w:rPr>
          <w:rFonts w:ascii="Times New Roman" w:hAnsi="Times New Roman" w:eastAsia="Times New Roman"/>
          <w:sz w:val="28"/>
          <w:szCs w:val="28"/>
        </w:rPr>
        <w:t xml:space="preserve">них</w:t>
      </w:r>
      <w:r>
        <w:rPr>
          <w:rFonts w:ascii="Times New Roman" w:hAnsi="Times New Roman" w:eastAsia="Times New Roman"/>
          <w:sz w:val="28"/>
          <w:szCs w:val="28"/>
        </w:rPr>
        <w:t xml:space="preserve"> проживающих в общежитии </w:t>
      </w:r>
      <w:r>
        <w:rPr>
          <w:rFonts w:ascii="Times New Roman" w:hAnsi="Times New Roman" w:eastAsia="Times New Roman"/>
          <w:sz w:val="28"/>
          <w:szCs w:val="28"/>
        </w:rPr>
        <w:t xml:space="preserve">УФИЦ −263 человека, проживающих за пределами ИЦ (УФИЦ) с семьей на арендованной или собственной жилой площади − 10 человек.</w:t>
      </w:r>
      <w:r>
        <w:rPr>
          <w:rFonts w:ascii="Times New Roman" w:hAnsi="Times New Roman" w:eastAsia="Times New Roman"/>
          <w:sz w:val="28"/>
          <w:szCs w:val="28"/>
        </w:rPr>
      </w:r>
      <w:r>
        <w:rPr>
          <w:rFonts w:ascii="Times New Roman" w:hAnsi="Times New Roman" w:eastAsia="Times New Roman"/>
          <w:sz w:val="28"/>
          <w:szCs w:val="28"/>
        </w:rPr>
      </w:r>
    </w:p>
    <w:p>
      <w:pPr>
        <w:ind w:firstLine="709"/>
        <w:jc w:val="both"/>
        <w:spacing w:after="0"/>
        <w:rPr>
          <w:rFonts w:ascii="Times New Roman" w:hAnsi="Times New Roman" w:eastAsia="Times New Roman"/>
          <w:sz w:val="28"/>
          <w:szCs w:val="28"/>
        </w:rPr>
      </w:pPr>
      <w:r>
        <w:rPr>
          <w:rFonts w:ascii="Times New Roman" w:hAnsi="Times New Roman" w:eastAsia="Times New Roman"/>
          <w:sz w:val="28"/>
          <w:szCs w:val="28"/>
        </w:rPr>
        <w:t xml:space="preserve">Среднесписочная численность осужденных к принудительным работам составляет 273,03 чел., из них привлеченных к труду 251,72 чел. и 11,19 чел.                      не привлеченных к труду. Фактически начисленная заработная плата составила 86258,82 тыс. руб.</w:t>
      </w:r>
      <w:r>
        <w:rPr>
          <w:rFonts w:ascii="Times New Roman" w:hAnsi="Times New Roman" w:eastAsia="Times New Roman"/>
          <w:sz w:val="28"/>
          <w:szCs w:val="28"/>
        </w:rPr>
      </w:r>
      <w:r>
        <w:rPr>
          <w:rFonts w:ascii="Times New Roman" w:hAnsi="Times New Roman" w:eastAsia="Times New Roman"/>
          <w:sz w:val="28"/>
          <w:szCs w:val="28"/>
        </w:rPr>
      </w:r>
    </w:p>
    <w:p>
      <w:pPr>
        <w:ind w:firstLine="709"/>
        <w:jc w:val="both"/>
        <w:spacing w:after="0"/>
      </w:pPr>
      <w:r>
        <w:rPr>
          <w:rFonts w:ascii="Times New Roman" w:hAnsi="Times New Roman" w:eastAsia="Times New Roman"/>
          <w:sz w:val="28"/>
          <w:szCs w:val="28"/>
        </w:rPr>
        <w:t xml:space="preserve">Удельный вес повторной преступности среди осужденных к принудительным работам за 2025 год составил - 0,16% (АППГ – 0, 62 %). </w:t>
      </w:r>
      <w:r/>
    </w:p>
    <w:p>
      <w:pPr>
        <w:ind w:firstLine="709"/>
        <w:jc w:val="both"/>
        <w:spacing w:after="0"/>
      </w:pPr>
      <w:r>
        <w:rPr>
          <w:rFonts w:ascii="Times New Roman" w:hAnsi="Times New Roman" w:eastAsia="Times New Roman"/>
          <w:sz w:val="28"/>
          <w:szCs w:val="28"/>
        </w:rPr>
        <w:t xml:space="preserve">По учетам УФИЦ в 2025 году прошло 619 осужденных к принудительным работам (АППГ – 483), в том числе 235 осужденных же</w:t>
      </w:r>
      <w:r>
        <w:rPr>
          <w:rFonts w:ascii="Times New Roman" w:hAnsi="Times New Roman" w:eastAsia="Times New Roman"/>
          <w:sz w:val="28"/>
          <w:szCs w:val="28"/>
        </w:rPr>
        <w:t xml:space="preserve">нского пола (АППГ – 226), из них: 364 осужденных освобождены из мест лишения свободы, в связи с заменой более мягким видом наказания, в том числе 196 женщин (АППГ – 303 из них 192 женщины), 16 осужденным принудительные работы назначены, в связи со злостным</w:t>
      </w:r>
      <w:r>
        <w:rPr>
          <w:rFonts w:ascii="Times New Roman" w:hAnsi="Times New Roman" w:eastAsia="Times New Roman"/>
          <w:sz w:val="28"/>
          <w:szCs w:val="28"/>
        </w:rPr>
        <w:t xml:space="preserve"> уклонением от отбывания иного наказания (АППГ – 21).</w:t>
      </w:r>
      <w:r/>
    </w:p>
    <w:p>
      <w:pPr>
        <w:ind w:firstLine="709"/>
        <w:jc w:val="both"/>
        <w:spacing w:after="0"/>
      </w:pPr>
      <w:r>
        <w:rPr>
          <w:rFonts w:ascii="Times New Roman" w:hAnsi="Times New Roman" w:eastAsia="Times New Roman"/>
          <w:sz w:val="28"/>
          <w:szCs w:val="28"/>
        </w:rPr>
        <w:t xml:space="preserve">В УФСИН в 2026 году запланировано создание двух участков, функционирующих как исправительные центры, наполняемостью 149 человек.</w:t>
      </w:r>
      <w:r/>
    </w:p>
    <w:p>
      <w:pPr>
        <w:ind w:firstLine="709"/>
        <w:jc w:val="both"/>
        <w:spacing w:after="0"/>
      </w:pPr>
      <w:r>
        <w:rPr>
          <w:rFonts w:ascii="Times New Roman" w:hAnsi="Times New Roman" w:eastAsia="Times New Roman"/>
          <w:sz w:val="28"/>
          <w:szCs w:val="28"/>
        </w:rPr>
        <w:t xml:space="preserve">С целью расширения сети исправительных центров на территории Ивановской области в настоящее время проводится работа по созданию УФИЦ:</w:t>
      </w:r>
      <w:r/>
    </w:p>
    <w:p>
      <w:pPr>
        <w:ind w:firstLine="709"/>
        <w:jc w:val="both"/>
        <w:spacing w:after="0"/>
      </w:pPr>
      <w:r>
        <w:rPr>
          <w:rFonts w:ascii="Times New Roman" w:hAnsi="Times New Roman" w:eastAsia="Times New Roman"/>
          <w:sz w:val="28"/>
          <w:szCs w:val="28"/>
        </w:rPr>
        <w:t xml:space="preserve">1. </w:t>
      </w:r>
      <w:r>
        <w:rPr>
          <w:rFonts w:ascii="Times New Roman" w:hAnsi="Times New Roman" w:eastAsia="Times New Roman"/>
          <w:sz w:val="28"/>
          <w:szCs w:val="28"/>
        </w:rPr>
        <w:t xml:space="preserve">УФИЦ на базе имущества организации ООО «Ивановская лесопромышленная компания» наполняемостью 57 чел. мужчины (деревообрабатывающее производство) (Ивановская область, п. Палех, ул. 2-я Садовая, д. 1).</w:t>
      </w:r>
      <w:r>
        <w:rPr>
          <w:rFonts w:ascii="Times New Roman" w:hAnsi="Times New Roman" w:eastAsia="Times New Roman"/>
          <w:sz w:val="28"/>
          <w:szCs w:val="28"/>
        </w:rPr>
        <w:t xml:space="preserve"> Предполагаемая дата создания УФИЦ – 1 квартал 2026 года;</w:t>
      </w:r>
      <w:r/>
    </w:p>
    <w:p>
      <w:pPr>
        <w:ind w:firstLine="709"/>
        <w:jc w:val="both"/>
        <w:spacing w:after="0"/>
      </w:pPr>
      <w:r>
        <w:rPr>
          <w:rFonts w:ascii="Times New Roman" w:hAnsi="Times New Roman" w:eastAsia="Times New Roman"/>
          <w:sz w:val="28"/>
          <w:szCs w:val="28"/>
        </w:rPr>
        <w:t xml:space="preserve">2. </w:t>
      </w:r>
      <w:r>
        <w:rPr>
          <w:rFonts w:ascii="Times New Roman" w:hAnsi="Times New Roman" w:eastAsia="Times New Roman"/>
          <w:sz w:val="28"/>
          <w:szCs w:val="28"/>
        </w:rPr>
        <w:t xml:space="preserve">УФИЦ на базе имущества ООО «Натали Трикотаж» (легкая промышленность) (г. Иваново, пер. Химический, д. 2) – наполняемость 92 человека (женщины).</w:t>
      </w:r>
      <w:r>
        <w:rPr>
          <w:rFonts w:ascii="Times New Roman" w:hAnsi="Times New Roman" w:eastAsia="Times New Roman"/>
          <w:sz w:val="28"/>
          <w:szCs w:val="28"/>
        </w:rPr>
        <w:t xml:space="preserve"> В ноябре 2025 года с руководителем организации ООО «Натали Трикотаж» и ИК-7 заключение соглашение о </w:t>
      </w:r>
      <w:r>
        <w:rPr>
          <w:rFonts w:ascii="Times New Roman" w:hAnsi="Times New Roman" w:eastAsia="Times New Roman"/>
          <w:sz w:val="28"/>
          <w:szCs w:val="28"/>
        </w:rPr>
        <w:t xml:space="preserve">намерениях</w:t>
      </w:r>
      <w:r>
        <w:rPr>
          <w:rFonts w:ascii="Times New Roman" w:hAnsi="Times New Roman" w:eastAsia="Times New Roman"/>
          <w:sz w:val="28"/>
          <w:szCs w:val="28"/>
        </w:rPr>
        <w:t xml:space="preserve"> о создании УФИЦ. </w:t>
      </w:r>
      <w:r/>
    </w:p>
    <w:p>
      <w:pPr>
        <w:ind w:firstLine="709"/>
        <w:jc w:val="both"/>
        <w:spacing w:after="0"/>
      </w:pPr>
      <w:r>
        <w:rPr>
          <w:rFonts w:ascii="Times New Roman" w:hAnsi="Times New Roman" w:eastAsia="Times New Roman"/>
          <w:sz w:val="28"/>
          <w:szCs w:val="28"/>
        </w:rPr>
        <w:t xml:space="preserve">В 2025 году в учреждениях, подведомственных УФСИН, зарегистрировано 6 преступлений (АППГ – 15).  </w:t>
      </w:r>
      <w:r/>
    </w:p>
    <w:p>
      <w:pPr>
        <w:ind w:firstLine="709"/>
        <w:jc w:val="both"/>
        <w:spacing w:after="0"/>
      </w:pPr>
      <w:r>
        <w:rPr>
          <w:rFonts w:ascii="Times New Roman" w:hAnsi="Times New Roman" w:eastAsia="Times New Roman"/>
          <w:sz w:val="28"/>
          <w:szCs w:val="28"/>
        </w:rPr>
        <w:t xml:space="preserve">Правоохранительным органам оказана помощь в раскрытии 156 преступлений (АППГ – 223) снижение на 30%.</w:t>
      </w:r>
      <w:r/>
    </w:p>
    <w:p>
      <w:pPr>
        <w:ind w:firstLine="709"/>
        <w:jc w:val="both"/>
        <w:spacing w:after="0"/>
      </w:pPr>
      <w:r>
        <w:rPr>
          <w:rFonts w:ascii="Times New Roman" w:hAnsi="Times New Roman" w:eastAsia="Times New Roman"/>
          <w:sz w:val="28"/>
          <w:szCs w:val="28"/>
        </w:rPr>
        <w:t xml:space="preserve"> В 2025 году подозреваемыми, обвиняемыми и осужденными в учреждениях, подведомственных УФСИН, суицидов не допущено (АППГ-4).</w:t>
      </w:r>
      <w:r/>
    </w:p>
    <w:p>
      <w:pPr>
        <w:ind w:firstLine="709"/>
        <w:jc w:val="both"/>
        <w:spacing w:after="0"/>
      </w:pPr>
      <w:r>
        <w:rPr>
          <w:rFonts w:ascii="Times New Roman" w:hAnsi="Times New Roman" w:eastAsia="Times New Roman"/>
          <w:sz w:val="28"/>
          <w:szCs w:val="28"/>
        </w:rPr>
        <w:t xml:space="preserve">Законодательством Российской Федерации на уголовно-исполнительную систему возложены задачи о трудовой занятости осужденных, которые способствуют их исправлению, </w:t>
      </w:r>
      <w:r>
        <w:rPr>
          <w:rFonts w:ascii="Times New Roman" w:hAnsi="Times New Roman" w:eastAsia="Times New Roman"/>
          <w:sz w:val="28"/>
          <w:szCs w:val="28"/>
        </w:rPr>
        <w:t xml:space="preserve">ресоциализации</w:t>
      </w:r>
      <w:r>
        <w:rPr>
          <w:rFonts w:ascii="Times New Roman" w:hAnsi="Times New Roman" w:eastAsia="Times New Roman"/>
          <w:sz w:val="28"/>
          <w:szCs w:val="28"/>
        </w:rPr>
        <w:t xml:space="preserve"> и </w:t>
      </w:r>
      <w:r>
        <w:rPr>
          <w:rFonts w:ascii="Times New Roman" w:hAnsi="Times New Roman" w:eastAsia="Times New Roman"/>
          <w:sz w:val="28"/>
          <w:szCs w:val="28"/>
        </w:rPr>
        <w:t xml:space="preserve">правопослушному</w:t>
      </w:r>
      <w:r>
        <w:rPr>
          <w:rFonts w:ascii="Times New Roman" w:hAnsi="Times New Roman" w:eastAsia="Times New Roman"/>
          <w:sz w:val="28"/>
          <w:szCs w:val="28"/>
        </w:rPr>
        <w:t xml:space="preserve"> поведению в период отбывания наказания, создают предпосылки для успешной адаптации в обществе после освобождения.</w:t>
      </w:r>
      <w:r/>
    </w:p>
    <w:p>
      <w:pPr>
        <w:ind w:firstLine="709"/>
        <w:jc w:val="both"/>
        <w:spacing w:after="0"/>
      </w:pPr>
      <w:r>
        <w:rPr>
          <w:rFonts w:ascii="Times New Roman" w:hAnsi="Times New Roman" w:eastAsia="Times New Roman"/>
          <w:sz w:val="28"/>
          <w:szCs w:val="28"/>
        </w:rPr>
        <w:t xml:space="preserve">В соответствии с частью 1 статьи 103 Уголовно-исполнительного кодекса Российской Федерации, каждый осужденный к лишению свободы обязан т</w:t>
      </w:r>
      <w:r>
        <w:rPr>
          <w:rFonts w:ascii="Times New Roman" w:hAnsi="Times New Roman" w:eastAsia="Times New Roman"/>
          <w:sz w:val="28"/>
          <w:szCs w:val="28"/>
        </w:rPr>
        <w:t xml:space="preserve">рудиться в местах и на работах, определяемых администрацией исправительных учреждений. Администрация исправительных учреждений обязана привлекать осужденных к труду с учетом их пола, возраста, трудоспособности, состояния здоровья и, по возможности, специал</w:t>
      </w:r>
      <w:r>
        <w:rPr>
          <w:rFonts w:ascii="Times New Roman" w:hAnsi="Times New Roman" w:eastAsia="Times New Roman"/>
          <w:sz w:val="28"/>
          <w:szCs w:val="28"/>
        </w:rPr>
        <w:t xml:space="preserve">ьности, а также исходя из наличия рабочих мест. Осужденные привлекаются к труду в центрах трудовой адаптации осужденных, расположенных на территориях исправительных учреждений и (или) вне их, при условии обеспечения надлежащей охраны и изоляции осужденных.</w:t>
      </w:r>
      <w:r/>
    </w:p>
    <w:p>
      <w:pPr>
        <w:ind w:firstLine="709"/>
        <w:jc w:val="both"/>
        <w:spacing w:after="0"/>
      </w:pPr>
      <w:r>
        <w:rPr>
          <w:rFonts w:ascii="Times New Roman" w:hAnsi="Times New Roman" w:eastAsia="Times New Roman"/>
          <w:sz w:val="28"/>
          <w:szCs w:val="28"/>
        </w:rPr>
        <w:t xml:space="preserve">Необходимо отметить, что осужденным от работы отказываться нельзя, так как это является злостным нарушением установленного порядка отбывания наказания, и за это к ним могут быть применены меры взыскания и материальная ответственность (</w:t>
      </w:r>
      <w:r>
        <w:rPr>
          <w:rFonts w:ascii="Times New Roman" w:hAnsi="Times New Roman" w:eastAsia="Times New Roman"/>
          <w:sz w:val="28"/>
          <w:szCs w:val="28"/>
        </w:rPr>
        <w:t xml:space="preserve">ч</w:t>
      </w:r>
      <w:r>
        <w:rPr>
          <w:rFonts w:ascii="Times New Roman" w:hAnsi="Times New Roman" w:eastAsia="Times New Roman"/>
          <w:sz w:val="28"/>
          <w:szCs w:val="28"/>
        </w:rPr>
        <w:t xml:space="preserve">. 6 ст. 103</w:t>
      </w:r>
      <w:r>
        <w:rPr>
          <w:rFonts w:ascii="Times New Roman" w:hAnsi="Times New Roman" w:eastAsia="Times New Roman"/>
          <w:sz w:val="28"/>
          <w:szCs w:val="28"/>
        </w:rPr>
        <w:t xml:space="preserve"> УИК РФ). Сказанное еще раз свидетельствует о том, что одной из целей наказания является исправление осужденных, а оно подразумевает «уважительное отношение к человеку, обществу, труду, нормам, правилам и традициям человеческого общежития и стимулирование </w:t>
      </w:r>
      <w:r>
        <w:rPr>
          <w:rFonts w:ascii="Times New Roman" w:hAnsi="Times New Roman" w:eastAsia="Times New Roman"/>
          <w:sz w:val="28"/>
          <w:szCs w:val="28"/>
        </w:rPr>
        <w:t xml:space="preserve">правопослушного</w:t>
      </w:r>
      <w:r>
        <w:rPr>
          <w:rFonts w:ascii="Times New Roman" w:hAnsi="Times New Roman" w:eastAsia="Times New Roman"/>
          <w:sz w:val="28"/>
          <w:szCs w:val="28"/>
        </w:rPr>
        <w:t xml:space="preserve"> поведения».</w:t>
      </w:r>
      <w:r/>
    </w:p>
    <w:p>
      <w:pPr>
        <w:ind w:firstLine="709"/>
        <w:jc w:val="both"/>
        <w:spacing w:after="0"/>
      </w:pPr>
      <w:r>
        <w:rPr>
          <w:rFonts w:ascii="Times New Roman" w:hAnsi="Times New Roman" w:eastAsia="Times New Roman"/>
          <w:sz w:val="28"/>
          <w:szCs w:val="28"/>
        </w:rPr>
        <w:t xml:space="preserve">Исключение установлено, лишь для мужчин с</w:t>
      </w:r>
      <w:r>
        <w:rPr>
          <w:rFonts w:ascii="Times New Roman" w:hAnsi="Times New Roman" w:eastAsia="Times New Roman"/>
          <w:sz w:val="28"/>
          <w:szCs w:val="28"/>
        </w:rPr>
        <w:t xml:space="preserve">тарше 65 лет и женщин старше 60 лет, а также инвалидов I и II групп, которые могут быть привлечены к труду по их желанию в соответствии с законодательством Российской Федерации о труде и законодательством Российской Федерации о социальной защите инвалидов.</w:t>
      </w:r>
      <w:r/>
    </w:p>
    <w:p>
      <w:pPr>
        <w:ind w:firstLine="709"/>
        <w:jc w:val="both"/>
        <w:spacing w:after="0"/>
      </w:pPr>
      <w:r>
        <w:rPr>
          <w:rFonts w:ascii="Times New Roman" w:hAnsi="Times New Roman" w:eastAsia="Times New Roman"/>
          <w:sz w:val="28"/>
          <w:szCs w:val="28"/>
        </w:rPr>
        <w:t xml:space="preserve">Оформление трудовых отношений происходит на основании приказа начальника исправительного учреждения, в котором закрепляются распределение осужденных по отрядам и привлечение к труду.</w:t>
      </w:r>
      <w:r/>
    </w:p>
    <w:p>
      <w:pPr>
        <w:ind w:firstLine="709"/>
        <w:jc w:val="both"/>
        <w:spacing w:after="0"/>
      </w:pPr>
      <w:r>
        <w:rPr>
          <w:rFonts w:ascii="Times New Roman" w:hAnsi="Times New Roman" w:eastAsia="Times New Roman"/>
          <w:sz w:val="28"/>
          <w:szCs w:val="28"/>
        </w:rPr>
        <w:t xml:space="preserve">Статья 104 УИК РФ регулирует условия труда осужденных к лишению свободы. Продолжительность рабочего времени осужденных к лишению свободы, правила охраны труда, техники безопасности и производственной санитарии устанавливаются в соответствии с за</w:t>
      </w:r>
      <w:r>
        <w:rPr>
          <w:rFonts w:ascii="Times New Roman" w:hAnsi="Times New Roman" w:eastAsia="Times New Roman"/>
          <w:sz w:val="28"/>
          <w:szCs w:val="28"/>
        </w:rPr>
        <w:t xml:space="preserve">конодательством Российской Федерации о труде. Время начала и окончания работы (смены) определяется графиками сменности, устанавливаемыми администрацией исправительного учреждения по согласованию с администрацией предприятия, на котором работают осужденные.</w:t>
      </w:r>
      <w:r/>
    </w:p>
    <w:p>
      <w:pPr>
        <w:ind w:firstLine="709"/>
        <w:jc w:val="both"/>
        <w:spacing w:after="0"/>
      </w:pPr>
      <w:r>
        <w:rPr>
          <w:rFonts w:ascii="Times New Roman" w:hAnsi="Times New Roman" w:eastAsia="Times New Roman"/>
          <w:sz w:val="28"/>
          <w:szCs w:val="28"/>
        </w:rPr>
        <w:t xml:space="preserve">Время привлечения осужденных к оплачиваемому труду засчитывается им в общий трудовой стаж. Учет отработанного времени возлагается на </w:t>
      </w:r>
      <w:r>
        <w:rPr>
          <w:rFonts w:ascii="Times New Roman" w:hAnsi="Times New Roman" w:eastAsia="Times New Roman"/>
          <w:sz w:val="28"/>
          <w:szCs w:val="28"/>
        </w:rPr>
        <w:t xml:space="preserve">администрацию исправительного учреждения и производится по итогам календарного года.</w:t>
      </w:r>
      <w:r/>
    </w:p>
    <w:p>
      <w:pPr>
        <w:ind w:firstLine="709"/>
        <w:jc w:val="both"/>
        <w:spacing w:after="0"/>
      </w:pPr>
      <w:r>
        <w:rPr>
          <w:rFonts w:ascii="Times New Roman" w:hAnsi="Times New Roman" w:eastAsia="Times New Roman"/>
          <w:sz w:val="28"/>
          <w:szCs w:val="28"/>
        </w:rPr>
        <w:t xml:space="preserve">Работающие осужденные имеют право на ежегодный оплачиваемый отпуск, продолжительностью 18 рабочих дней - для отбывающих лишение свободы в воспитательных колониях, 12 рабочих дней - для отбывающих лишение свободы в иных исправительных учреждениях. </w:t>
      </w:r>
      <w:r/>
    </w:p>
    <w:p>
      <w:pPr>
        <w:ind w:firstLine="709"/>
        <w:jc w:val="both"/>
        <w:spacing w:after="0"/>
      </w:pPr>
      <w:r>
        <w:rPr>
          <w:rFonts w:ascii="Times New Roman" w:hAnsi="Times New Roman" w:eastAsia="Times New Roman"/>
          <w:sz w:val="28"/>
          <w:szCs w:val="28"/>
        </w:rPr>
        <w:t xml:space="preserve">В соответствии со ст. 105 УИК РФ осужденные имеют право на оплату труда. Форма оплаты труда ос</w:t>
      </w:r>
      <w:r>
        <w:rPr>
          <w:rFonts w:ascii="Times New Roman" w:hAnsi="Times New Roman" w:eastAsia="Times New Roman"/>
          <w:sz w:val="28"/>
          <w:szCs w:val="28"/>
        </w:rPr>
        <w:t xml:space="preserve">ужденных в учреждениях, подведомственных УФСИН, сдельная и производится за фактически выполненный объем работ по расценкам за единицу продукции на основании нарядов, составленных цеховым персоналом в соответствии с технологической последовательностью на из</w:t>
      </w:r>
      <w:r>
        <w:rPr>
          <w:rFonts w:ascii="Times New Roman" w:hAnsi="Times New Roman" w:eastAsia="Times New Roman"/>
          <w:sz w:val="28"/>
          <w:szCs w:val="28"/>
        </w:rPr>
        <w:t xml:space="preserve">готовление изделий. В соответствии со ст. 133 Трудового Кодекса Российской Федерации осужденным, отработавшим установленную на данный период норму рабочего времени и выполнившим норму труда, начисляется заработная плата не ниже установленного минимального </w:t>
      </w:r>
      <w:r>
        <w:rPr>
          <w:rFonts w:ascii="Times New Roman" w:hAnsi="Times New Roman" w:eastAsia="Times New Roman"/>
          <w:sz w:val="28"/>
          <w:szCs w:val="28"/>
        </w:rPr>
        <w:t xml:space="preserve">размера оплаты труда</w:t>
      </w:r>
      <w:r>
        <w:rPr>
          <w:rFonts w:ascii="Times New Roman" w:hAnsi="Times New Roman" w:eastAsia="Times New Roman"/>
          <w:sz w:val="28"/>
          <w:szCs w:val="28"/>
        </w:rPr>
        <w:t xml:space="preserve">.</w:t>
      </w:r>
      <w:r/>
    </w:p>
    <w:p>
      <w:pPr>
        <w:ind w:firstLine="709"/>
        <w:jc w:val="both"/>
        <w:spacing w:after="0"/>
      </w:pPr>
      <w:r>
        <w:rPr>
          <w:rFonts w:ascii="Times New Roman" w:hAnsi="Times New Roman" w:eastAsia="Times New Roman"/>
          <w:sz w:val="28"/>
          <w:szCs w:val="28"/>
        </w:rPr>
        <w:t xml:space="preserve">С учетом всех проводимых мероприятий на 01.01.2026 УФСИН вышел на </w:t>
      </w:r>
      <w:r>
        <w:rPr>
          <w:rFonts w:ascii="Times New Roman" w:hAnsi="Times New Roman" w:eastAsia="Times New Roman"/>
          <w:sz w:val="28"/>
          <w:szCs w:val="28"/>
        </w:rPr>
        <w:t xml:space="preserve">среднероссийский</w:t>
      </w:r>
      <w:r>
        <w:rPr>
          <w:rFonts w:ascii="Times New Roman" w:hAnsi="Times New Roman" w:eastAsia="Times New Roman"/>
          <w:sz w:val="28"/>
          <w:szCs w:val="28"/>
        </w:rPr>
        <w:t xml:space="preserve"> уровень по заработной плате.</w:t>
      </w:r>
      <w:r/>
    </w:p>
    <w:p>
      <w:pPr>
        <w:ind w:firstLine="709"/>
        <w:jc w:val="both"/>
        <w:spacing w:after="0"/>
      </w:pPr>
      <w:r>
        <w:rPr>
          <w:rFonts w:ascii="Times New Roman" w:hAnsi="Times New Roman" w:eastAsia="Times New Roman"/>
          <w:sz w:val="28"/>
          <w:szCs w:val="28"/>
        </w:rPr>
        <w:t xml:space="preserve">В соответствии со статьей 98 УИК РФ, закреплено право о</w:t>
      </w:r>
      <w:r>
        <w:rPr>
          <w:rFonts w:ascii="Times New Roman" w:hAnsi="Times New Roman" w:eastAsia="Times New Roman"/>
          <w:sz w:val="28"/>
          <w:szCs w:val="28"/>
        </w:rPr>
        <w:t xml:space="preserve">сужденных на пенсионное обеспечение, согласно которой осужденные на общих основаниях имеют право на государственное пенсионное обеспечение по старости, инвалидности, потере кормильца и в иных случаях, предусмотренных законодательством Российской Федерации.</w:t>
      </w:r>
      <w:r/>
    </w:p>
    <w:p>
      <w:pPr>
        <w:ind w:firstLine="709"/>
        <w:jc w:val="both"/>
        <w:spacing w:after="0"/>
      </w:pPr>
      <w:r>
        <w:rPr>
          <w:rFonts w:ascii="Times New Roman" w:hAnsi="Times New Roman" w:eastAsia="Times New Roman"/>
          <w:sz w:val="28"/>
          <w:szCs w:val="28"/>
        </w:rPr>
        <w:t xml:space="preserve"> Согласно части 3 статьи 98 УИК РФ выплата пенсий осужденным осуществляется органами социальной защиты населения по месту нахождения исправительного учреждения путем перечисления пенсий на лицевые счета осужденных.</w:t>
      </w:r>
      <w:r/>
    </w:p>
    <w:p>
      <w:pPr>
        <w:ind w:firstLine="709"/>
        <w:jc w:val="both"/>
        <w:spacing w:after="0"/>
      </w:pPr>
      <w:r>
        <w:rPr>
          <w:rFonts w:ascii="Times New Roman" w:hAnsi="Times New Roman" w:eastAsia="Times New Roman"/>
          <w:sz w:val="28"/>
          <w:szCs w:val="28"/>
        </w:rPr>
        <w:t xml:space="preserve"> Согласно статье 106 УИК РФ осужденные привлекаются к работам без оплаты труда, только к выполнению работ по благоустройству</w:t>
      </w:r>
      <w:r>
        <w:rPr>
          <w:rFonts w:ascii="Times New Roman" w:hAnsi="Times New Roman" w:eastAsia="Times New Roman"/>
          <w:sz w:val="28"/>
          <w:szCs w:val="28"/>
        </w:rPr>
        <w:t xml:space="preserve"> учреждения. Осужденные привлекаются к указанным работам в порядке очередности в свободное от работы время, с учетом распорядка дня, согласно утвержденному графику. При этом продолжительность данных работ для всех осужденных, не превышает 2 часов в неделю.</w:t>
      </w:r>
      <w:r/>
    </w:p>
    <w:p>
      <w:pPr>
        <w:ind w:firstLine="709"/>
        <w:jc w:val="both"/>
        <w:spacing w:after="0"/>
      </w:pPr>
      <w:r>
        <w:rPr>
          <w:rFonts w:ascii="Times New Roman" w:hAnsi="Times New Roman" w:eastAsia="Times New Roman"/>
          <w:sz w:val="28"/>
          <w:szCs w:val="28"/>
        </w:rPr>
        <w:t xml:space="preserve">Осужденные, являющиеся инвалидами</w:t>
      </w:r>
      <w:r>
        <w:rPr>
          <w:rFonts w:ascii="Times New Roman" w:hAnsi="Times New Roman" w:eastAsia="Times New Roman"/>
          <w:sz w:val="28"/>
          <w:szCs w:val="28"/>
        </w:rPr>
        <w:t xml:space="preserve"> первой или второй группы, осужденные, достигшие возраста, дающего право на назначение страховой пенсии по старости в соответствии с законодательством Российской Федерации, осужденные беременные женщины привлекаются к работе без оплаты труда по их желанию.</w:t>
      </w:r>
      <w:r/>
    </w:p>
    <w:p>
      <w:pPr>
        <w:ind w:firstLine="709"/>
        <w:jc w:val="both"/>
        <w:spacing w:after="0"/>
      </w:pPr>
      <w:r>
        <w:rPr>
          <w:rFonts w:ascii="Times New Roman" w:hAnsi="Times New Roman" w:eastAsia="Times New Roman"/>
          <w:sz w:val="28"/>
          <w:szCs w:val="28"/>
        </w:rPr>
        <w:t xml:space="preserve"> </w:t>
      </w:r>
      <w:r>
        <w:rPr>
          <w:rFonts w:ascii="Times New Roman" w:hAnsi="Times New Roman" w:eastAsia="Times New Roman"/>
          <w:sz w:val="28"/>
          <w:szCs w:val="28"/>
        </w:rPr>
        <w:t xml:space="preserve">Во всех исправительных учреждениях Ивановской области на лицевой счет осужденных зачисляется не зависимо от всех удержаний не менее 25% начисленной заработной платы пенсии или иных доходов, а на лиц</w:t>
      </w:r>
      <w:r>
        <w:rPr>
          <w:rFonts w:ascii="Times New Roman" w:hAnsi="Times New Roman" w:eastAsia="Times New Roman"/>
          <w:sz w:val="28"/>
          <w:szCs w:val="28"/>
        </w:rPr>
        <w:t xml:space="preserve">евой счет осужденных, достигших возраста, дающего право на назначение страховой пенсии по старости в соответствии с законодательством Российской Федерации, осужденных, являющихся инвалидами первой или второй группы - не менее 50 % начисленных им заработной</w:t>
      </w:r>
      <w:r>
        <w:rPr>
          <w:rFonts w:ascii="Times New Roman" w:hAnsi="Times New Roman" w:eastAsia="Times New Roman"/>
          <w:sz w:val="28"/>
          <w:szCs w:val="28"/>
        </w:rPr>
        <w:t xml:space="preserve"> платы, пенсии или иных доходов.</w:t>
      </w:r>
      <w:r/>
    </w:p>
    <w:p>
      <w:pPr>
        <w:ind w:firstLine="709"/>
        <w:jc w:val="both"/>
        <w:spacing w:after="0"/>
      </w:pPr>
      <w:r>
        <w:rPr>
          <w:rFonts w:ascii="Times New Roman" w:hAnsi="Times New Roman" w:eastAsia="Times New Roman"/>
          <w:sz w:val="28"/>
          <w:szCs w:val="28"/>
        </w:rPr>
        <w:t xml:space="preserve"> Удержания из заработной платы осужденных производятся в соответствии со статьями 99, 107 УИК РФ и статьями 100, 111 ФЗ от 02.10.2007 №229-ФЗ «Об исполнительном производстве».</w:t>
      </w:r>
      <w:r/>
    </w:p>
    <w:p>
      <w:pPr>
        <w:ind w:firstLine="709"/>
        <w:jc w:val="both"/>
        <w:spacing w:after="0"/>
      </w:pPr>
      <w:r>
        <w:rPr>
          <w:rFonts w:ascii="Times New Roman" w:hAnsi="Times New Roman" w:eastAsia="Times New Roman"/>
          <w:sz w:val="28"/>
          <w:szCs w:val="28"/>
        </w:rPr>
        <w:t xml:space="preserve"> Осужденные,</w:t>
      </w:r>
      <w:r>
        <w:rPr>
          <w:rFonts w:ascii="Times New Roman" w:hAnsi="Times New Roman" w:eastAsia="Times New Roman"/>
          <w:sz w:val="28"/>
          <w:szCs w:val="28"/>
        </w:rPr>
        <w:t xml:space="preserve"> получающие заработную плату, и осужденные, получающие пенсию, возмещают стоимость питания, одежды, коммунально-бытовых услуг индивидуальных средств гигиены, кроме стоимости специального питания и специальной одежды. С осужденных, уклоняющихся от работы, у</w:t>
      </w:r>
      <w:r>
        <w:rPr>
          <w:rFonts w:ascii="Times New Roman" w:hAnsi="Times New Roman" w:eastAsia="Times New Roman"/>
          <w:sz w:val="28"/>
          <w:szCs w:val="28"/>
        </w:rPr>
        <w:t xml:space="preserve">казанные расходы удерживаются из средств, имеющихся на их лицевых счетах. Возмещение стоимости питания, одежды, коммунально-бытовых услуг и индивидуальных средств гигиены производится ежемесячно в пределах фактических затрат, произведенных в данном месяце.</w:t>
      </w:r>
      <w:r/>
    </w:p>
    <w:p>
      <w:pPr>
        <w:ind w:firstLine="709"/>
        <w:jc w:val="both"/>
        <w:spacing w:after="0"/>
      </w:pPr>
      <w:r>
        <w:rPr>
          <w:rFonts w:ascii="Times New Roman" w:hAnsi="Times New Roman" w:eastAsia="Times New Roman"/>
          <w:sz w:val="28"/>
          <w:szCs w:val="28"/>
        </w:rPr>
        <w:t xml:space="preserve"> </w:t>
      </w:r>
      <w:r>
        <w:rPr>
          <w:rFonts w:ascii="Times New Roman" w:hAnsi="Times New Roman" w:eastAsia="Times New Roman"/>
          <w:sz w:val="28"/>
          <w:szCs w:val="28"/>
        </w:rPr>
        <w:t xml:space="preserve">Среднесписочная численность осужденных, привлеченных к труду на работах, связанных с приносящей дох</w:t>
      </w:r>
      <w:r>
        <w:rPr>
          <w:rFonts w:ascii="Times New Roman" w:hAnsi="Times New Roman" w:eastAsia="Times New Roman"/>
          <w:sz w:val="28"/>
          <w:szCs w:val="28"/>
        </w:rPr>
        <w:t xml:space="preserve">од деятельностью, по итогам 2025 года  составила 936 чел. или 85,2% от подлежащих привлечению к труду (за исключением осужденных, привлеченных к труду на работах по хозяйственному обслуживанию исправительных учреждений) (в 2024 году – 1422 чел. или 94,4%).</w:t>
      </w:r>
      <w:r/>
    </w:p>
    <w:p>
      <w:pPr>
        <w:ind w:firstLine="709"/>
        <w:jc w:val="both"/>
        <w:spacing w:after="0"/>
      </w:pPr>
      <w:r>
        <w:rPr>
          <w:rFonts w:ascii="Times New Roman" w:hAnsi="Times New Roman" w:eastAsia="Times New Roman"/>
          <w:sz w:val="28"/>
          <w:szCs w:val="28"/>
        </w:rPr>
        <w:t xml:space="preserve"> Среднемесячная заработная плата осужденных, имеющих исполнительные документы, составила 13093,04 руб., что выше АППГ на 3226,22 руб. (АППГ – 9866,82 руб.) и выше планового показателя на 660,5 руб. (план – 12432,54 руб.).</w:t>
      </w:r>
      <w:r/>
    </w:p>
    <w:p>
      <w:pPr>
        <w:ind w:firstLine="709"/>
        <w:jc w:val="both"/>
        <w:spacing w:after="0"/>
      </w:pPr>
      <w:r>
        <w:rPr>
          <w:rFonts w:ascii="Times New Roman" w:hAnsi="Times New Roman" w:eastAsia="Times New Roman"/>
          <w:sz w:val="28"/>
          <w:szCs w:val="28"/>
        </w:rPr>
        <w:t xml:space="preserve"> Во всех учреждениях проводится работа по возмещению осужденными вреда, причиненного преступлениями.</w:t>
      </w:r>
      <w:r/>
    </w:p>
    <w:p>
      <w:pPr>
        <w:ind w:firstLine="709"/>
        <w:jc w:val="both"/>
        <w:spacing w:after="0"/>
      </w:pPr>
      <w:r>
        <w:rPr>
          <w:rFonts w:ascii="Times New Roman" w:hAnsi="Times New Roman" w:eastAsia="Times New Roman"/>
          <w:sz w:val="28"/>
          <w:szCs w:val="28"/>
        </w:rPr>
        <w:t xml:space="preserve">Тру</w:t>
      </w:r>
      <w:r>
        <w:rPr>
          <w:rFonts w:ascii="Times New Roman" w:hAnsi="Times New Roman" w:eastAsia="Times New Roman"/>
          <w:sz w:val="28"/>
          <w:szCs w:val="28"/>
        </w:rPr>
        <w:t xml:space="preserve">доустроено 462 осужденных, из численности осужденных, имеющих исполнительные листы, или 89,3% от подлежащих привлечению к труду, (АППГ -587 чел. или 95,9%). Погашали иски 544 осужденных или 80,8% к общему количеству лиц данной категории (2024 год – 92,8%).</w:t>
      </w:r>
      <w:r/>
    </w:p>
    <w:p>
      <w:pPr>
        <w:ind w:firstLine="709"/>
        <w:jc w:val="both"/>
        <w:spacing w:after="0"/>
      </w:pPr>
      <w:r>
        <w:rPr>
          <w:rFonts w:ascii="Times New Roman" w:hAnsi="Times New Roman" w:eastAsia="Times New Roman"/>
          <w:sz w:val="28"/>
          <w:szCs w:val="28"/>
        </w:rPr>
        <w:t xml:space="preserve">Из общей суммы исковых требований – 9315,74 млн. руб., перечислено потерпевшим 45,52 млн. руб. (0,5%), (АППГ – 44,85 млн. руб. или 11,4%).</w:t>
      </w:r>
      <w:r/>
    </w:p>
    <w:p>
      <w:pPr>
        <w:ind w:firstLine="709"/>
        <w:jc w:val="both"/>
        <w:spacing w:after="0"/>
      </w:pPr>
      <w:r>
        <w:rPr>
          <w:rFonts w:ascii="Times New Roman" w:hAnsi="Times New Roman" w:eastAsia="Times New Roman"/>
          <w:sz w:val="28"/>
          <w:szCs w:val="28"/>
        </w:rPr>
        <w:t xml:space="preserve">В течение 2025 года осужденным женщинам, имеющих ребенка в возрасте до 14 лет, а так же мужчинам, имеющих ребенка в возрасте до 14 </w:t>
      </w:r>
      <w:r>
        <w:rPr>
          <w:rFonts w:ascii="Times New Roman" w:hAnsi="Times New Roman" w:eastAsia="Times New Roman"/>
          <w:sz w:val="28"/>
          <w:szCs w:val="28"/>
        </w:rPr>
        <w:t xml:space="preserve">лет и являющимся единственным родителем, дополнительные</w:t>
      </w:r>
      <w:r>
        <w:rPr>
          <w:rFonts w:ascii="Times New Roman" w:hAnsi="Times New Roman" w:eastAsia="Times New Roman"/>
          <w:sz w:val="28"/>
          <w:szCs w:val="28"/>
        </w:rPr>
        <w:t xml:space="preserve"> длительные свидания с ребенком в выходные и праздничные дни с проживанием вне исправительного учреждения, но в пределах муниципального образования, на территории которого расположено исправительное учреждение не предоставлялись, а также не предоставлялись</w:t>
      </w:r>
      <w:r>
        <w:rPr>
          <w:rFonts w:ascii="Times New Roman" w:hAnsi="Times New Roman" w:eastAsia="Times New Roman"/>
          <w:sz w:val="28"/>
          <w:szCs w:val="28"/>
        </w:rPr>
        <w:t xml:space="preserve"> и выезды в соответствии с частями 2.1,2.2 статьи 97 УИК РФ. </w:t>
      </w:r>
      <w:r/>
    </w:p>
    <w:p>
      <w:pPr>
        <w:ind w:firstLine="709"/>
        <w:jc w:val="both"/>
        <w:spacing w:after="0"/>
      </w:pPr>
      <w:r>
        <w:rPr>
          <w:rFonts w:ascii="Times New Roman" w:hAnsi="Times New Roman" w:eastAsia="Times New Roman"/>
          <w:sz w:val="28"/>
          <w:szCs w:val="28"/>
        </w:rPr>
        <w:t xml:space="preserve">Реализуется право осужденных на выезд за пределы исправительных учреждений для предварительного решения вопросов трудового и бытового устройства. В 2025 году осужденным предоставлено 8 выездов за пределы учреждения (в 2024 году 10 выездов).</w:t>
      </w:r>
      <w:r/>
    </w:p>
    <w:p>
      <w:pPr>
        <w:ind w:firstLine="709"/>
        <w:jc w:val="both"/>
        <w:spacing w:after="0"/>
      </w:pPr>
      <w:r>
        <w:rPr>
          <w:rFonts w:ascii="Times New Roman" w:hAnsi="Times New Roman" w:eastAsia="Times New Roman"/>
          <w:sz w:val="28"/>
          <w:szCs w:val="28"/>
        </w:rPr>
        <w:t xml:space="preserve">В 2025 году к администрации исправительных учреждений Ивановской области обратилось с ходатайствами об условно-досрочном освобождении 258 осужденных (АППГ-277), из них суд удовлетворил ходатайства 88 осужденным (АППГ- 95), снижение количества на 7 %.</w:t>
      </w:r>
      <w:r/>
    </w:p>
    <w:p>
      <w:pPr>
        <w:ind w:firstLine="709"/>
        <w:jc w:val="both"/>
        <w:spacing w:after="0"/>
      </w:pPr>
      <w:r>
        <w:rPr>
          <w:rFonts w:ascii="Times New Roman" w:hAnsi="Times New Roman" w:eastAsia="Times New Roman"/>
          <w:sz w:val="28"/>
          <w:szCs w:val="28"/>
        </w:rPr>
        <w:t xml:space="preserve">С целью улучшения коммунально-бытовых условий содержания подозреваемых, обвиняемых и осужденных в 2025 году проведены следующие мероприятия: на объектах учреждений, подведомственных УФСИН:</w:t>
      </w:r>
      <w:r/>
    </w:p>
    <w:p>
      <w:pPr>
        <w:pStyle w:val="1227"/>
        <w:numPr>
          <w:ilvl w:val="0"/>
          <w:numId w:val="70"/>
        </w:numPr>
        <w:ind w:left="0" w:firstLine="709"/>
        <w:jc w:val="both"/>
        <w:spacing w:line="276" w:lineRule="auto"/>
        <w:rPr>
          <w:lang w:val="ru-RU"/>
        </w:rPr>
      </w:pPr>
      <w:r>
        <w:rPr>
          <w:rFonts w:ascii="Times New Roman" w:hAnsi="Times New Roman" w:eastAsia="Times New Roman"/>
          <w:sz w:val="28"/>
          <w:szCs w:val="28"/>
          <w:lang w:val="ru-RU"/>
        </w:rPr>
        <w:t xml:space="preserve">СИЗО-1 проведены работы по капитальному ремонту поста №5 режимного корпуса №2 на общую сумму 7125,2 тыс. рублей, капитального ремонта спец</w:t>
      </w:r>
      <w:r>
        <w:rPr>
          <w:rFonts w:ascii="Times New Roman" w:hAnsi="Times New Roman" w:eastAsia="Times New Roman"/>
          <w:sz w:val="28"/>
          <w:szCs w:val="28"/>
          <w:lang w:val="ru-RU"/>
        </w:rPr>
        <w:t xml:space="preserve">.б</w:t>
      </w:r>
      <w:r>
        <w:rPr>
          <w:rFonts w:ascii="Times New Roman" w:hAnsi="Times New Roman" w:eastAsia="Times New Roman"/>
          <w:sz w:val="28"/>
          <w:szCs w:val="28"/>
          <w:lang w:val="ru-RU"/>
        </w:rPr>
        <w:t xml:space="preserve">лока поста №6 режимного корпуса №2 на общую сумму </w:t>
      </w:r>
      <w:r>
        <w:rPr>
          <w:rFonts w:ascii="Times New Roman" w:hAnsi="Times New Roman" w:eastAsia="Times New Roman"/>
          <w:sz w:val="28"/>
          <w:szCs w:val="28"/>
          <w:lang w:val="ru-RU"/>
        </w:rPr>
        <w:t xml:space="preserve">2075,7 тыс. рублей, капитального ремонта санпропускника на сумму 524,6 тыс. рублей, капитального ремонта пищеблока на сумму 138,8 тыс. рублей, приобретены строительные материалы в рамках капитального ремонта овощехранилища на общую сумму 433,1 тыс. рублей;</w:t>
      </w:r>
      <w:r>
        <w:rPr>
          <w:lang w:val="ru-RU"/>
        </w:rPr>
      </w:r>
      <w:r>
        <w:rPr>
          <w:lang w:val="ru-RU"/>
        </w:rPr>
      </w:r>
    </w:p>
    <w:p>
      <w:pPr>
        <w:pStyle w:val="1227"/>
        <w:numPr>
          <w:ilvl w:val="0"/>
          <w:numId w:val="70"/>
        </w:numPr>
        <w:ind w:left="0" w:firstLine="709"/>
        <w:jc w:val="both"/>
        <w:spacing w:line="276" w:lineRule="auto"/>
        <w:rPr>
          <w:lang w:val="ru-RU"/>
        </w:rPr>
      </w:pPr>
      <w:r>
        <w:rPr>
          <w:rFonts w:ascii="Times New Roman" w:hAnsi="Times New Roman" w:eastAsia="Times New Roman"/>
          <w:sz w:val="28"/>
          <w:szCs w:val="28"/>
          <w:lang w:val="ru-RU"/>
        </w:rPr>
        <w:t xml:space="preserve">ИК-4 проведен капитальный ремонт кровли здания «Штаб» на сумму 1473,0 тыс. рублей, приобретены строительные материалы для капитального ремонта помещений столовой, хлебопекарни, медицинской части, помещений штаба на общую сумму 1666,4 тыс. рублей;</w:t>
      </w:r>
      <w:r>
        <w:rPr>
          <w:lang w:val="ru-RU"/>
        </w:rPr>
      </w:r>
      <w:r>
        <w:rPr>
          <w:lang w:val="ru-RU"/>
        </w:rPr>
      </w:r>
    </w:p>
    <w:p>
      <w:pPr>
        <w:pStyle w:val="1227"/>
        <w:numPr>
          <w:ilvl w:val="0"/>
          <w:numId w:val="70"/>
        </w:numPr>
        <w:ind w:left="0" w:firstLine="709"/>
        <w:jc w:val="both"/>
        <w:spacing w:line="276" w:lineRule="auto"/>
        <w:rPr>
          <w:lang w:val="ru-RU"/>
        </w:rPr>
      </w:pPr>
      <w:r>
        <w:rPr>
          <w:rFonts w:ascii="Times New Roman" w:hAnsi="Times New Roman" w:eastAsia="Times New Roman"/>
          <w:sz w:val="28"/>
          <w:szCs w:val="28"/>
          <w:lang w:val="ru-RU"/>
        </w:rPr>
        <w:t xml:space="preserve">ИК-5 проведены работы по капитальному ремонту кровли здания «Столовая», кровли здания «Баня» на общую сумму 8297,9 тыс. рублей, приобретены строительные материалы для капитального ремонта помещений </w:t>
      </w:r>
      <w:r>
        <w:rPr>
          <w:rFonts w:ascii="Times New Roman" w:hAnsi="Times New Roman" w:eastAsia="Times New Roman"/>
          <w:sz w:val="28"/>
          <w:szCs w:val="28"/>
          <w:lang w:val="ru-RU"/>
        </w:rPr>
        <w:t xml:space="preserve">постирочной</w:t>
      </w:r>
      <w:r>
        <w:rPr>
          <w:rFonts w:ascii="Times New Roman" w:hAnsi="Times New Roman" w:eastAsia="Times New Roman"/>
          <w:sz w:val="28"/>
          <w:szCs w:val="28"/>
          <w:lang w:val="ru-RU"/>
        </w:rPr>
        <w:t xml:space="preserve">, отрядов №№10,11 на общую сумму 759,7 тыс. рублей;</w:t>
      </w:r>
      <w:r>
        <w:rPr>
          <w:lang w:val="ru-RU"/>
        </w:rPr>
      </w:r>
      <w:r>
        <w:rPr>
          <w:lang w:val="ru-RU"/>
        </w:rPr>
      </w:r>
    </w:p>
    <w:p>
      <w:pPr>
        <w:pStyle w:val="1227"/>
        <w:numPr>
          <w:ilvl w:val="0"/>
          <w:numId w:val="70"/>
        </w:numPr>
        <w:ind w:left="0" w:firstLine="709"/>
        <w:jc w:val="both"/>
        <w:spacing w:line="276" w:lineRule="auto"/>
        <w:rPr>
          <w:lang w:val="ru-RU"/>
        </w:rPr>
      </w:pPr>
      <w:r>
        <w:rPr>
          <w:rFonts w:ascii="Times New Roman" w:hAnsi="Times New Roman" w:eastAsia="Times New Roman"/>
          <w:sz w:val="28"/>
          <w:szCs w:val="28"/>
          <w:lang w:val="ru-RU"/>
        </w:rPr>
        <w:t xml:space="preserve">ИК-6 приобретены строительные материалы в рамках капитального ремонта отрядов №№1,2,3 на общую сумму 1140,8 тыс. рублей, капитального ремонта помещений столовой на общую сумму 153,6 тыс. рублей;</w:t>
      </w:r>
      <w:r>
        <w:rPr>
          <w:lang w:val="ru-RU"/>
        </w:rPr>
      </w:r>
      <w:r>
        <w:rPr>
          <w:lang w:val="ru-RU"/>
        </w:rPr>
      </w:r>
    </w:p>
    <w:p>
      <w:pPr>
        <w:pStyle w:val="1227"/>
        <w:numPr>
          <w:ilvl w:val="0"/>
          <w:numId w:val="70"/>
        </w:numPr>
        <w:ind w:left="0" w:firstLine="709"/>
        <w:jc w:val="both"/>
        <w:spacing w:line="276" w:lineRule="auto"/>
        <w:rPr>
          <w:lang w:val="ru-RU"/>
        </w:rPr>
      </w:pPr>
      <w:r>
        <w:rPr>
          <w:rFonts w:ascii="Times New Roman" w:hAnsi="Times New Roman" w:eastAsia="Times New Roman"/>
          <w:sz w:val="28"/>
          <w:szCs w:val="28"/>
          <w:lang w:val="ru-RU"/>
        </w:rPr>
        <w:t xml:space="preserve">ИК-7 приобретены строительные материалы в рамках капитального ремонта помещений отряда №2, крупяного и мясного складов на общую сумму 522,5 тыс. рублей;</w:t>
      </w:r>
      <w:r>
        <w:rPr>
          <w:lang w:val="ru-RU"/>
        </w:rPr>
      </w:r>
      <w:r>
        <w:rPr>
          <w:lang w:val="ru-RU"/>
        </w:rPr>
      </w:r>
    </w:p>
    <w:p>
      <w:pPr>
        <w:pStyle w:val="1227"/>
        <w:numPr>
          <w:ilvl w:val="0"/>
          <w:numId w:val="70"/>
        </w:numPr>
        <w:ind w:left="0" w:firstLine="709"/>
        <w:jc w:val="both"/>
        <w:spacing w:line="276" w:lineRule="auto"/>
        <w:rPr>
          <w:lang w:val="ru-RU"/>
        </w:rPr>
      </w:pPr>
      <w:r>
        <w:rPr>
          <w:rFonts w:ascii="Times New Roman" w:hAnsi="Times New Roman" w:eastAsia="Times New Roman"/>
          <w:sz w:val="28"/>
          <w:szCs w:val="28"/>
          <w:lang w:val="ru-RU"/>
        </w:rPr>
        <w:t xml:space="preserve">КП-10 приобретены строительные материалы в рамках капитального ремонта вещевого склада на общую сумму 300,0 тыс. рублей.</w:t>
      </w:r>
      <w:r>
        <w:rPr>
          <w:lang w:val="ru-RU"/>
        </w:rPr>
      </w:r>
      <w:r>
        <w:rPr>
          <w:lang w:val="ru-RU"/>
        </w:rPr>
      </w:r>
    </w:p>
    <w:p>
      <w:pPr>
        <w:ind w:firstLine="709"/>
        <w:jc w:val="both"/>
        <w:spacing w:after="0"/>
      </w:pPr>
      <w:r>
        <w:rPr>
          <w:rFonts w:ascii="Times New Roman" w:hAnsi="Times New Roman" w:eastAsia="Times New Roman"/>
          <w:sz w:val="28"/>
          <w:szCs w:val="28"/>
        </w:rPr>
        <w:t xml:space="preserve">В 2026 году для улучшения коммунально-бытовых условий содержания подозреваемых, обвиняемых, осужденных запланированы следующие мероприятия:</w:t>
      </w:r>
      <w:r/>
    </w:p>
    <w:p>
      <w:pPr>
        <w:pStyle w:val="1227"/>
        <w:numPr>
          <w:ilvl w:val="0"/>
          <w:numId w:val="71"/>
        </w:numPr>
        <w:ind w:left="0" w:firstLine="709"/>
        <w:jc w:val="both"/>
        <w:spacing w:line="276" w:lineRule="auto"/>
        <w:rPr>
          <w:lang w:val="ru-RU"/>
        </w:rPr>
      </w:pPr>
      <w:r>
        <w:rPr>
          <w:rFonts w:ascii="Times New Roman" w:hAnsi="Times New Roman" w:eastAsia="Times New Roman"/>
          <w:sz w:val="28"/>
          <w:szCs w:val="28"/>
          <w:lang w:val="ru-RU"/>
        </w:rPr>
        <w:t xml:space="preserve">капитальный ремонт поста №3 режимного корпуса №2 СИЗО-1;</w:t>
      </w:r>
      <w:r>
        <w:rPr>
          <w:lang w:val="ru-RU"/>
        </w:rPr>
      </w:r>
      <w:r>
        <w:rPr>
          <w:lang w:val="ru-RU"/>
        </w:rPr>
      </w:r>
    </w:p>
    <w:p>
      <w:pPr>
        <w:pStyle w:val="1227"/>
        <w:numPr>
          <w:ilvl w:val="0"/>
          <w:numId w:val="71"/>
        </w:numPr>
        <w:ind w:left="0" w:firstLine="709"/>
        <w:jc w:val="both"/>
        <w:spacing w:line="276" w:lineRule="auto"/>
      </w:pPr>
      <w:r>
        <w:rPr>
          <w:rFonts w:ascii="Times New Roman" w:hAnsi="Times New Roman" w:eastAsia="Times New Roman"/>
          <w:sz w:val="28"/>
          <w:szCs w:val="28"/>
        </w:rPr>
        <w:t xml:space="preserve">капитальный</w:t>
      </w:r>
      <w:r>
        <w:rPr>
          <w:rFonts w:ascii="Times New Roman" w:hAnsi="Times New Roman" w:eastAsia="Times New Roman"/>
          <w:sz w:val="28"/>
          <w:szCs w:val="28"/>
        </w:rPr>
        <w:t xml:space="preserve"> </w:t>
      </w:r>
      <w:r>
        <w:rPr>
          <w:rFonts w:ascii="Times New Roman" w:hAnsi="Times New Roman" w:eastAsia="Times New Roman"/>
          <w:sz w:val="28"/>
          <w:szCs w:val="28"/>
        </w:rPr>
        <w:t xml:space="preserve">ремонт</w:t>
      </w:r>
      <w:r>
        <w:rPr>
          <w:rFonts w:ascii="Times New Roman" w:hAnsi="Times New Roman" w:eastAsia="Times New Roman"/>
          <w:sz w:val="28"/>
          <w:szCs w:val="28"/>
        </w:rPr>
        <w:t xml:space="preserve"> </w:t>
      </w:r>
      <w:r>
        <w:rPr>
          <w:rFonts w:ascii="Times New Roman" w:hAnsi="Times New Roman" w:eastAsia="Times New Roman"/>
          <w:sz w:val="28"/>
          <w:szCs w:val="28"/>
        </w:rPr>
        <w:t xml:space="preserve">клуба</w:t>
      </w:r>
      <w:r>
        <w:rPr>
          <w:rFonts w:ascii="Times New Roman" w:hAnsi="Times New Roman" w:eastAsia="Times New Roman"/>
          <w:sz w:val="28"/>
          <w:szCs w:val="28"/>
        </w:rPr>
        <w:t xml:space="preserve"> ИК-4;</w:t>
      </w:r>
      <w:r/>
    </w:p>
    <w:p>
      <w:pPr>
        <w:pStyle w:val="1227"/>
        <w:numPr>
          <w:ilvl w:val="0"/>
          <w:numId w:val="71"/>
        </w:numPr>
        <w:ind w:left="0" w:firstLine="709"/>
        <w:jc w:val="both"/>
        <w:spacing w:line="276" w:lineRule="auto"/>
        <w:rPr>
          <w:lang w:val="ru-RU"/>
        </w:rPr>
      </w:pPr>
      <w:r>
        <w:rPr>
          <w:rFonts w:ascii="Times New Roman" w:hAnsi="Times New Roman" w:eastAsia="Times New Roman"/>
          <w:sz w:val="28"/>
          <w:szCs w:val="28"/>
          <w:lang w:val="ru-RU"/>
        </w:rPr>
        <w:t xml:space="preserve">капитальный ремонт зданий общежития в ИК-5;</w:t>
      </w:r>
      <w:r>
        <w:rPr>
          <w:lang w:val="ru-RU"/>
        </w:rPr>
      </w:r>
      <w:r>
        <w:rPr>
          <w:lang w:val="ru-RU"/>
        </w:rPr>
      </w:r>
    </w:p>
    <w:p>
      <w:pPr>
        <w:pStyle w:val="1227"/>
        <w:numPr>
          <w:ilvl w:val="0"/>
          <w:numId w:val="71"/>
        </w:numPr>
        <w:ind w:left="0" w:firstLine="709"/>
        <w:jc w:val="both"/>
        <w:spacing w:line="276" w:lineRule="auto"/>
        <w:rPr>
          <w:lang w:val="ru-RU"/>
        </w:rPr>
      </w:pPr>
      <w:r>
        <w:rPr>
          <w:rFonts w:ascii="Times New Roman" w:hAnsi="Times New Roman" w:eastAsia="Times New Roman"/>
          <w:sz w:val="28"/>
          <w:szCs w:val="28"/>
          <w:lang w:val="ru-RU"/>
        </w:rPr>
        <w:t xml:space="preserve">капитальный ремонт ШИЗО, ПКТ ИК-5, ИК-6.</w:t>
      </w:r>
      <w:r>
        <w:rPr>
          <w:lang w:val="ru-RU"/>
        </w:rPr>
      </w:r>
      <w:r>
        <w:rPr>
          <w:lang w:val="ru-RU"/>
        </w:rPr>
      </w:r>
    </w:p>
    <w:p>
      <w:pPr>
        <w:ind w:firstLine="709"/>
        <w:jc w:val="both"/>
        <w:spacing w:after="0"/>
        <w:rPr>
          <w:rFonts w:ascii="Times New Roman" w:hAnsi="Times New Roman" w:eastAsia="Times New Roman"/>
          <w:color w:val="000000" w:themeColor="text1"/>
          <w:sz w:val="28"/>
          <w:szCs w:val="28"/>
        </w:rPr>
      </w:pPr>
      <w:r>
        <w:rPr>
          <w:rFonts w:ascii="Times New Roman" w:hAnsi="Times New Roman" w:eastAsia="Times New Roman"/>
          <w:color w:val="000000" w:themeColor="text1"/>
          <w:sz w:val="28"/>
          <w:szCs w:val="28"/>
        </w:rPr>
        <w:t xml:space="preserve">В ходе подготовки настоящего доклада из Ивановской прокуратуры по надзору за соблюдением законов в исправительных учреждениях</w:t>
      </w:r>
      <w:r>
        <w:rPr>
          <w:rFonts w:ascii="Times New Roman" w:hAnsi="Times New Roman" w:eastAsia="Times New Roman"/>
          <w:color w:val="000000" w:themeColor="text1"/>
          <w:sz w:val="28"/>
          <w:szCs w:val="28"/>
        </w:rPr>
        <w:t xml:space="preserve"> Ивановской области поступила следующая информация о проблемных вопросах в региональной УИС:</w:t>
      </w:r>
      <w:r>
        <w:rPr>
          <w:rFonts w:ascii="Times New Roman" w:hAnsi="Times New Roman" w:eastAsia="Times New Roman"/>
          <w:color w:val="000000" w:themeColor="text1"/>
          <w:sz w:val="28"/>
          <w:szCs w:val="28"/>
        </w:rPr>
      </w:r>
      <w:r>
        <w:rPr>
          <w:rFonts w:ascii="Times New Roman" w:hAnsi="Times New Roman" w:eastAsia="Times New Roman"/>
          <w:color w:val="000000" w:themeColor="text1"/>
          <w:sz w:val="28"/>
          <w:szCs w:val="28"/>
        </w:rPr>
      </w:r>
    </w:p>
    <w:p>
      <w:pPr>
        <w:ind w:firstLine="709"/>
        <w:jc w:val="both"/>
        <w:spacing w:after="0"/>
        <w:rPr>
          <w:rFonts w:ascii="Times New Roman" w:hAnsi="Times New Roman"/>
          <w:color w:val="000000" w:themeColor="text1"/>
          <w:sz w:val="28"/>
          <w:szCs w:val="28"/>
        </w:rPr>
      </w:pPr>
      <w:r>
        <w:rPr>
          <w:rFonts w:ascii="Times New Roman" w:hAnsi="Times New Roman" w:eastAsia="Times New Roman"/>
          <w:color w:val="000000" w:themeColor="text1"/>
          <w:sz w:val="28"/>
          <w:szCs w:val="28"/>
        </w:rPr>
        <w:t xml:space="preserve">Можно выделить проблему недостаточного финансирования учреждений УИС области, что приводит к невозможности проведения своевременного ремонта зданий общежитий и зданий хозяйственного, производственного назначения.</w:t>
      </w:r>
      <w:r>
        <w:rPr>
          <w:rFonts w:ascii="Times New Roman" w:hAnsi="Times New Roman"/>
          <w:color w:val="000000" w:themeColor="text1"/>
          <w:sz w:val="28"/>
          <w:szCs w:val="28"/>
        </w:rPr>
      </w:r>
      <w:r>
        <w:rPr>
          <w:rFonts w:ascii="Times New Roman" w:hAnsi="Times New Roman"/>
          <w:color w:val="000000" w:themeColor="text1"/>
          <w:sz w:val="28"/>
          <w:szCs w:val="28"/>
        </w:rPr>
      </w:r>
    </w:p>
    <w:p>
      <w:pPr>
        <w:ind w:firstLine="709"/>
        <w:jc w:val="both"/>
        <w:spacing w:after="0"/>
        <w:rPr>
          <w:rFonts w:ascii="Times New Roman" w:hAnsi="Times New Roman" w:eastAsia="Times New Roman"/>
          <w:color w:val="000000" w:themeColor="text1"/>
          <w:sz w:val="28"/>
          <w:szCs w:val="28"/>
        </w:rPr>
      </w:pPr>
      <w:r>
        <w:rPr>
          <w:rFonts w:ascii="Times New Roman" w:hAnsi="Times New Roman" w:eastAsia="Times New Roman"/>
          <w:color w:val="000000" w:themeColor="text1"/>
          <w:sz w:val="28"/>
          <w:szCs w:val="28"/>
        </w:rPr>
        <w:t xml:space="preserve">Также явно неконкурентным является размер заработной платы сотрудников УФСИН. В 2025 году, как и в предыдущие </w:t>
      </w:r>
      <w:r>
        <w:rPr>
          <w:rFonts w:ascii="Times New Roman" w:hAnsi="Times New Roman" w:eastAsia="Times New Roman"/>
          <w:color w:val="000000" w:themeColor="text1"/>
          <w:sz w:val="28"/>
          <w:szCs w:val="28"/>
        </w:rPr>
        <w:t xml:space="preserve">годы</w:t>
      </w:r>
      <w:r>
        <w:rPr>
          <w:rFonts w:ascii="Times New Roman" w:hAnsi="Times New Roman" w:eastAsia="Times New Roman"/>
          <w:color w:val="000000" w:themeColor="text1"/>
          <w:sz w:val="28"/>
          <w:szCs w:val="28"/>
        </w:rPr>
        <w:t xml:space="preserve"> фиксируется динамика оттока работников из уголовно-исполнительной системы региона. Указанная проблема не является уникальной и существует в большинстве регионов. </w:t>
      </w:r>
      <w:r>
        <w:rPr>
          <w:rFonts w:ascii="Times New Roman" w:hAnsi="Times New Roman" w:eastAsia="Times New Roman"/>
          <w:color w:val="000000" w:themeColor="text1"/>
          <w:sz w:val="28"/>
          <w:szCs w:val="28"/>
        </w:rPr>
        <w:t xml:space="preserve"> Принятие дополнительных стимулирующих мер позволит сохранить кадровый состав и положительно скажется на привлечении новых работников в систему.</w:t>
      </w:r>
      <w:r>
        <w:rPr>
          <w:rFonts w:ascii="Times New Roman" w:hAnsi="Times New Roman" w:eastAsia="Times New Roman"/>
          <w:color w:val="000000" w:themeColor="text1"/>
          <w:sz w:val="28"/>
          <w:szCs w:val="28"/>
        </w:rPr>
      </w:r>
      <w:r>
        <w:rPr>
          <w:rFonts w:ascii="Times New Roman" w:hAnsi="Times New Roman" w:eastAsia="Times New Roman"/>
          <w:color w:val="000000" w:themeColor="text1"/>
          <w:sz w:val="28"/>
          <w:szCs w:val="28"/>
        </w:rPr>
      </w:r>
    </w:p>
    <w:p>
      <w:pPr>
        <w:ind w:firstLine="709"/>
        <w:jc w:val="both"/>
        <w:spacing w:after="0"/>
        <w:rPr>
          <w:rFonts w:ascii="Times New Roman" w:hAnsi="Times New Roman" w:eastAsia="Times New Roman"/>
          <w:color w:val="000000" w:themeColor="text1"/>
          <w:sz w:val="28"/>
          <w:szCs w:val="28"/>
        </w:rPr>
      </w:pPr>
      <w:r>
        <w:rPr>
          <w:rFonts w:ascii="Times New Roman" w:hAnsi="Times New Roman" w:eastAsia="Times New Roman"/>
          <w:color w:val="000000" w:themeColor="text1"/>
          <w:sz w:val="28"/>
          <w:szCs w:val="28"/>
        </w:rPr>
        <w:t xml:space="preserve">Проблемным м</w:t>
      </w:r>
      <w:r>
        <w:rPr>
          <w:rFonts w:ascii="Times New Roman" w:hAnsi="Times New Roman" w:eastAsia="Times New Roman"/>
          <w:color w:val="000000" w:themeColor="text1"/>
          <w:sz w:val="28"/>
          <w:szCs w:val="28"/>
        </w:rPr>
        <w:t xml:space="preserve">оментом является также обеспечение осужденных работой. Учреждения уголовно-исполнительной системы в 2025 году не сумели заключить с коммерческими организациями региона достаточное количество контрактов, необходимое для обеспечения всех осужденных работой. </w:t>
      </w:r>
      <w:r>
        <w:rPr>
          <w:rFonts w:ascii="Times New Roman" w:hAnsi="Times New Roman" w:eastAsia="Times New Roman"/>
          <w:color w:val="000000" w:themeColor="text1"/>
          <w:sz w:val="28"/>
          <w:szCs w:val="28"/>
        </w:rPr>
      </w:r>
      <w:r>
        <w:rPr>
          <w:rFonts w:ascii="Times New Roman" w:hAnsi="Times New Roman" w:eastAsia="Times New Roman"/>
          <w:color w:val="000000" w:themeColor="text1"/>
          <w:sz w:val="28"/>
          <w:szCs w:val="28"/>
        </w:rPr>
      </w:r>
    </w:p>
    <w:p>
      <w:pPr>
        <w:ind w:firstLine="709"/>
        <w:jc w:val="both"/>
        <w:spacing w:after="0"/>
      </w:pPr>
      <w:r>
        <w:rPr>
          <w:rFonts w:ascii="Times New Roman" w:hAnsi="Times New Roman" w:eastAsia="Times New Roman"/>
          <w:sz w:val="28"/>
          <w:szCs w:val="28"/>
        </w:rPr>
        <w:t xml:space="preserve">Представленная прокуратурой информация о проблемных в</w:t>
      </w:r>
      <w:r>
        <w:rPr>
          <w:rFonts w:ascii="Times New Roman" w:hAnsi="Times New Roman" w:eastAsia="Times New Roman"/>
          <w:sz w:val="28"/>
          <w:szCs w:val="28"/>
        </w:rPr>
        <w:t xml:space="preserve">опросах в региональной уголовно-исполнительной системе (УИС) является актуальной и заслуживает самого серьезного внимания. Выделенные системные проблемы носят фундаментальный характер и напрямую влияют на выполнение учреждениями УИС своих основных функций.</w:t>
      </w:r>
      <w:r/>
    </w:p>
    <w:p>
      <w:pPr>
        <w:ind w:firstLine="709"/>
        <w:jc w:val="both"/>
        <w:spacing w:after="0"/>
      </w:pPr>
      <w:r>
        <w:rPr>
          <w:rFonts w:ascii="Times New Roman" w:hAnsi="Times New Roman" w:eastAsia="Times New Roman"/>
          <w:sz w:val="28"/>
          <w:szCs w:val="28"/>
        </w:rPr>
        <w:t xml:space="preserve">Проблема недостаточного финансирования инфраструктуры (общежития, хозяйственные и производственные здания) является критичес</w:t>
      </w:r>
      <w:r>
        <w:rPr>
          <w:rFonts w:ascii="Times New Roman" w:hAnsi="Times New Roman" w:eastAsia="Times New Roman"/>
          <w:sz w:val="28"/>
          <w:szCs w:val="28"/>
        </w:rPr>
        <w:t xml:space="preserve">кой. Невозможность проведения своевременного ремонта не только создает риски для безопасности и санитарно-эпидемиологического благополучия, но и подрывает основы нормального функционирования учреждений, снижая эффективность производственной деятельности и </w:t>
      </w:r>
      <w:r>
        <w:rPr>
          <w:rFonts w:ascii="Times New Roman" w:hAnsi="Times New Roman" w:eastAsia="Times New Roman"/>
          <w:sz w:val="28"/>
          <w:szCs w:val="28"/>
        </w:rPr>
        <w:t xml:space="preserve">ресоциализации</w:t>
      </w:r>
      <w:r>
        <w:rPr>
          <w:rFonts w:ascii="Times New Roman" w:hAnsi="Times New Roman" w:eastAsia="Times New Roman"/>
          <w:sz w:val="28"/>
          <w:szCs w:val="28"/>
        </w:rPr>
        <w:t xml:space="preserve">.</w:t>
      </w:r>
      <w:r/>
    </w:p>
    <w:p>
      <w:pPr>
        <w:ind w:firstLine="709"/>
        <w:jc w:val="both"/>
        <w:spacing w:after="0"/>
      </w:pPr>
      <w:r>
        <w:rPr>
          <w:rFonts w:ascii="Times New Roman" w:hAnsi="Times New Roman" w:eastAsia="Times New Roman"/>
          <w:sz w:val="28"/>
          <w:szCs w:val="28"/>
        </w:rPr>
        <w:t xml:space="preserve">Кадровая проблема, связанная с неконкурентной заработной платой сотрудников УФСИН, ведет к потере опытных специалистов, увеличивает нагрузку на оставшийся персонал и в конечном итоге снижает качество исполнения наказаний и уровень безопасности.</w:t>
      </w:r>
      <w:r/>
    </w:p>
    <w:p>
      <w:pPr>
        <w:ind w:firstLine="709"/>
        <w:jc w:val="both"/>
        <w:spacing w:after="0"/>
        <w:rPr>
          <w:rFonts w:ascii="Times New Roman" w:hAnsi="Times New Roman" w:eastAsia="Times New Roman"/>
          <w:sz w:val="28"/>
          <w:szCs w:val="28"/>
        </w:rPr>
      </w:pPr>
      <w:r>
        <w:rPr>
          <w:rFonts w:ascii="Times New Roman" w:hAnsi="Times New Roman" w:eastAsia="Times New Roman"/>
          <w:sz w:val="28"/>
          <w:szCs w:val="28"/>
        </w:rPr>
        <w:t xml:space="preserve">Особенно ценно в представленной информации то, что прокуратура не просто констатирует проблемы, но и указывает на конструктивный путь их решения - внедрение системы региональных мер поддержки сотрудников УФСИН по примеру других субъектов РФ.</w:t>
      </w:r>
      <w:r>
        <w:rPr>
          <w:rFonts w:ascii="Times New Roman" w:hAnsi="Times New Roman" w:eastAsia="Times New Roman"/>
          <w:sz w:val="28"/>
          <w:szCs w:val="28"/>
        </w:rPr>
      </w:r>
      <w:r>
        <w:rPr>
          <w:rFonts w:ascii="Times New Roman" w:hAnsi="Times New Roman" w:eastAsia="Times New Roman"/>
          <w:sz w:val="28"/>
          <w:szCs w:val="28"/>
        </w:rPr>
      </w:r>
    </w:p>
    <w:p>
      <w:pPr>
        <w:ind w:firstLine="709"/>
        <w:jc w:val="both"/>
        <w:spacing w:after="0"/>
        <w:rPr>
          <w:rFonts w:ascii="Times New Roman" w:hAnsi="Times New Roman" w:eastAsia="Times New Roman"/>
          <w:color w:val="00b050"/>
          <w:sz w:val="28"/>
          <w:szCs w:val="28"/>
        </w:rPr>
      </w:pPr>
      <w:r>
        <w:rPr>
          <w:rFonts w:ascii="Times New Roman" w:hAnsi="Times New Roman" w:eastAsia="Times New Roman"/>
          <w:sz w:val="28"/>
          <w:szCs w:val="28"/>
        </w:rPr>
        <w:t xml:space="preserve">Информация прокуратуры заслуживает быть положенной в основу для разработки конкретных законодательных и управленческих инициатив на уровне Ивановско</w:t>
      </w:r>
      <w:r>
        <w:rPr>
          <w:rFonts w:ascii="Times New Roman" w:hAnsi="Times New Roman" w:eastAsia="Times New Roman"/>
          <w:sz w:val="28"/>
          <w:szCs w:val="28"/>
        </w:rPr>
        <w:t xml:space="preserve">й области. Принятие пакета региональных мер поддержки сотрудников УФСИН, наряду с поиском дополнительных источников финансирования для ремонта инфраструктуры, является необходимым шагом для стабилизации обстановки в уголовно-исполнительной системе региона.</w:t>
      </w:r>
      <w:r>
        <w:rPr>
          <w:rFonts w:ascii="Times New Roman" w:hAnsi="Times New Roman" w:eastAsia="Times New Roman"/>
          <w:color w:val="00b050"/>
          <w:sz w:val="28"/>
          <w:szCs w:val="28"/>
        </w:rPr>
      </w:r>
      <w:r>
        <w:rPr>
          <w:rFonts w:ascii="Times New Roman" w:hAnsi="Times New Roman" w:eastAsia="Times New Roman"/>
          <w:color w:val="00b050"/>
          <w:sz w:val="28"/>
          <w:szCs w:val="28"/>
        </w:rPr>
      </w:r>
    </w:p>
    <w:p>
      <w:pPr>
        <w:ind w:firstLine="709"/>
        <w:jc w:val="both"/>
        <w:spacing w:after="0"/>
      </w:pPr>
      <w:r>
        <w:rPr>
          <w:rFonts w:ascii="Times New Roman" w:hAnsi="Times New Roman" w:eastAsia="Times New Roman"/>
          <w:sz w:val="28"/>
          <w:szCs w:val="28"/>
        </w:rPr>
        <w:t xml:space="preserve">Региональное Управление УФСИН также сообщает, что реализуется комплекс мероприятий, направленный на внедрение пробации в деятельность учреждений УИС, организацию взаимодействия с субъектами пробации. </w:t>
      </w:r>
      <w:r/>
    </w:p>
    <w:p>
      <w:pPr>
        <w:ind w:firstLine="709"/>
        <w:jc w:val="both"/>
        <w:spacing w:after="0"/>
      </w:pPr>
      <w:r>
        <w:rPr>
          <w:rFonts w:ascii="Times New Roman" w:hAnsi="Times New Roman" w:eastAsia="Times New Roman"/>
          <w:sz w:val="28"/>
          <w:szCs w:val="28"/>
        </w:rPr>
        <w:t xml:space="preserve">В рамках реализации положений Федерального закона от 06.02.2023 №10-ФЗ «О пробации в Российской Федерации» заключено 161 соглашение с субъектами пробации, коммерческими и некоммерческими организациями.</w:t>
      </w:r>
      <w:r/>
    </w:p>
    <w:p>
      <w:pPr>
        <w:ind w:firstLine="709"/>
        <w:jc w:val="both"/>
        <w:spacing w:after="0"/>
      </w:pPr>
      <w:r>
        <w:rPr>
          <w:rFonts w:ascii="Times New Roman" w:hAnsi="Times New Roman" w:eastAsia="Times New Roman"/>
          <w:sz w:val="28"/>
          <w:szCs w:val="28"/>
        </w:rPr>
        <w:t xml:space="preserve">В рамках исполнительной пробации из 251 чел., обратившихся с заявлением в филиалы ФКУ УИИ УФСИН, принято решение о целесообразности применения пробации в отношении 241 чел. или 96,02% осужденных, кроме несовершеннолетних.</w:t>
      </w:r>
      <w:r/>
    </w:p>
    <w:p>
      <w:pPr>
        <w:ind w:firstLine="709"/>
        <w:jc w:val="both"/>
        <w:spacing w:after="0"/>
        <w:rPr>
          <w:color w:val="00b050"/>
        </w:rPr>
      </w:pPr>
      <w:r>
        <w:rPr>
          <w:rFonts w:ascii="Times New Roman" w:hAnsi="Times New Roman" w:eastAsia="Times New Roman"/>
          <w:sz w:val="28"/>
          <w:szCs w:val="28"/>
        </w:rPr>
        <w:t xml:space="preserve">В рамках </w:t>
      </w:r>
      <w:r>
        <w:rPr>
          <w:rFonts w:ascii="Times New Roman" w:hAnsi="Times New Roman" w:eastAsia="Times New Roman"/>
          <w:sz w:val="28"/>
          <w:szCs w:val="28"/>
        </w:rPr>
        <w:t xml:space="preserve">постпенитенциарной</w:t>
      </w:r>
      <w:r>
        <w:rPr>
          <w:rFonts w:ascii="Times New Roman" w:hAnsi="Times New Roman" w:eastAsia="Times New Roman"/>
          <w:sz w:val="28"/>
          <w:szCs w:val="28"/>
        </w:rPr>
        <w:t xml:space="preserve"> пробации в УИИ за 2025 год обратилось 14 чел. (12 чел. освободившиеся из исправительных учреждений, 2 чел. из УФИЦ, в отношении 13 применялась пенитенциарная пробация (составлена индивидуальная программа)).</w:t>
      </w:r>
      <w:r>
        <w:rPr>
          <w:color w:val="00b050"/>
        </w:rPr>
      </w:r>
      <w:r>
        <w:rPr>
          <w:color w:val="00b050"/>
        </w:rPr>
      </w:r>
    </w:p>
    <w:p>
      <w:pPr>
        <w:ind w:firstLine="709"/>
        <w:jc w:val="both"/>
        <w:spacing w:after="0"/>
        <w:rPr>
          <w:rFonts w:ascii="Times New Roman" w:hAnsi="Times New Roman"/>
          <w:sz w:val="28"/>
          <w:szCs w:val="28"/>
        </w:rPr>
      </w:pPr>
      <w:r>
        <w:rPr>
          <w:rFonts w:ascii="Times New Roman" w:hAnsi="Times New Roman" w:eastAsia="Times New Roman"/>
          <w:color w:val="000000" w:themeColor="text1"/>
          <w:sz w:val="28"/>
          <w:szCs w:val="28"/>
        </w:rPr>
        <w:t xml:space="preserve">За указанный отчётный период в адрес аппарата УПЧ поступали неоднократные жалобы от адвокатов и нотариусов о долгом ожидании встречи с лицами, содержащимися в ФКУ СИЗО-1 УФСИН России по Ивановской области., а именно о долгом ожидании</w:t>
      </w:r>
      <w:r>
        <w:rPr>
          <w:rFonts w:ascii="Times New Roman" w:hAnsi="Times New Roman" w:eastAsia="Times New Roman"/>
          <w:color w:val="000000" w:themeColor="text1"/>
          <w:sz w:val="28"/>
          <w:szCs w:val="28"/>
        </w:rPr>
        <w:t xml:space="preserve"> .</w:t>
      </w:r>
      <w:r>
        <w:rPr>
          <w:rFonts w:ascii="Times New Roman" w:hAnsi="Times New Roman"/>
          <w:sz w:val="28"/>
          <w:szCs w:val="28"/>
        </w:rPr>
      </w:r>
      <w:r>
        <w:rPr>
          <w:rFonts w:ascii="Times New Roman" w:hAnsi="Times New Roman"/>
          <w:sz w:val="28"/>
          <w:szCs w:val="28"/>
        </w:rPr>
      </w:r>
    </w:p>
    <w:p>
      <w:pPr>
        <w:ind w:firstLine="709"/>
        <w:jc w:val="both"/>
        <w:spacing w:after="0"/>
        <w:rPr>
          <w:rFonts w:ascii="Times New Roman" w:hAnsi="Times New Roman"/>
          <w:color w:val="000000" w:themeColor="text1"/>
          <w:sz w:val="28"/>
          <w:szCs w:val="28"/>
        </w:rPr>
      </w:pPr>
      <w:r>
        <w:rPr>
          <w:rFonts w:ascii="Times New Roman" w:hAnsi="Times New Roman" w:eastAsia="Times New Roman"/>
          <w:color w:val="000000" w:themeColor="text1"/>
          <w:sz w:val="28"/>
          <w:szCs w:val="28"/>
        </w:rPr>
      </w:r>
      <w:r>
        <w:rPr>
          <w:rFonts w:ascii="Times New Roman" w:hAnsi="Times New Roman" w:eastAsia="Times New Roman"/>
          <w:color w:val="000000" w:themeColor="text1"/>
          <w:sz w:val="28"/>
          <w:szCs w:val="28"/>
        </w:rPr>
        <w:t xml:space="preserve"> Длительное ожидание - это не просто бытовое неудобство, это системная проблема, которая негативно сказывается на подозреваемых, обвиняемых, подсудимых, защитниках, самих сотрудников изолятора и в итоге - на эффективности правосудия.</w:t>
      </w:r>
      <w:r>
        <w:rPr>
          <w:rFonts w:ascii="Times New Roman" w:hAnsi="Times New Roman"/>
          <w:color w:val="000000" w:themeColor="text1"/>
          <w:sz w:val="28"/>
          <w:szCs w:val="28"/>
        </w:rPr>
      </w:r>
      <w:r>
        <w:rPr>
          <w:rFonts w:ascii="Times New Roman" w:hAnsi="Times New Roman"/>
          <w:color w:val="000000" w:themeColor="text1"/>
          <w:sz w:val="28"/>
          <w:szCs w:val="28"/>
        </w:rPr>
      </w:r>
    </w:p>
    <w:p>
      <w:pPr>
        <w:ind w:firstLine="709"/>
        <w:jc w:val="both"/>
        <w:spacing w:after="0"/>
        <w:rPr>
          <w:color w:val="000000" w:themeColor="text1"/>
        </w:rPr>
      </w:pPr>
      <w:r>
        <w:rPr>
          <w:rFonts w:ascii="Times New Roman" w:hAnsi="Times New Roman" w:eastAsia="Times New Roman"/>
          <w:color w:val="000000" w:themeColor="text1"/>
          <w:sz w:val="28"/>
          <w:szCs w:val="28"/>
        </w:rPr>
        <w:t xml:space="preserve">Адвокатам и нотари</w:t>
      </w:r>
      <w:r>
        <w:rPr>
          <w:rFonts w:ascii="Times New Roman" w:hAnsi="Times New Roman" w:eastAsia="Times New Roman"/>
          <w:color w:val="000000" w:themeColor="text1"/>
          <w:sz w:val="28"/>
          <w:szCs w:val="28"/>
        </w:rPr>
        <w:t xml:space="preserve">усам стоит фиксировать каждый случай необоснованно длительного ожидания, направлять официальные обращения в адвокатские и нотариальные палаты для формирования коллективной претензии во ФСИН и прокуратуру. Без общего голоса изменения будут только точечными.</w:t>
      </w:r>
      <w:r>
        <w:rPr>
          <w:color w:val="000000" w:themeColor="text1"/>
        </w:rPr>
      </w:r>
      <w:r>
        <w:rPr>
          <w:color w:val="000000" w:themeColor="text1"/>
        </w:rPr>
      </w:r>
    </w:p>
    <w:p>
      <w:pPr>
        <w:ind w:firstLine="709"/>
        <w:jc w:val="both"/>
        <w:spacing w:after="0"/>
        <w:rPr>
          <w:rFonts w:ascii="Times New Roman" w:hAnsi="Times New Roman" w:eastAsia="Times New Roman"/>
          <w:color w:val="000000" w:themeColor="text1"/>
          <w:sz w:val="28"/>
          <w:szCs w:val="28"/>
        </w:rPr>
      </w:pPr>
      <w:r>
        <w:rPr>
          <w:rFonts w:ascii="Times New Roman" w:hAnsi="Times New Roman" w:eastAsia="Times New Roman"/>
          <w:color w:val="000000" w:themeColor="text1"/>
          <w:sz w:val="28"/>
          <w:szCs w:val="28"/>
        </w:rPr>
        <w:t xml:space="preserve">Вопросы об оказании медицинской помощи в 2025 году являлись наиболее проблемными и часто затрагиваемыми в жалобах осужденных и лиц, содержащихся под стражей. </w:t>
      </w:r>
      <w:r>
        <w:rPr>
          <w:rFonts w:ascii="Times New Roman" w:hAnsi="Times New Roman" w:eastAsia="Times New Roman"/>
          <w:color w:val="000000" w:themeColor="text1"/>
          <w:sz w:val="28"/>
          <w:szCs w:val="28"/>
        </w:rPr>
      </w:r>
      <w:r>
        <w:rPr>
          <w:rFonts w:ascii="Times New Roman" w:hAnsi="Times New Roman" w:eastAsia="Times New Roman"/>
          <w:color w:val="000000" w:themeColor="text1"/>
          <w:sz w:val="28"/>
          <w:szCs w:val="28"/>
        </w:rPr>
      </w:r>
    </w:p>
    <w:p>
      <w:pPr>
        <w:ind w:firstLine="709"/>
        <w:jc w:val="both"/>
        <w:spacing w:after="0"/>
        <w:rPr>
          <w:rFonts w:ascii="Times New Roman" w:hAnsi="Times New Roman" w:eastAsia="Times New Roman"/>
          <w:color w:val="000000" w:themeColor="text1"/>
          <w:sz w:val="28"/>
          <w:szCs w:val="28"/>
        </w:rPr>
      </w:pPr>
      <w:r>
        <w:rPr>
          <w:rFonts w:ascii="Times New Roman" w:hAnsi="Times New Roman" w:eastAsia="Times New Roman"/>
          <w:color w:val="000000" w:themeColor="text1"/>
          <w:sz w:val="28"/>
          <w:szCs w:val="28"/>
        </w:rPr>
        <w:t xml:space="preserve"> Всего</w:t>
      </w:r>
      <w:r>
        <w:rPr>
          <w:rFonts w:ascii="Times New Roman" w:hAnsi="Times New Roman" w:eastAsia="Times New Roman"/>
          <w:color w:val="000000" w:themeColor="text1"/>
          <w:sz w:val="28"/>
          <w:szCs w:val="28"/>
        </w:rPr>
        <w:t xml:space="preserve"> поступило 23 письменных и 125 устных обращений, в том числе по телефону, связанных с качеством и своевременностью оказания медицинской помощи, обеспечением лекарственными препаратами, направлением на обследование и необходимое лечение.</w:t>
      </w:r>
      <w:r>
        <w:rPr>
          <w:rFonts w:ascii="Times New Roman" w:hAnsi="Times New Roman" w:eastAsia="Times New Roman"/>
          <w:color w:val="000000" w:themeColor="text1"/>
          <w:sz w:val="28"/>
          <w:szCs w:val="28"/>
        </w:rPr>
      </w:r>
      <w:r>
        <w:rPr>
          <w:rFonts w:ascii="Times New Roman" w:hAnsi="Times New Roman" w:eastAsia="Times New Roman"/>
          <w:color w:val="000000" w:themeColor="text1"/>
          <w:sz w:val="28"/>
          <w:szCs w:val="28"/>
        </w:rPr>
      </w:r>
    </w:p>
    <w:p>
      <w:pPr>
        <w:ind w:firstLine="709"/>
        <w:jc w:val="both"/>
        <w:spacing w:after="0"/>
        <w:rPr>
          <w:color w:val="000000" w:themeColor="text1"/>
        </w:rPr>
      </w:pPr>
      <w:r>
        <w:rPr>
          <w:rFonts w:ascii="Times New Roman" w:hAnsi="Times New Roman" w:eastAsia="Times New Roman"/>
          <w:color w:val="000000" w:themeColor="text1"/>
          <w:sz w:val="28"/>
          <w:szCs w:val="28"/>
        </w:rPr>
        <w:t xml:space="preserve"> К сожалению, сохраняется проблема нехватки узких медицинских специалистов в штатах медико-санитарных частей учреждений УИС Ивановской области.</w:t>
      </w:r>
      <w:r>
        <w:rPr>
          <w:color w:val="000000" w:themeColor="text1"/>
        </w:rPr>
      </w:r>
      <w:r>
        <w:rPr>
          <w:color w:val="000000" w:themeColor="text1"/>
        </w:rPr>
      </w:r>
    </w:p>
    <w:p>
      <w:pPr>
        <w:ind w:firstLine="709"/>
        <w:jc w:val="both"/>
        <w:spacing w:after="0"/>
        <w:rPr>
          <w:rFonts w:ascii="Times New Roman" w:hAnsi="Times New Roman" w:eastAsia="Times New Roman"/>
          <w:color w:val="000000" w:themeColor="text1"/>
          <w:sz w:val="28"/>
          <w:szCs w:val="28"/>
        </w:rPr>
      </w:pPr>
      <w:r>
        <w:rPr>
          <w:rFonts w:ascii="Times New Roman" w:hAnsi="Times New Roman" w:eastAsia="Times New Roman"/>
          <w:color w:val="000000" w:themeColor="text1"/>
          <w:sz w:val="28"/>
          <w:szCs w:val="28"/>
        </w:rPr>
        <w:t xml:space="preserve"> При отработке жалоб на получен</w:t>
      </w:r>
      <w:r>
        <w:rPr>
          <w:rFonts w:ascii="Times New Roman" w:hAnsi="Times New Roman" w:eastAsia="Times New Roman"/>
          <w:color w:val="000000" w:themeColor="text1"/>
          <w:sz w:val="28"/>
          <w:szCs w:val="28"/>
        </w:rPr>
        <w:t xml:space="preserve">ие действенной медицинской помощи сложилась ситуация, которая вскрывает системную проблему на стыке права осужденных на медицинскую помощь, полномочий Уполномоченного по правам человека и трактовки врачебной тайны ФКУЗ МСЧ-37 ФСИН России (далее – МСЧ-37). </w:t>
      </w:r>
      <w:r>
        <w:rPr>
          <w:rFonts w:ascii="Times New Roman" w:hAnsi="Times New Roman" w:eastAsia="Times New Roman"/>
          <w:color w:val="000000" w:themeColor="text1"/>
          <w:sz w:val="28"/>
          <w:szCs w:val="28"/>
        </w:rPr>
      </w:r>
      <w:r>
        <w:rPr>
          <w:rFonts w:ascii="Times New Roman" w:hAnsi="Times New Roman" w:eastAsia="Times New Roman"/>
          <w:color w:val="000000" w:themeColor="text1"/>
          <w:sz w:val="28"/>
          <w:szCs w:val="28"/>
        </w:rPr>
      </w:r>
    </w:p>
    <w:p>
      <w:pPr>
        <w:ind w:firstLine="709"/>
        <w:jc w:val="both"/>
        <w:spacing w:after="0"/>
        <w:rPr>
          <w:color w:val="000000" w:themeColor="text1"/>
        </w:rPr>
      </w:pPr>
      <w:r>
        <w:rPr>
          <w:rFonts w:ascii="Times New Roman" w:hAnsi="Times New Roman" w:eastAsia="Times New Roman"/>
          <w:color w:val="000000" w:themeColor="text1"/>
          <w:sz w:val="28"/>
          <w:szCs w:val="28"/>
        </w:rPr>
        <w:t xml:space="preserve">Медицинс</w:t>
      </w:r>
      <w:r>
        <w:rPr>
          <w:rFonts w:ascii="Times New Roman" w:hAnsi="Times New Roman" w:eastAsia="Times New Roman"/>
          <w:color w:val="000000" w:themeColor="text1"/>
          <w:sz w:val="28"/>
          <w:szCs w:val="28"/>
        </w:rPr>
        <w:t xml:space="preserve">кая служба отказывается предоставлять информацию о заболевании осужденного, ссылаясь на врачебную тайну. При этом сам осужденный в своем обращении к правозащитнику детально описывает свои симптомы, сообщает свой диагноз и просит оказать необходимую помощь.</w:t>
      </w:r>
      <w:r>
        <w:rPr>
          <w:color w:val="000000" w:themeColor="text1"/>
        </w:rPr>
      </w:r>
      <w:r>
        <w:rPr>
          <w:color w:val="000000" w:themeColor="text1"/>
        </w:rPr>
      </w:r>
    </w:p>
    <w:p>
      <w:pPr>
        <w:ind w:firstLine="709"/>
        <w:jc w:val="both"/>
        <w:spacing w:after="0"/>
        <w:rPr>
          <w:color w:val="000000" w:themeColor="text1"/>
        </w:rPr>
      </w:pPr>
      <w:r>
        <w:rPr>
          <w:rFonts w:ascii="Times New Roman" w:hAnsi="Times New Roman" w:eastAsia="Times New Roman"/>
          <w:color w:val="000000" w:themeColor="text1"/>
          <w:sz w:val="28"/>
          <w:szCs w:val="28"/>
        </w:rPr>
        <w:t xml:space="preserve">Уполномоченный по правам человека в Ивановской области, исполняя свой прямой за</w:t>
      </w:r>
      <w:r>
        <w:rPr>
          <w:rFonts w:ascii="Times New Roman" w:hAnsi="Times New Roman" w:eastAsia="Times New Roman"/>
          <w:color w:val="000000" w:themeColor="text1"/>
          <w:sz w:val="28"/>
          <w:szCs w:val="28"/>
        </w:rPr>
        <w:t xml:space="preserve">конный долг по защите прав граждан, находящихся в местах принудительного содержания, запрашивает у МСЧ-37 информацию о состоянии здоровья конкретного осужденного. Поводом является не праздный интерес, а его обращение, в котором человек описывает серьезные </w:t>
      </w:r>
      <w:r>
        <w:rPr>
          <w:rFonts w:ascii="Times New Roman" w:hAnsi="Times New Roman" w:eastAsia="Times New Roman"/>
          <w:color w:val="000000" w:themeColor="text1"/>
          <w:sz w:val="28"/>
          <w:szCs w:val="28"/>
        </w:rPr>
        <w:t xml:space="preserve">проблемы со здоровьем, отсутствие необходимого лечения и опасения за свою жизнь.</w:t>
      </w:r>
      <w:r>
        <w:rPr>
          <w:color w:val="000000" w:themeColor="text1"/>
        </w:rPr>
      </w:r>
      <w:r>
        <w:rPr>
          <w:color w:val="000000" w:themeColor="text1"/>
        </w:rPr>
      </w:r>
    </w:p>
    <w:p>
      <w:pPr>
        <w:ind w:firstLine="709"/>
        <w:jc w:val="both"/>
        <w:spacing w:after="0"/>
        <w:rPr>
          <w:color w:val="000000" w:themeColor="text1"/>
        </w:rPr>
      </w:pPr>
      <w:r>
        <w:rPr>
          <w:rFonts w:ascii="Times New Roman" w:hAnsi="Times New Roman" w:eastAsia="Times New Roman"/>
          <w:color w:val="000000" w:themeColor="text1"/>
          <w:sz w:val="28"/>
          <w:szCs w:val="28"/>
        </w:rPr>
        <w:t xml:space="preserve">Однако в официальном отв</w:t>
      </w:r>
      <w:r>
        <w:rPr>
          <w:rFonts w:ascii="Times New Roman" w:hAnsi="Times New Roman" w:eastAsia="Times New Roman"/>
          <w:color w:val="000000" w:themeColor="text1"/>
          <w:sz w:val="28"/>
          <w:szCs w:val="28"/>
        </w:rPr>
        <w:t xml:space="preserve">ете МСЧ-37 ссылается на статью 13 Федерального закона «Об основах охраны здоровья граждан в РФ» - врачебную тайну. По их логике, раскрытие диагноза и плана лечения даже уполномоченному государственному органу, осуществляющему контроль, является нарушением.</w:t>
      </w:r>
      <w:r>
        <w:rPr>
          <w:color w:val="000000" w:themeColor="text1"/>
        </w:rPr>
      </w:r>
      <w:r>
        <w:rPr>
          <w:color w:val="000000" w:themeColor="text1"/>
        </w:rPr>
      </w:r>
    </w:p>
    <w:p>
      <w:pPr>
        <w:ind w:firstLine="709"/>
        <w:jc w:val="both"/>
        <w:spacing w:after="0"/>
        <w:rPr>
          <w:color w:val="000000" w:themeColor="text1"/>
        </w:rPr>
      </w:pPr>
      <w:r>
        <w:rPr>
          <w:rFonts w:ascii="Times New Roman" w:hAnsi="Times New Roman" w:eastAsia="Times New Roman"/>
          <w:color w:val="000000" w:themeColor="text1"/>
          <w:sz w:val="28"/>
          <w:szCs w:val="28"/>
        </w:rPr>
        <w:t xml:space="preserve">При этом согласие пациента есть. Осужденный, обращаясь к омбудсмену, по сути,</w:t>
      </w:r>
      <w:r>
        <w:rPr>
          <w:rFonts w:ascii="Times New Roman" w:hAnsi="Times New Roman" w:eastAsia="Times New Roman"/>
          <w:color w:val="000000" w:themeColor="text1"/>
          <w:sz w:val="28"/>
          <w:szCs w:val="28"/>
        </w:rPr>
        <w:t xml:space="preserve"> дает прямое и информированное согласие на разглашение сведений о своем здоровье в целях защиты своих прав. Его обращение - это и есть крик о помощи и разрешение на вмешательство. Игнорирование этой воли пациента само по себе является нарушением его прав. </w:t>
      </w:r>
      <w:r>
        <w:rPr>
          <w:color w:val="000000" w:themeColor="text1"/>
        </w:rPr>
      </w:r>
      <w:r>
        <w:rPr>
          <w:color w:val="000000" w:themeColor="text1"/>
        </w:rPr>
      </w:r>
    </w:p>
    <w:p>
      <w:pPr>
        <w:ind w:firstLine="709"/>
        <w:jc w:val="both"/>
        <w:spacing w:after="0"/>
        <w:rPr>
          <w:color w:val="000000" w:themeColor="text1"/>
        </w:rPr>
      </w:pPr>
      <w:r>
        <w:rPr>
          <w:rFonts w:ascii="Times New Roman" w:hAnsi="Times New Roman" w:eastAsia="Times New Roman"/>
          <w:color w:val="000000" w:themeColor="text1"/>
          <w:sz w:val="28"/>
          <w:szCs w:val="28"/>
        </w:rPr>
        <w:t xml:space="preserve">Региональный правозащитник действует на основании федерального и регионального законодательства. Его полномочия по запросу и получению любой информации, включая </w:t>
      </w:r>
      <w:r>
        <w:rPr>
          <w:rFonts w:ascii="Times New Roman" w:hAnsi="Times New Roman" w:eastAsia="Times New Roman"/>
          <w:color w:val="000000" w:themeColor="text1"/>
          <w:sz w:val="28"/>
          <w:szCs w:val="28"/>
        </w:rPr>
        <w:t xml:space="preserve">медицинскую</w:t>
      </w:r>
      <w:r>
        <w:rPr>
          <w:rFonts w:ascii="Times New Roman" w:hAnsi="Times New Roman" w:eastAsia="Times New Roman"/>
          <w:color w:val="000000" w:themeColor="text1"/>
          <w:sz w:val="28"/>
          <w:szCs w:val="28"/>
        </w:rPr>
        <w:t xml:space="preserve">, от любых государственных органов и учреждений, носят официальный характер. Это не любопытство постороннего лица, а законная контрольная функция.</w:t>
      </w:r>
      <w:r>
        <w:rPr>
          <w:color w:val="000000" w:themeColor="text1"/>
        </w:rPr>
      </w:r>
      <w:r>
        <w:rPr>
          <w:color w:val="000000" w:themeColor="text1"/>
        </w:rPr>
      </w:r>
    </w:p>
    <w:p>
      <w:pPr>
        <w:ind w:firstLine="709"/>
        <w:jc w:val="both"/>
        <w:spacing w:after="0"/>
        <w:rPr>
          <w:color w:val="000000" w:themeColor="text1"/>
        </w:rPr>
      </w:pPr>
      <w:r>
        <w:rPr>
          <w:rFonts w:ascii="Times New Roman" w:hAnsi="Times New Roman" w:eastAsia="Times New Roman"/>
          <w:color w:val="000000" w:themeColor="text1"/>
          <w:sz w:val="28"/>
          <w:szCs w:val="28"/>
        </w:rPr>
        <w:t xml:space="preserve">Если бы осужденный молчал о своей болезни, аргумент о тайне</w:t>
      </w:r>
      <w:r>
        <w:rPr>
          <w:rFonts w:ascii="Times New Roman" w:hAnsi="Times New Roman" w:eastAsia="Times New Roman"/>
          <w:color w:val="000000" w:themeColor="text1"/>
          <w:sz w:val="28"/>
          <w:szCs w:val="28"/>
        </w:rPr>
        <w:t xml:space="preserve"> мог бы иметь какую-то формальную подоплеку. Но когда пациент сам раскрывает все детали и просит о помощи, ссылка медработников на тайну выглядит как отговорка, цель которой - скрыть возможные факты неоказания или ненадлежащего оказания медицинской помощи.</w:t>
      </w:r>
      <w:r>
        <w:rPr>
          <w:color w:val="000000" w:themeColor="text1"/>
        </w:rPr>
      </w:r>
      <w:r>
        <w:rPr>
          <w:color w:val="000000" w:themeColor="text1"/>
        </w:rPr>
      </w:r>
    </w:p>
    <w:p>
      <w:pPr>
        <w:ind w:firstLine="709"/>
        <w:jc w:val="both"/>
        <w:spacing w:after="0"/>
        <w:rPr>
          <w:color w:val="000000" w:themeColor="text1"/>
        </w:rPr>
      </w:pPr>
      <w:r>
        <w:rPr>
          <w:rFonts w:ascii="Times New Roman" w:hAnsi="Times New Roman" w:eastAsia="Times New Roman"/>
          <w:color w:val="000000" w:themeColor="text1"/>
          <w:sz w:val="28"/>
          <w:szCs w:val="28"/>
        </w:rPr>
        <w:t xml:space="preserve">Право на охрану здоровья, гарантированное Конституцией РФ (статья 41), не приостанавливается для лиц, лишенных свободы. Более того, государство берет на себя полную ответственность за их жизнь и здоровье.</w:t>
      </w:r>
      <w:r>
        <w:rPr>
          <w:color w:val="000000" w:themeColor="text1"/>
        </w:rPr>
      </w:r>
      <w:r>
        <w:rPr>
          <w:color w:val="000000" w:themeColor="text1"/>
        </w:rPr>
      </w:r>
    </w:p>
    <w:p>
      <w:pPr>
        <w:ind w:firstLine="709"/>
        <w:jc w:val="both"/>
        <w:spacing w:after="0"/>
        <w:rPr>
          <w:rFonts w:ascii="Times New Roman" w:hAnsi="Times New Roman" w:eastAsia="Times New Roman"/>
          <w:color w:val="000000" w:themeColor="text1"/>
          <w:sz w:val="28"/>
          <w:szCs w:val="28"/>
        </w:rPr>
      </w:pPr>
      <w:r>
        <w:rPr>
          <w:rFonts w:ascii="Times New Roman" w:hAnsi="Times New Roman" w:eastAsia="Times New Roman"/>
          <w:color w:val="000000" w:themeColor="text1"/>
          <w:sz w:val="28"/>
          <w:szCs w:val="28"/>
        </w:rPr>
        <w:t xml:space="preserve">Право на жизнь и зд</w:t>
      </w:r>
      <w:r>
        <w:rPr>
          <w:rFonts w:ascii="Times New Roman" w:hAnsi="Times New Roman" w:eastAsia="Times New Roman"/>
          <w:color w:val="000000" w:themeColor="text1"/>
          <w:sz w:val="28"/>
          <w:szCs w:val="28"/>
        </w:rPr>
        <w:t xml:space="preserve">оровье не должно быть заложником ведомственных инструкций. В данной ситуации МСЧ-37 просто необходимо довести до лиц отбывающих наказание и содержащихся под стражей форму такого согласия в письменном виде, чтобы они могли в полной мере защищать свои права.</w:t>
      </w:r>
      <w:r>
        <w:rPr>
          <w:rFonts w:ascii="Times New Roman" w:hAnsi="Times New Roman" w:eastAsia="Times New Roman"/>
          <w:color w:val="000000" w:themeColor="text1"/>
          <w:sz w:val="28"/>
          <w:szCs w:val="28"/>
        </w:rPr>
      </w:r>
      <w:r>
        <w:rPr>
          <w:rFonts w:ascii="Times New Roman" w:hAnsi="Times New Roman" w:eastAsia="Times New Roman"/>
          <w:color w:val="000000" w:themeColor="text1"/>
          <w:sz w:val="28"/>
          <w:szCs w:val="28"/>
        </w:rPr>
      </w:r>
    </w:p>
    <w:p>
      <w:pPr>
        <w:ind w:firstLine="709"/>
        <w:jc w:val="both"/>
        <w:spacing w:after="0"/>
        <w:rPr>
          <w:rFonts w:ascii="Times New Roman" w:hAnsi="Times New Roman" w:eastAsia="Times New Roman"/>
          <w:color w:val="000000" w:themeColor="text1"/>
          <w:sz w:val="28"/>
          <w:szCs w:val="28"/>
        </w:rPr>
      </w:pPr>
      <w:r>
        <w:rPr>
          <w:rFonts w:ascii="Times New Roman" w:hAnsi="Times New Roman" w:eastAsia="Times New Roman"/>
          <w:color w:val="000000" w:themeColor="text1"/>
          <w:sz w:val="28"/>
          <w:szCs w:val="28"/>
        </w:rPr>
        <w:t xml:space="preserve">По информации, предоставленной региональной прокуратурой, п</w:t>
      </w:r>
      <w:r>
        <w:rPr>
          <w:rFonts w:ascii="Times New Roman" w:hAnsi="Times New Roman" w:eastAsia="Times New Roman"/>
          <w:color w:val="000000" w:themeColor="text1"/>
          <w:sz w:val="28"/>
          <w:szCs w:val="28"/>
        </w:rPr>
        <w:t xml:space="preserve">риоритетное внимание прокурорами уделено требованиям закона о медико-санитарном обеспечении подозреваемых, обвиняемых и осужденных. По результатам проверок выявлены факты ненадлежащего диспансерного наблюдения за подозреваемыми, обвиняемыми и осужденными, </w:t>
      </w:r>
      <w:r>
        <w:rPr>
          <w:rFonts w:ascii="Times New Roman" w:hAnsi="Times New Roman" w:eastAsia="Times New Roman"/>
          <w:color w:val="000000" w:themeColor="text1"/>
          <w:sz w:val="28"/>
          <w:szCs w:val="28"/>
        </w:rPr>
        <w:t xml:space="preserve">непроведения</w:t>
      </w:r>
      <w:r>
        <w:rPr>
          <w:rFonts w:ascii="Times New Roman" w:hAnsi="Times New Roman" w:eastAsia="Times New Roman"/>
          <w:color w:val="000000" w:themeColor="text1"/>
          <w:sz w:val="28"/>
          <w:szCs w:val="28"/>
        </w:rPr>
        <w:t xml:space="preserve"> в отдельных случаях лабораторных и инструментальных исследований, непринятия осужденных на диспансерный учет при наличии к тому медицинских показаний. Не в полной мере обеспечивалось проведение </w:t>
      </w:r>
      <w:r>
        <w:rPr>
          <w:rFonts w:ascii="Times New Roman" w:hAnsi="Times New Roman" w:eastAsia="Times New Roman"/>
          <w:color w:val="000000" w:themeColor="text1"/>
          <w:sz w:val="28"/>
          <w:szCs w:val="28"/>
        </w:rPr>
        <w:t xml:space="preserve">лицам, страдающим хроническими заболеваниями, необходимой терапии. Выявлялись нарушения при хранении лекарственных препаратов. Всего по результатам проведенных проверок в 2025 году выявлено 58 нарушений в расс</w:t>
      </w:r>
      <w:r>
        <w:rPr>
          <w:rFonts w:ascii="Times New Roman" w:hAnsi="Times New Roman" w:eastAsia="Times New Roman"/>
          <w:color w:val="000000" w:themeColor="text1"/>
          <w:sz w:val="28"/>
          <w:szCs w:val="28"/>
        </w:rPr>
        <w:t xml:space="preserve">матриваемой сфере, в результате чего в адрес УФСИН России по Ивановской области, ФКУЗ МСЧ-37 ФСИН России внесено 10 представлений, по результатам рассмотрения актов прокурорского реагирования к дисциплинарной ответственности привлечено 16 должностных лиц. </w:t>
      </w:r>
      <w:r>
        <w:rPr>
          <w:rFonts w:ascii="Times New Roman" w:hAnsi="Times New Roman" w:eastAsia="Times New Roman"/>
          <w:color w:val="000000" w:themeColor="text1"/>
          <w:sz w:val="28"/>
          <w:szCs w:val="28"/>
        </w:rPr>
      </w:r>
      <w:r>
        <w:rPr>
          <w:rFonts w:ascii="Times New Roman" w:hAnsi="Times New Roman" w:eastAsia="Times New Roman"/>
          <w:color w:val="000000" w:themeColor="text1"/>
          <w:sz w:val="28"/>
          <w:szCs w:val="28"/>
        </w:rPr>
      </w:r>
    </w:p>
    <w:p>
      <w:pPr>
        <w:ind w:firstLine="709"/>
        <w:jc w:val="both"/>
        <w:spacing w:after="0"/>
        <w:rPr>
          <w:rFonts w:ascii="Times New Roman" w:hAnsi="Times New Roman" w:eastAsia="Times New Roman"/>
          <w:color w:val="000000" w:themeColor="text1"/>
          <w:sz w:val="28"/>
          <w:szCs w:val="28"/>
          <w:highlight w:val="none"/>
        </w:rPr>
      </w:pPr>
      <w:r>
        <w:rPr>
          <w:rFonts w:ascii="Times New Roman" w:hAnsi="Times New Roman" w:eastAsia="Times New Roman"/>
          <w:color w:val="000000" w:themeColor="text1"/>
          <w:sz w:val="28"/>
          <w:szCs w:val="28"/>
        </w:rPr>
        <w:t xml:space="preserve">В целом в 2025 году диалог между аппаратом Уполномоченного по правам человека в Ивановской области и руководством территориального органа</w:t>
      </w:r>
      <w:r>
        <w:rPr>
          <w:rFonts w:ascii="Times New Roman" w:hAnsi="Times New Roman" w:eastAsia="Times New Roman"/>
          <w:color w:val="000000" w:themeColor="text1"/>
          <w:sz w:val="28"/>
          <w:szCs w:val="28"/>
        </w:rPr>
        <w:t xml:space="preserve"> ФС</w:t>
      </w:r>
      <w:r>
        <w:rPr>
          <w:rFonts w:ascii="Times New Roman" w:hAnsi="Times New Roman" w:eastAsia="Times New Roman"/>
          <w:color w:val="000000" w:themeColor="text1"/>
          <w:sz w:val="28"/>
          <w:szCs w:val="28"/>
        </w:rPr>
        <w:t xml:space="preserve">ИН России носил конструктивный и планомерный характер, что позволило оперативно решать многие проблемные вопросы. Основной задачей на будущий год остается системная работа по устранению структурных проблем, прежде всего в сфере медицинского обслуживания и </w:t>
      </w:r>
      <w:r>
        <w:rPr>
          <w:rFonts w:ascii="Times New Roman" w:hAnsi="Times New Roman" w:eastAsia="Times New Roman"/>
          <w:color w:val="000000" w:themeColor="text1"/>
          <w:sz w:val="28"/>
          <w:szCs w:val="28"/>
        </w:rPr>
        <w:t xml:space="preserve">ресоциализации</w:t>
      </w:r>
      <w:r>
        <w:rPr>
          <w:rFonts w:ascii="Times New Roman" w:hAnsi="Times New Roman" w:eastAsia="Times New Roman"/>
          <w:color w:val="000000" w:themeColor="text1"/>
          <w:sz w:val="28"/>
          <w:szCs w:val="28"/>
        </w:rPr>
        <w:t xml:space="preserve"> осужденных, что является важнейшим условием для соблюдения их прав и законных интересов, а также профилактики рецидивной преступности.</w:t>
      </w:r>
      <w:r>
        <w:rPr>
          <w:rFonts w:ascii="Times New Roman" w:hAnsi="Times New Roman" w:eastAsia="Times New Roman"/>
          <w:color w:val="000000" w:themeColor="text1"/>
          <w:sz w:val="28"/>
          <w:szCs w:val="28"/>
          <w:highlight w:val="none"/>
        </w:rPr>
      </w:r>
      <w:r>
        <w:rPr>
          <w:rFonts w:ascii="Times New Roman" w:hAnsi="Times New Roman" w:eastAsia="Times New Roman"/>
          <w:color w:val="000000" w:themeColor="text1"/>
          <w:sz w:val="28"/>
          <w:szCs w:val="28"/>
          <w:highlight w:val="none"/>
        </w:rPr>
      </w:r>
    </w:p>
    <w:p>
      <w:pPr>
        <w:ind w:firstLine="709"/>
        <w:jc w:val="both"/>
        <w:spacing w:after="0"/>
        <w:rPr>
          <w:rFonts w:ascii="Times New Roman" w:hAnsi="Times New Roman" w:eastAsia="Times New Roman"/>
          <w:color w:val="000000" w:themeColor="text1"/>
          <w:sz w:val="28"/>
          <w:szCs w:val="28"/>
        </w:rPr>
      </w:pPr>
      <w:r>
        <w:rPr>
          <w:rFonts w:ascii="Times New Roman" w:hAnsi="Times New Roman" w:eastAsia="Times New Roman"/>
          <w:color w:val="000000" w:themeColor="text1"/>
          <w:sz w:val="28"/>
          <w:szCs w:val="28"/>
          <w:highlight w:val="none"/>
        </w:rPr>
      </w:r>
      <w:r>
        <w:rPr>
          <w:rFonts w:ascii="Times New Roman" w:hAnsi="Times New Roman" w:eastAsia="Times New Roman"/>
          <w:color w:val="000000" w:themeColor="text1"/>
          <w:sz w:val="28"/>
          <w:szCs w:val="28"/>
        </w:rPr>
      </w:r>
      <w:r>
        <w:rPr>
          <w:rFonts w:ascii="Times New Roman" w:hAnsi="Times New Roman" w:eastAsia="Times New Roman"/>
          <w:color w:val="000000" w:themeColor="text1"/>
          <w:sz w:val="28"/>
          <w:szCs w:val="28"/>
        </w:rPr>
      </w:r>
    </w:p>
    <w:p>
      <w:pPr>
        <w:pStyle w:val="1226"/>
        <w:jc w:val="center"/>
        <w:spacing w:after="0" w:afterAutospacing="0"/>
        <w:rPr>
          <w:rFonts w:ascii="Times New Roman" w:hAnsi="Times New Roman"/>
          <w:b/>
          <w:bCs/>
          <w:color w:val="000000" w:themeColor="text1"/>
          <w:sz w:val="28"/>
          <w:szCs w:val="28"/>
        </w:rPr>
      </w:pPr>
      <w:r/>
      <w:bookmarkStart w:id="59" w:name="_Toc37"/>
      <w:r>
        <w:rPr>
          <w:rFonts w:ascii="Times New Roman" w:hAnsi="Times New Roman"/>
          <w:b/>
          <w:bCs/>
          <w:color w:val="000000" w:themeColor="text1"/>
          <w:sz w:val="28"/>
          <w:szCs w:val="28"/>
        </w:rPr>
        <w:t xml:space="preserve">Уполномоченный рекомендует:</w:t>
      </w:r>
      <w:r>
        <w:rPr>
          <w:rFonts w:ascii="Times New Roman" w:hAnsi="Times New Roman"/>
          <w:b/>
          <w:bCs/>
          <w:color w:val="000000" w:themeColor="text1"/>
          <w:sz w:val="28"/>
          <w:szCs w:val="28"/>
        </w:rPr>
      </w:r>
      <w:bookmarkEnd w:id="59"/>
      <w:r>
        <w:rPr>
          <w:rFonts w:ascii="Times New Roman" w:hAnsi="Times New Roman"/>
          <w:b/>
          <w:bCs/>
          <w:color w:val="000000" w:themeColor="text1"/>
          <w:sz w:val="28"/>
          <w:szCs w:val="28"/>
        </w:rPr>
      </w:r>
      <w:r>
        <w:rPr>
          <w:rFonts w:ascii="Times New Roman" w:hAnsi="Times New Roman"/>
          <w:b/>
          <w:bCs/>
          <w:color w:val="000000" w:themeColor="text1"/>
          <w:sz w:val="28"/>
          <w:szCs w:val="28"/>
        </w:rPr>
      </w:r>
    </w:p>
    <w:p>
      <w:pPr>
        <w:spacing w:after="0" w:afterAutospacing="0"/>
      </w:pPr>
      <w:r/>
      <w:r/>
    </w:p>
    <w:p>
      <w:pPr>
        <w:ind w:firstLine="708"/>
        <w:jc w:val="both"/>
        <w:spacing w:after="0" w:afterAutospacing="0"/>
        <w:rPr>
          <w:rFonts w:ascii="Times New Roman" w:hAnsi="Times New Roman"/>
          <w:b/>
          <w:bCs/>
          <w:i/>
          <w:color w:val="000000" w:themeColor="text1"/>
          <w:sz w:val="28"/>
          <w:szCs w:val="28"/>
        </w:rPr>
      </w:pPr>
      <w:r>
        <w:rPr>
          <w:rFonts w:ascii="Times New Roman" w:hAnsi="Times New Roman"/>
          <w:b/>
          <w:bCs/>
          <w:i/>
          <w:color w:val="000000" w:themeColor="text1"/>
          <w:sz w:val="28"/>
          <w:szCs w:val="28"/>
        </w:rPr>
        <w:t xml:space="preserve">Правительству Ивановской области, Ивановской областной Думе, органам исполнительной власти:</w:t>
      </w:r>
      <w:r>
        <w:rPr>
          <w:rFonts w:ascii="Times New Roman" w:hAnsi="Times New Roman"/>
          <w:b/>
          <w:bCs/>
          <w:i/>
          <w:color w:val="000000" w:themeColor="text1"/>
          <w:sz w:val="28"/>
          <w:szCs w:val="28"/>
        </w:rPr>
      </w:r>
      <w:r>
        <w:rPr>
          <w:rFonts w:ascii="Times New Roman" w:hAnsi="Times New Roman"/>
          <w:b/>
          <w:bCs/>
          <w:i/>
          <w:color w:val="000000" w:themeColor="text1"/>
          <w:sz w:val="28"/>
          <w:szCs w:val="28"/>
        </w:rPr>
      </w:r>
    </w:p>
    <w:p>
      <w:pPr>
        <w:pStyle w:val="1227"/>
        <w:numPr>
          <w:ilvl w:val="0"/>
          <w:numId w:val="104"/>
        </w:numPr>
        <w:ind w:left="0" w:firstLine="709"/>
        <w:jc w:val="both"/>
        <w:spacing w:line="276" w:lineRule="auto"/>
        <w:shd w:val="clear" w:color="ffffff" w:fill="ffffff"/>
        <w:rPr>
          <w:rFonts w:ascii="Times New Roman" w:hAnsi="Times New Roman" w:eastAsia="Liberation Sans"/>
          <w:color w:val="1a1a1a"/>
          <w:sz w:val="28"/>
          <w:szCs w:val="28"/>
          <w:lang w:val="ru-RU"/>
        </w:rPr>
        <w:pBdr>
          <w:top w:val="none" w:color="000000" w:sz="4" w:space="0"/>
          <w:left w:val="none" w:color="000000" w:sz="4" w:space="0"/>
          <w:bottom w:val="none" w:color="000000" w:sz="4" w:space="0"/>
          <w:right w:val="none" w:color="000000" w:sz="4" w:space="0"/>
        </w:pBdr>
      </w:pPr>
      <w:r>
        <w:rPr>
          <w:rFonts w:ascii="Times New Roman" w:hAnsi="Times New Roman" w:eastAsia="Liberation Sans"/>
          <w:color w:val="000000"/>
          <w:sz w:val="28"/>
          <w:szCs w:val="28"/>
          <w:lang w:val="ru-RU"/>
        </w:rPr>
        <w:t xml:space="preserve">Изучить вопрос о возможном введении региональных налоговых льгот предприятиям и организациям, трудоустраивающим осужденных к принудительным работам;</w:t>
      </w:r>
      <w:r>
        <w:rPr>
          <w:rFonts w:ascii="Times New Roman" w:hAnsi="Times New Roman" w:eastAsia="Liberation Sans"/>
          <w:color w:val="1a1a1a"/>
          <w:sz w:val="28"/>
          <w:szCs w:val="28"/>
          <w:lang w:val="ru-RU"/>
        </w:rPr>
      </w:r>
      <w:r>
        <w:rPr>
          <w:rFonts w:ascii="Times New Roman" w:hAnsi="Times New Roman" w:eastAsia="Liberation Sans"/>
          <w:color w:val="1a1a1a"/>
          <w:sz w:val="28"/>
          <w:szCs w:val="28"/>
          <w:lang w:val="ru-RU"/>
        </w:rPr>
      </w:r>
    </w:p>
    <w:p>
      <w:pPr>
        <w:pStyle w:val="1227"/>
        <w:numPr>
          <w:ilvl w:val="0"/>
          <w:numId w:val="104"/>
        </w:numPr>
        <w:ind w:left="0" w:firstLine="709"/>
        <w:jc w:val="both"/>
        <w:spacing w:line="276" w:lineRule="auto"/>
        <w:shd w:val="clear" w:color="ffffff" w:fill="ffffff"/>
        <w:rPr>
          <w:rFonts w:ascii="Times New Roman" w:hAnsi="Times New Roman" w:eastAsia="Liberation Sans"/>
          <w:color w:val="1a1a1a"/>
          <w:sz w:val="28"/>
          <w:szCs w:val="28"/>
          <w:lang w:val="ru-RU"/>
        </w:rPr>
        <w:pBdr>
          <w:top w:val="none" w:color="000000" w:sz="4" w:space="0"/>
          <w:left w:val="none" w:color="000000" w:sz="4" w:space="0"/>
          <w:bottom w:val="none" w:color="000000" w:sz="4" w:space="0"/>
          <w:right w:val="none" w:color="000000" w:sz="4" w:space="0"/>
        </w:pBdr>
      </w:pPr>
      <w:r>
        <w:rPr>
          <w:rFonts w:ascii="Times New Roman" w:hAnsi="Times New Roman" w:eastAsia="Liberation Sans"/>
          <w:color w:val="000000"/>
          <w:sz w:val="28"/>
          <w:szCs w:val="28"/>
          <w:lang w:val="ru-RU"/>
        </w:rPr>
        <w:t xml:space="preserve">продолжить практику совместных приемов в исправительных учреждениях Ивановской области с представителями органов власти, службы занятости, СФР и нотариата в рамках социально значимого регионального проекта  «Линия защиты».</w:t>
      </w:r>
      <w:r>
        <w:rPr>
          <w:rFonts w:ascii="Times New Roman" w:hAnsi="Times New Roman" w:eastAsia="Liberation Sans"/>
          <w:color w:val="1a1a1a"/>
          <w:sz w:val="28"/>
          <w:szCs w:val="28"/>
          <w:lang w:val="ru-RU"/>
        </w:rPr>
      </w:r>
      <w:r>
        <w:rPr>
          <w:rFonts w:ascii="Times New Roman" w:hAnsi="Times New Roman" w:eastAsia="Liberation Sans"/>
          <w:color w:val="1a1a1a"/>
          <w:sz w:val="28"/>
          <w:szCs w:val="28"/>
          <w:lang w:val="ru-RU"/>
        </w:rPr>
      </w:r>
    </w:p>
    <w:p>
      <w:pPr>
        <w:pStyle w:val="1227"/>
        <w:ind w:left="0"/>
        <w:jc w:val="both"/>
        <w:shd w:val="clear" w:color="ffffff" w:fill="ffffff"/>
        <w:rPr>
          <w:rFonts w:ascii="Times New Roman" w:hAnsi="Times New Roman" w:eastAsia="Liberation Sans"/>
          <w:color w:val="1a1a1a"/>
          <w:sz w:val="28"/>
          <w:szCs w:val="28"/>
          <w:lang w:val="ru-RU"/>
        </w:rPr>
        <w:pBdr>
          <w:top w:val="none" w:color="000000" w:sz="4" w:space="0"/>
          <w:left w:val="none" w:color="000000" w:sz="4" w:space="0"/>
          <w:bottom w:val="none" w:color="000000" w:sz="4" w:space="0"/>
          <w:right w:val="none" w:color="000000" w:sz="4" w:space="0"/>
        </w:pBdr>
      </w:pPr>
      <w:r>
        <w:rPr>
          <w:rFonts w:ascii="Times New Roman" w:hAnsi="Times New Roman" w:eastAsia="Liberation Sans"/>
          <w:color w:val="1a1a1a"/>
          <w:sz w:val="28"/>
          <w:szCs w:val="28"/>
          <w:lang w:val="ru-RU"/>
        </w:rPr>
      </w:r>
      <w:r>
        <w:rPr>
          <w:rFonts w:ascii="Times New Roman" w:hAnsi="Times New Roman" w:eastAsia="Liberation Sans"/>
          <w:color w:val="1a1a1a"/>
          <w:sz w:val="28"/>
          <w:szCs w:val="28"/>
          <w:lang w:val="ru-RU"/>
        </w:rPr>
      </w:r>
      <w:r>
        <w:rPr>
          <w:rFonts w:ascii="Times New Roman" w:hAnsi="Times New Roman" w:eastAsia="Liberation Sans"/>
          <w:color w:val="1a1a1a"/>
          <w:sz w:val="28"/>
          <w:szCs w:val="28"/>
          <w:lang w:val="ru-RU"/>
        </w:rPr>
      </w:r>
    </w:p>
    <w:p>
      <w:pPr>
        <w:ind w:firstLine="708"/>
        <w:jc w:val="both"/>
        <w:spacing w:after="0"/>
        <w:rPr>
          <w:rFonts w:ascii="Times New Roman" w:hAnsi="Times New Roman"/>
          <w:b/>
          <w:bCs/>
          <w:i/>
          <w:color w:val="000000" w:themeColor="text1"/>
          <w:sz w:val="28"/>
          <w:szCs w:val="28"/>
        </w:rPr>
      </w:pPr>
      <w:r>
        <w:rPr>
          <w:rFonts w:ascii="Times New Roman" w:hAnsi="Times New Roman"/>
          <w:b/>
          <w:bCs/>
          <w:i/>
          <w:color w:val="000000" w:themeColor="text1"/>
          <w:sz w:val="28"/>
          <w:szCs w:val="28"/>
        </w:rPr>
        <w:t xml:space="preserve">УФСИН России по Ивановской области:</w:t>
      </w:r>
      <w:r>
        <w:rPr>
          <w:rFonts w:ascii="Times New Roman" w:hAnsi="Times New Roman"/>
          <w:b/>
          <w:bCs/>
          <w:i/>
          <w:color w:val="000000" w:themeColor="text1"/>
          <w:sz w:val="28"/>
          <w:szCs w:val="28"/>
        </w:rPr>
      </w:r>
      <w:r>
        <w:rPr>
          <w:rFonts w:ascii="Times New Roman" w:hAnsi="Times New Roman"/>
          <w:b/>
          <w:bCs/>
          <w:i/>
          <w:color w:val="000000" w:themeColor="text1"/>
          <w:sz w:val="28"/>
          <w:szCs w:val="28"/>
        </w:rPr>
      </w:r>
    </w:p>
    <w:p>
      <w:pPr>
        <w:pStyle w:val="1227"/>
        <w:numPr>
          <w:ilvl w:val="0"/>
          <w:numId w:val="72"/>
        </w:numPr>
        <w:ind w:left="0" w:firstLine="709"/>
        <w:jc w:val="both"/>
        <w:spacing w:line="276" w:lineRule="auto"/>
        <w:rPr>
          <w:lang w:val="ru-RU"/>
        </w:rPr>
      </w:pPr>
      <w:r>
        <w:rPr>
          <w:rFonts w:ascii="Times New Roman" w:hAnsi="Times New Roman"/>
          <w:bCs/>
          <w:color w:val="000000" w:themeColor="text1"/>
          <w:sz w:val="28"/>
          <w:szCs w:val="28"/>
          <w:lang w:val="ru-RU"/>
        </w:rPr>
        <w:t xml:space="preserve">усилить контроль за материально-бытовым обеспечением и вещевым довольствием осужденных, подозреваемых и обвиняемых, содержащихся в учреждениях уголовно-исполнительной системы области.</w:t>
      </w:r>
      <w:r>
        <w:rPr>
          <w:lang w:val="ru-RU"/>
        </w:rPr>
      </w:r>
      <w:r>
        <w:rPr>
          <w:lang w:val="ru-RU"/>
        </w:rPr>
      </w:r>
    </w:p>
    <w:p>
      <w:pPr>
        <w:ind w:firstLine="709"/>
        <w:jc w:val="both"/>
        <w:spacing w:after="0"/>
        <w:tabs>
          <w:tab w:val="left" w:pos="1134" w:leader="none"/>
          <w:tab w:val="left" w:pos="1276" w:leader="none"/>
        </w:tabs>
        <w:rPr>
          <w:rFonts w:ascii="Times New Roman" w:hAnsi="Times New Roman"/>
          <w:b/>
          <w:bCs/>
          <w:i/>
          <w:color w:val="000000" w:themeColor="text1"/>
          <w:sz w:val="28"/>
          <w:szCs w:val="28"/>
        </w:rPr>
      </w:pPr>
      <w:r>
        <w:rPr>
          <w:rFonts w:ascii="Times New Roman" w:hAnsi="Times New Roman"/>
          <w:b/>
          <w:bCs/>
          <w:i/>
          <w:color w:val="000000" w:themeColor="text1"/>
          <w:sz w:val="28"/>
          <w:szCs w:val="28"/>
        </w:rPr>
        <w:t xml:space="preserve"> </w:t>
      </w:r>
      <w:r>
        <w:rPr>
          <w:rFonts w:ascii="Times New Roman" w:hAnsi="Times New Roman"/>
          <w:b/>
          <w:bCs/>
          <w:i/>
          <w:color w:val="000000" w:themeColor="text1"/>
          <w:sz w:val="28"/>
          <w:szCs w:val="28"/>
        </w:rPr>
      </w:r>
      <w:r>
        <w:rPr>
          <w:rFonts w:ascii="Times New Roman" w:hAnsi="Times New Roman"/>
          <w:b/>
          <w:bCs/>
          <w:i/>
          <w:color w:val="000000" w:themeColor="text1"/>
          <w:sz w:val="28"/>
          <w:szCs w:val="28"/>
        </w:rPr>
      </w:r>
    </w:p>
    <w:p>
      <w:pPr>
        <w:ind w:firstLine="709"/>
        <w:jc w:val="both"/>
        <w:spacing w:after="0"/>
        <w:tabs>
          <w:tab w:val="left" w:pos="1134" w:leader="none"/>
          <w:tab w:val="left" w:pos="1276" w:leader="none"/>
        </w:tabs>
        <w:rPr>
          <w:rFonts w:ascii="Times New Roman" w:hAnsi="Times New Roman"/>
          <w:b/>
          <w:bCs/>
          <w:i/>
          <w:color w:val="000000" w:themeColor="text1"/>
          <w:sz w:val="28"/>
          <w:szCs w:val="28"/>
        </w:rPr>
      </w:pPr>
      <w:r>
        <w:rPr>
          <w:rFonts w:ascii="Times New Roman" w:hAnsi="Times New Roman"/>
          <w:b/>
          <w:bCs/>
          <w:i/>
          <w:color w:val="000000" w:themeColor="text1"/>
          <w:sz w:val="28"/>
          <w:szCs w:val="28"/>
        </w:rPr>
        <w:t xml:space="preserve">ФКУЗ МСЧ-37 ФСИН России:</w:t>
      </w:r>
      <w:r>
        <w:rPr>
          <w:rFonts w:ascii="Times New Roman" w:hAnsi="Times New Roman"/>
          <w:b/>
          <w:bCs/>
          <w:i/>
          <w:color w:val="000000" w:themeColor="text1"/>
          <w:sz w:val="28"/>
          <w:szCs w:val="28"/>
        </w:rPr>
      </w:r>
      <w:r>
        <w:rPr>
          <w:rFonts w:ascii="Times New Roman" w:hAnsi="Times New Roman"/>
          <w:b/>
          <w:bCs/>
          <w:i/>
          <w:color w:val="000000" w:themeColor="text1"/>
          <w:sz w:val="28"/>
          <w:szCs w:val="28"/>
        </w:rPr>
      </w:r>
    </w:p>
    <w:p>
      <w:pPr>
        <w:pStyle w:val="1227"/>
        <w:numPr>
          <w:ilvl w:val="2"/>
          <w:numId w:val="73"/>
        </w:numPr>
        <w:ind w:left="0" w:firstLine="709"/>
        <w:jc w:val="both"/>
        <w:spacing w:line="276" w:lineRule="auto"/>
        <w:tabs>
          <w:tab w:val="left" w:pos="1134" w:leader="none"/>
          <w:tab w:val="left" w:pos="1276" w:leader="none"/>
        </w:tabs>
        <w:rPr>
          <w:rFonts w:ascii="Times New Roman" w:hAnsi="Times New Roman"/>
          <w:b/>
          <w:bCs/>
          <w:i/>
          <w:color w:val="000000" w:themeColor="text1"/>
          <w:sz w:val="28"/>
          <w:szCs w:val="28"/>
          <w:lang w:val="ru-RU"/>
        </w:rPr>
      </w:pPr>
      <w:r>
        <w:rPr>
          <w:rFonts w:ascii="Times New Roman" w:hAnsi="Times New Roman"/>
          <w:color w:val="000000" w:themeColor="text1"/>
          <w:sz w:val="28"/>
          <w:szCs w:val="28"/>
          <w:lang w:val="ru-RU"/>
        </w:rPr>
        <w:t xml:space="preserve">рассмотреть вопрос об усилении интеграции с региональной системой здравоохранения, в том числе через </w:t>
      </w:r>
      <w:r>
        <w:rPr>
          <w:rFonts w:ascii="Times New Roman" w:hAnsi="Times New Roman"/>
          <w:color w:val="000000" w:themeColor="text1"/>
          <w:sz w:val="28"/>
          <w:szCs w:val="28"/>
          <w:lang w:val="ru-RU"/>
        </w:rPr>
        <w:t xml:space="preserve">телемедицинские</w:t>
      </w:r>
      <w:r>
        <w:rPr>
          <w:rFonts w:ascii="Times New Roman" w:hAnsi="Times New Roman"/>
          <w:color w:val="000000" w:themeColor="text1"/>
          <w:sz w:val="28"/>
          <w:szCs w:val="28"/>
          <w:lang w:val="ru-RU"/>
        </w:rPr>
        <w:t xml:space="preserve"> технологии;</w:t>
      </w:r>
      <w:r>
        <w:rPr>
          <w:rFonts w:ascii="Times New Roman" w:hAnsi="Times New Roman"/>
          <w:b/>
          <w:bCs/>
          <w:i/>
          <w:color w:val="000000" w:themeColor="text1"/>
          <w:sz w:val="28"/>
          <w:szCs w:val="28"/>
          <w:lang w:val="ru-RU"/>
        </w:rPr>
      </w:r>
      <w:r>
        <w:rPr>
          <w:rFonts w:ascii="Times New Roman" w:hAnsi="Times New Roman"/>
          <w:b/>
          <w:bCs/>
          <w:i/>
          <w:color w:val="000000" w:themeColor="text1"/>
          <w:sz w:val="28"/>
          <w:szCs w:val="28"/>
          <w:lang w:val="ru-RU"/>
        </w:rPr>
      </w:r>
    </w:p>
    <w:p>
      <w:pPr>
        <w:pStyle w:val="1227"/>
        <w:numPr>
          <w:ilvl w:val="2"/>
          <w:numId w:val="73"/>
        </w:numPr>
        <w:ind w:left="0" w:firstLine="709"/>
        <w:jc w:val="both"/>
        <w:spacing w:line="276" w:lineRule="auto"/>
        <w:tabs>
          <w:tab w:val="left" w:pos="1134" w:leader="none"/>
          <w:tab w:val="left" w:pos="1276" w:leader="none"/>
        </w:tabs>
        <w:rPr>
          <w:rFonts w:ascii="Times New Roman" w:hAnsi="Times New Roman"/>
          <w:b/>
          <w:bCs/>
          <w:i/>
          <w:color w:val="000000" w:themeColor="text1"/>
          <w:sz w:val="28"/>
          <w:szCs w:val="28"/>
          <w:lang w:val="ru-RU"/>
        </w:rPr>
      </w:pPr>
      <w:r>
        <w:rPr>
          <w:rFonts w:ascii="Times New Roman" w:hAnsi="Times New Roman"/>
          <w:color w:val="000000" w:themeColor="text1"/>
          <w:sz w:val="28"/>
          <w:szCs w:val="28"/>
          <w:lang w:val="ru-RU"/>
        </w:rPr>
        <w:t xml:space="preserve">повысить контроль качества диагностики, оказания медицинской помощи и лечения осужденных, подозреваемых и обвиняемых, установить постоянный </w:t>
      </w:r>
      <w:r>
        <w:rPr>
          <w:rFonts w:ascii="Times New Roman" w:hAnsi="Times New Roman"/>
          <w:color w:val="000000" w:themeColor="text1"/>
          <w:sz w:val="28"/>
          <w:szCs w:val="28"/>
          <w:lang w:val="ru-RU"/>
        </w:rPr>
        <w:t xml:space="preserve">контроль за</w:t>
      </w:r>
      <w:r>
        <w:rPr>
          <w:rFonts w:ascii="Times New Roman" w:hAnsi="Times New Roman"/>
          <w:color w:val="000000" w:themeColor="text1"/>
          <w:sz w:val="28"/>
          <w:szCs w:val="28"/>
          <w:lang w:val="ru-RU"/>
        </w:rPr>
        <w:t xml:space="preserve"> исполнением врачебных предписаний;</w:t>
      </w:r>
      <w:r>
        <w:rPr>
          <w:rFonts w:ascii="Times New Roman" w:hAnsi="Times New Roman"/>
          <w:b/>
          <w:bCs/>
          <w:i/>
          <w:color w:val="000000" w:themeColor="text1"/>
          <w:sz w:val="28"/>
          <w:szCs w:val="28"/>
          <w:lang w:val="ru-RU"/>
        </w:rPr>
      </w:r>
      <w:r>
        <w:rPr>
          <w:rFonts w:ascii="Times New Roman" w:hAnsi="Times New Roman"/>
          <w:b/>
          <w:bCs/>
          <w:i/>
          <w:color w:val="000000" w:themeColor="text1"/>
          <w:sz w:val="28"/>
          <w:szCs w:val="28"/>
          <w:lang w:val="ru-RU"/>
        </w:rPr>
      </w:r>
    </w:p>
    <w:p>
      <w:pPr>
        <w:pStyle w:val="1227"/>
        <w:numPr>
          <w:ilvl w:val="2"/>
          <w:numId w:val="73"/>
        </w:numPr>
        <w:ind w:left="0" w:firstLine="709"/>
        <w:jc w:val="both"/>
        <w:spacing w:line="276" w:lineRule="auto"/>
        <w:tabs>
          <w:tab w:val="left" w:pos="1276" w:leader="none"/>
        </w:tabs>
        <w:rPr>
          <w:rFonts w:ascii="Times New Roman" w:hAnsi="Times New Roman"/>
          <w:b/>
          <w:bCs/>
          <w:i/>
          <w:color w:val="000000" w:themeColor="text1"/>
          <w:sz w:val="28"/>
          <w:szCs w:val="28"/>
          <w:lang w:val="ru-RU"/>
        </w:rPr>
      </w:pPr>
      <w:r>
        <w:rPr>
          <w:rFonts w:ascii="Times New Roman" w:hAnsi="Times New Roman"/>
          <w:color w:val="000000" w:themeColor="text1"/>
          <w:sz w:val="28"/>
          <w:szCs w:val="28"/>
          <w:lang w:val="ru-RU"/>
        </w:rPr>
        <w:t xml:space="preserve">улучшить работу по привлечению кадров (узких специалистов).</w:t>
      </w:r>
      <w:r>
        <w:rPr>
          <w:rFonts w:ascii="Times New Roman" w:hAnsi="Times New Roman"/>
          <w:b/>
          <w:bCs/>
          <w:i/>
          <w:color w:val="000000" w:themeColor="text1"/>
          <w:sz w:val="28"/>
          <w:szCs w:val="28"/>
          <w:lang w:val="ru-RU"/>
        </w:rPr>
      </w:r>
      <w:r>
        <w:rPr>
          <w:rFonts w:ascii="Times New Roman" w:hAnsi="Times New Roman"/>
          <w:b/>
          <w:bCs/>
          <w:i/>
          <w:color w:val="000000" w:themeColor="text1"/>
          <w:sz w:val="28"/>
          <w:szCs w:val="28"/>
          <w:lang w:val="ru-RU"/>
        </w:rPr>
      </w:r>
    </w:p>
    <w:p>
      <w:pPr>
        <w:pStyle w:val="1227"/>
        <w:ind w:left="709"/>
        <w:jc w:val="both"/>
        <w:spacing w:line="276" w:lineRule="auto"/>
        <w:tabs>
          <w:tab w:val="left" w:pos="1276" w:leader="none"/>
        </w:tabs>
        <w:rPr>
          <w:rFonts w:ascii="Times New Roman" w:hAnsi="Times New Roman"/>
          <w:b/>
          <w:bCs/>
          <w:i/>
          <w:color w:val="000000" w:themeColor="text1"/>
          <w:sz w:val="28"/>
          <w:szCs w:val="28"/>
          <w:lang w:val="ru-RU"/>
        </w:rPr>
      </w:pPr>
      <w:r>
        <w:rPr>
          <w:rFonts w:ascii="Times New Roman" w:hAnsi="Times New Roman"/>
          <w:b/>
          <w:bCs/>
          <w:i/>
          <w:color w:val="000000" w:themeColor="text1"/>
          <w:sz w:val="28"/>
          <w:szCs w:val="28"/>
          <w:lang w:val="ru-RU"/>
        </w:rPr>
      </w:r>
      <w:r>
        <w:rPr>
          <w:rFonts w:ascii="Times New Roman" w:hAnsi="Times New Roman"/>
          <w:b/>
          <w:bCs/>
          <w:i/>
          <w:color w:val="000000" w:themeColor="text1"/>
          <w:sz w:val="28"/>
          <w:szCs w:val="28"/>
          <w:lang w:val="ru-RU"/>
        </w:rPr>
      </w:r>
      <w:r>
        <w:rPr>
          <w:rFonts w:ascii="Times New Roman" w:hAnsi="Times New Roman"/>
          <w:b/>
          <w:bCs/>
          <w:i/>
          <w:color w:val="000000" w:themeColor="text1"/>
          <w:sz w:val="28"/>
          <w:szCs w:val="28"/>
          <w:lang w:val="ru-RU"/>
        </w:rPr>
      </w:r>
    </w:p>
    <w:p>
      <w:pPr>
        <w:ind w:firstLine="709"/>
        <w:jc w:val="both"/>
        <w:spacing w:after="0"/>
        <w:tabs>
          <w:tab w:val="left" w:pos="1276" w:leader="none"/>
        </w:tabs>
        <w:rPr>
          <w:i/>
        </w:rPr>
      </w:pPr>
      <w:r>
        <w:rPr>
          <w:rFonts w:ascii="Times New Roman" w:hAnsi="Times New Roman"/>
          <w:b/>
          <w:bCs/>
          <w:i/>
          <w:color w:val="000000" w:themeColor="text1"/>
          <w:sz w:val="28"/>
          <w:szCs w:val="28"/>
        </w:rPr>
        <w:t xml:space="preserve">Главам администраций муниципальных образований Ивановской области:</w:t>
      </w:r>
      <w:r>
        <w:rPr>
          <w:i/>
        </w:rPr>
      </w:r>
      <w:r>
        <w:rPr>
          <w:i/>
        </w:rPr>
      </w:r>
    </w:p>
    <w:p>
      <w:pPr>
        <w:pStyle w:val="1227"/>
        <w:numPr>
          <w:ilvl w:val="0"/>
          <w:numId w:val="74"/>
        </w:numPr>
        <w:ind w:left="0" w:firstLine="709"/>
        <w:jc w:val="both"/>
        <w:tabs>
          <w:tab w:val="left" w:pos="1276" w:leader="none"/>
        </w:tabs>
        <w:rPr>
          <w:lang w:val="ru-RU"/>
        </w:rPr>
      </w:pPr>
      <w:r>
        <w:rPr>
          <w:rFonts w:ascii="Times New Roman" w:hAnsi="Times New Roman"/>
          <w:color w:val="000000" w:themeColor="text1"/>
          <w:sz w:val="28"/>
          <w:szCs w:val="28"/>
          <w:lang w:val="ru-RU"/>
        </w:rPr>
        <w:t xml:space="preserve">оказывать необходимое содействие гражданам, освобождаемым от отбывания наказания в исправительных учреждениях, в социальной адаптации, в трудовом и бытовом устройстве,  при необходимости психологическом сопровождении.</w:t>
      </w:r>
      <w:r>
        <w:rPr>
          <w:lang w:val="ru-RU"/>
        </w:rPr>
      </w:r>
      <w:r>
        <w:rPr>
          <w:lang w:val="ru-RU"/>
        </w:rPr>
      </w:r>
    </w:p>
    <w:p>
      <w:pPr>
        <w:jc w:val="both"/>
        <w:spacing w:after="0"/>
        <w:tabs>
          <w:tab w:val="left" w:pos="1276" w:leader="none"/>
        </w:tabs>
      </w:pPr>
      <w:r/>
      <w:r/>
    </w:p>
    <w:p>
      <w:pPr>
        <w:pStyle w:val="1225"/>
        <w:jc w:val="center"/>
      </w:pPr>
      <w:r/>
      <w:bookmarkStart w:id="60" w:name="_Toc38"/>
      <w:r>
        <w:t xml:space="preserve">РАЗДЕЛ 13. СОБЛЮДЕНИЕ ПРАВ ГРАЖДАН ПРИ ИСПОЛНЕНИИ СУДЕБНЫХ РЕШЕНИЙ</w:t>
      </w:r>
      <w:bookmarkEnd w:id="60"/>
      <w:r/>
      <w:r/>
    </w:p>
    <w:p>
      <w:r/>
      <w:r/>
    </w:p>
    <w:p>
      <w:pPr>
        <w:ind w:left="21" w:right="21" w:firstLine="688"/>
        <w:jc w:val="both"/>
        <w:spacing w:after="0"/>
      </w:pPr>
      <w:r>
        <w:rPr>
          <w:rFonts w:ascii="Times New Roman" w:hAnsi="Times New Roman" w:eastAsia="Times New Roman"/>
          <w:sz w:val="28"/>
          <w:szCs w:val="28"/>
        </w:rPr>
        <w:t xml:space="preserve">Деятельность судебных приставов занимает особое место в системе обеспечения законности: они исполняют решения судов и иных уполномоченных о</w:t>
      </w:r>
      <w:r>
        <w:rPr>
          <w:rFonts w:ascii="Times New Roman" w:hAnsi="Times New Roman" w:eastAsia="Times New Roman"/>
          <w:sz w:val="28"/>
          <w:szCs w:val="28"/>
        </w:rPr>
        <w:t xml:space="preserve">рганов, гарантируя реализацию правовых норм на практике. Эта работа должна строиться на принципе соблюдения прав и свобод человека - высшей ценности, закрепленной в Конституции Российской Федерации. Согласно статье 2 Конституции РФ, «человек, его права и с</w:t>
      </w:r>
      <w:r>
        <w:rPr>
          <w:rFonts w:ascii="Times New Roman" w:hAnsi="Times New Roman" w:eastAsia="Times New Roman"/>
          <w:sz w:val="28"/>
          <w:szCs w:val="28"/>
        </w:rPr>
        <w:t xml:space="preserve">вободы являются высшей ценностью». Это значит, что даже при принудительном исполнении судебных решений нельзя допускать их нарушения. Судебные приставы, как представители власти, обязаны действовать в рамках закона и уважать достоинство каждого гражданина.</w:t>
      </w:r>
      <w:r/>
    </w:p>
    <w:p>
      <w:pPr>
        <w:ind w:left="21" w:right="21" w:firstLine="688"/>
        <w:jc w:val="both"/>
        <w:spacing w:after="0"/>
        <w:rPr>
          <w:rFonts w:ascii="Times New Roman" w:hAnsi="Times New Roman" w:eastAsia="Times New Roman"/>
          <w:sz w:val="28"/>
          <w:szCs w:val="28"/>
        </w:rPr>
      </w:pPr>
      <w:r>
        <w:rPr>
          <w:rFonts w:ascii="Times New Roman" w:hAnsi="Times New Roman" w:eastAsia="Times New Roman"/>
          <w:sz w:val="28"/>
          <w:szCs w:val="28"/>
        </w:rPr>
        <w:t xml:space="preserve">Необходимо учитывать, что объем работы судебных приставов огромен: сотни исп</w:t>
      </w:r>
      <w:r>
        <w:rPr>
          <w:rFonts w:ascii="Times New Roman" w:hAnsi="Times New Roman" w:eastAsia="Times New Roman"/>
          <w:sz w:val="28"/>
          <w:szCs w:val="28"/>
        </w:rPr>
        <w:t xml:space="preserve">олнительных производств на одного сотрудника, сжатые сроки, сложные случаи, большой поток документов и обращений. Высокая нагрузка неизбежно ведет к ошибкам — это объективная реальность, но она не должна становиться оправданием для нарушений прав граждан. </w:t>
      </w:r>
      <w:r>
        <w:rPr>
          <w:rFonts w:ascii="Times New Roman" w:hAnsi="Times New Roman" w:eastAsia="Times New Roman"/>
          <w:sz w:val="28"/>
          <w:szCs w:val="28"/>
        </w:rPr>
      </w:r>
      <w:r>
        <w:rPr>
          <w:rFonts w:ascii="Times New Roman" w:hAnsi="Times New Roman" w:eastAsia="Times New Roman"/>
          <w:sz w:val="28"/>
          <w:szCs w:val="28"/>
        </w:rPr>
      </w:r>
    </w:p>
    <w:p>
      <w:pPr>
        <w:ind w:left="21" w:right="21" w:firstLine="688"/>
        <w:jc w:val="both"/>
        <w:spacing w:after="0"/>
        <w:rPr>
          <w:rFonts w:ascii="Times New Roman" w:hAnsi="Times New Roman" w:eastAsia="Times New Roman"/>
          <w:sz w:val="28"/>
          <w:szCs w:val="28"/>
        </w:rPr>
      </w:pPr>
      <w:r>
        <w:rPr>
          <w:rFonts w:ascii="Times New Roman" w:hAnsi="Times New Roman" w:eastAsia="Times New Roman"/>
          <w:sz w:val="28"/>
          <w:szCs w:val="28"/>
        </w:rPr>
        <w:t xml:space="preserve">По информации, предоставленной Управлением Федеральной службы судебных приставов по Ивановской области, в 2025 году на принудительном исполнении в структурных подразделениях Управления находилось 802 тыс. исполнительных производств на сумму более 23,3 </w:t>
      </w:r>
      <w:r>
        <w:rPr>
          <w:rFonts w:ascii="Times New Roman" w:hAnsi="Times New Roman" w:eastAsia="Times New Roman"/>
          <w:sz w:val="28"/>
          <w:szCs w:val="28"/>
        </w:rPr>
        <w:t xml:space="preserve">млрд</w:t>
      </w:r>
      <w:r>
        <w:rPr>
          <w:rFonts w:ascii="Times New Roman" w:hAnsi="Times New Roman" w:eastAsia="Times New Roman"/>
          <w:sz w:val="28"/>
          <w:szCs w:val="28"/>
        </w:rPr>
        <w:t xml:space="preserve"> рублей. Окончено и прекращено по различным основаниям, указанным в Федеральном законе № 229-ФЗ от 02.10.2007 «Об исполнительном производстве», 569,9 тыс. исполнительных производств на сумму 21,7 </w:t>
      </w:r>
      <w:r>
        <w:rPr>
          <w:rFonts w:ascii="Times New Roman" w:hAnsi="Times New Roman" w:eastAsia="Times New Roman"/>
          <w:sz w:val="28"/>
          <w:szCs w:val="28"/>
        </w:rPr>
        <w:t xml:space="preserve">млрд</w:t>
      </w:r>
      <w:r>
        <w:rPr>
          <w:rFonts w:ascii="Times New Roman" w:hAnsi="Times New Roman" w:eastAsia="Times New Roman"/>
          <w:sz w:val="28"/>
          <w:szCs w:val="28"/>
        </w:rPr>
        <w:t xml:space="preserve"> рублей. В 2025 году взыскано 4,57 </w:t>
      </w:r>
      <w:r>
        <w:rPr>
          <w:rFonts w:ascii="Times New Roman" w:hAnsi="Times New Roman" w:eastAsia="Times New Roman"/>
          <w:sz w:val="28"/>
          <w:szCs w:val="28"/>
        </w:rPr>
        <w:t xml:space="preserve">млрд</w:t>
      </w:r>
      <w:r>
        <w:rPr>
          <w:rFonts w:ascii="Times New Roman" w:hAnsi="Times New Roman" w:eastAsia="Times New Roman"/>
          <w:sz w:val="28"/>
          <w:szCs w:val="28"/>
        </w:rPr>
        <w:t xml:space="preserve"> рублей в пользу различных категорий взыскателей, в том </w:t>
      </w:r>
      <w:r>
        <w:rPr>
          <w:rFonts w:ascii="Times New Roman" w:hAnsi="Times New Roman" w:eastAsia="Times New Roman"/>
          <w:sz w:val="28"/>
          <w:szCs w:val="28"/>
        </w:rPr>
        <w:t xml:space="preserve">числе 1,07 </w:t>
      </w:r>
      <w:r>
        <w:rPr>
          <w:rFonts w:ascii="Times New Roman" w:hAnsi="Times New Roman" w:eastAsia="Times New Roman"/>
          <w:sz w:val="28"/>
          <w:szCs w:val="28"/>
        </w:rPr>
        <w:t xml:space="preserve">млрд</w:t>
      </w:r>
      <w:r>
        <w:rPr>
          <w:rFonts w:ascii="Times New Roman" w:hAnsi="Times New Roman" w:eastAsia="Times New Roman"/>
          <w:sz w:val="28"/>
          <w:szCs w:val="28"/>
        </w:rPr>
        <w:t xml:space="preserve"> рублей в пользу физических лиц и 2,86 </w:t>
      </w:r>
      <w:r>
        <w:rPr>
          <w:rFonts w:ascii="Times New Roman" w:hAnsi="Times New Roman" w:eastAsia="Times New Roman"/>
          <w:sz w:val="28"/>
          <w:szCs w:val="28"/>
        </w:rPr>
        <w:t xml:space="preserve">млрд</w:t>
      </w:r>
      <w:r>
        <w:rPr>
          <w:rFonts w:ascii="Times New Roman" w:hAnsi="Times New Roman" w:eastAsia="Times New Roman"/>
          <w:sz w:val="28"/>
          <w:szCs w:val="28"/>
        </w:rPr>
        <w:t xml:space="preserve"> рублей в пользу юридических лиц. При этом в бюджет и внебюджетные фонды перечислено 744 </w:t>
      </w:r>
      <w:r>
        <w:rPr>
          <w:rFonts w:ascii="Times New Roman" w:hAnsi="Times New Roman" w:eastAsia="Times New Roman"/>
          <w:sz w:val="28"/>
          <w:szCs w:val="28"/>
        </w:rPr>
        <w:t xml:space="preserve">млн</w:t>
      </w:r>
      <w:r>
        <w:rPr>
          <w:rFonts w:ascii="Times New Roman" w:hAnsi="Times New Roman" w:eastAsia="Times New Roman"/>
          <w:sz w:val="28"/>
          <w:szCs w:val="28"/>
        </w:rPr>
        <w:t xml:space="preserve"> рублей, в том числе 228 </w:t>
      </w:r>
      <w:r>
        <w:rPr>
          <w:rFonts w:ascii="Times New Roman" w:hAnsi="Times New Roman" w:eastAsia="Times New Roman"/>
          <w:sz w:val="28"/>
          <w:szCs w:val="28"/>
        </w:rPr>
        <w:t xml:space="preserve">млн</w:t>
      </w:r>
      <w:r>
        <w:rPr>
          <w:rFonts w:ascii="Times New Roman" w:hAnsi="Times New Roman" w:eastAsia="Times New Roman"/>
          <w:sz w:val="28"/>
          <w:szCs w:val="28"/>
        </w:rPr>
        <w:t xml:space="preserve"> рублей исполнительского сбора.</w:t>
      </w:r>
      <w:r>
        <w:rPr>
          <w:rFonts w:ascii="Times New Roman" w:hAnsi="Times New Roman" w:eastAsia="Times New Roman"/>
          <w:sz w:val="28"/>
          <w:szCs w:val="28"/>
        </w:rPr>
      </w:r>
      <w:r>
        <w:rPr>
          <w:rFonts w:ascii="Times New Roman" w:hAnsi="Times New Roman" w:eastAsia="Times New Roman"/>
          <w:sz w:val="28"/>
          <w:szCs w:val="28"/>
        </w:rPr>
      </w:r>
    </w:p>
    <w:p>
      <w:pPr>
        <w:ind w:left="21" w:right="21" w:firstLine="688"/>
        <w:jc w:val="both"/>
        <w:spacing w:after="0"/>
      </w:pPr>
      <w:r>
        <w:rPr>
          <w:rFonts w:ascii="Times New Roman" w:hAnsi="Times New Roman" w:eastAsia="Times New Roman"/>
          <w:sz w:val="28"/>
          <w:szCs w:val="28"/>
        </w:rPr>
        <w:t xml:space="preserve">В части исполнения исполнительных производств по социально значимым категориям Управление добилось заметных результатов. В 2025 году общее количество исполнительных производств по взысканию заработной платы составило 142 производства на сумму 16 </w:t>
      </w:r>
      <w:r>
        <w:rPr>
          <w:rFonts w:ascii="Times New Roman" w:hAnsi="Times New Roman" w:eastAsia="Times New Roman"/>
          <w:sz w:val="28"/>
          <w:szCs w:val="28"/>
        </w:rPr>
        <w:t xml:space="preserve">млн</w:t>
      </w:r>
      <w:r>
        <w:rPr>
          <w:rFonts w:ascii="Times New Roman" w:hAnsi="Times New Roman" w:eastAsia="Times New Roman"/>
          <w:sz w:val="28"/>
          <w:szCs w:val="28"/>
        </w:rPr>
        <w:t xml:space="preserve"> рублей — это на 18 производств и на 6,4 </w:t>
      </w:r>
      <w:r>
        <w:rPr>
          <w:rFonts w:ascii="Times New Roman" w:hAnsi="Times New Roman" w:eastAsia="Times New Roman"/>
          <w:sz w:val="28"/>
          <w:szCs w:val="28"/>
        </w:rPr>
        <w:t xml:space="preserve">млн</w:t>
      </w:r>
      <w:r>
        <w:rPr>
          <w:rFonts w:ascii="Times New Roman" w:hAnsi="Times New Roman" w:eastAsia="Times New Roman"/>
          <w:sz w:val="28"/>
          <w:szCs w:val="28"/>
        </w:rPr>
        <w:t xml:space="preserve"> рублей больше, чем в аналогичном периоде прошлого года (АППГ — 124 ИП на 9,6 </w:t>
      </w:r>
      <w:r>
        <w:rPr>
          <w:rFonts w:ascii="Times New Roman" w:hAnsi="Times New Roman" w:eastAsia="Times New Roman"/>
          <w:sz w:val="28"/>
          <w:szCs w:val="28"/>
        </w:rPr>
        <w:t xml:space="preserve">млн</w:t>
      </w:r>
      <w:r>
        <w:rPr>
          <w:rFonts w:ascii="Times New Roman" w:hAnsi="Times New Roman" w:eastAsia="Times New Roman"/>
          <w:sz w:val="28"/>
          <w:szCs w:val="28"/>
        </w:rPr>
        <w:t xml:space="preserve"> рублей). В текущем периоде возбуждено 74 исполнительных производства на сумму 9,5 </w:t>
      </w:r>
      <w:r>
        <w:rPr>
          <w:rFonts w:ascii="Times New Roman" w:hAnsi="Times New Roman" w:eastAsia="Times New Roman"/>
          <w:sz w:val="28"/>
          <w:szCs w:val="28"/>
        </w:rPr>
        <w:t xml:space="preserve">млн</w:t>
      </w:r>
      <w:r>
        <w:rPr>
          <w:rFonts w:ascii="Times New Roman" w:hAnsi="Times New Roman" w:eastAsia="Times New Roman"/>
          <w:sz w:val="28"/>
          <w:szCs w:val="28"/>
        </w:rPr>
        <w:t xml:space="preserve"> рублей (на 8 производств и 3,5 </w:t>
      </w:r>
      <w:r>
        <w:rPr>
          <w:rFonts w:ascii="Times New Roman" w:hAnsi="Times New Roman" w:eastAsia="Times New Roman"/>
          <w:sz w:val="28"/>
          <w:szCs w:val="28"/>
        </w:rPr>
        <w:t xml:space="preserve">млн</w:t>
      </w:r>
      <w:r>
        <w:rPr>
          <w:rFonts w:ascii="Times New Roman" w:hAnsi="Times New Roman" w:eastAsia="Times New Roman"/>
          <w:sz w:val="28"/>
          <w:szCs w:val="28"/>
        </w:rPr>
        <w:t xml:space="preserve"> рублей больше АППГ), а окончено и прекращено — 113 производств на 13 </w:t>
      </w:r>
      <w:r>
        <w:rPr>
          <w:rFonts w:ascii="Times New Roman" w:hAnsi="Times New Roman" w:eastAsia="Times New Roman"/>
          <w:sz w:val="28"/>
          <w:szCs w:val="28"/>
        </w:rPr>
        <w:t xml:space="preserve">млн</w:t>
      </w:r>
      <w:r>
        <w:rPr>
          <w:rFonts w:ascii="Times New Roman" w:hAnsi="Times New Roman" w:eastAsia="Times New Roman"/>
          <w:sz w:val="28"/>
          <w:szCs w:val="28"/>
        </w:rPr>
        <w:t xml:space="preserve"> рублей. Сумма взысканной задолженности с учетом частичного погашения в отчетном периоде составила 5,3 </w:t>
      </w:r>
      <w:r>
        <w:rPr>
          <w:rFonts w:ascii="Times New Roman" w:hAnsi="Times New Roman" w:eastAsia="Times New Roman"/>
          <w:sz w:val="28"/>
          <w:szCs w:val="28"/>
        </w:rPr>
        <w:t xml:space="preserve">млн</w:t>
      </w:r>
      <w:r>
        <w:rPr>
          <w:rFonts w:ascii="Times New Roman" w:hAnsi="Times New Roman" w:eastAsia="Times New Roman"/>
          <w:sz w:val="28"/>
          <w:szCs w:val="28"/>
        </w:rPr>
        <w:t xml:space="preserve"> рублей, что на 3 </w:t>
      </w:r>
      <w:r>
        <w:rPr>
          <w:rFonts w:ascii="Times New Roman" w:hAnsi="Times New Roman" w:eastAsia="Times New Roman"/>
          <w:sz w:val="28"/>
          <w:szCs w:val="28"/>
        </w:rPr>
        <w:t xml:space="preserve">млн</w:t>
      </w:r>
      <w:r>
        <w:rPr>
          <w:rFonts w:ascii="Times New Roman" w:hAnsi="Times New Roman" w:eastAsia="Times New Roman"/>
          <w:sz w:val="28"/>
          <w:szCs w:val="28"/>
        </w:rPr>
        <w:t xml:space="preserve"> рублей превышает показатель прошлого года (АППГ — 2,3 </w:t>
      </w:r>
      <w:r>
        <w:rPr>
          <w:rFonts w:ascii="Times New Roman" w:hAnsi="Times New Roman" w:eastAsia="Times New Roman"/>
          <w:sz w:val="28"/>
          <w:szCs w:val="28"/>
        </w:rPr>
        <w:t xml:space="preserve">млн</w:t>
      </w:r>
      <w:r>
        <w:rPr>
          <w:rFonts w:ascii="Times New Roman" w:hAnsi="Times New Roman" w:eastAsia="Times New Roman"/>
          <w:sz w:val="28"/>
          <w:szCs w:val="28"/>
        </w:rPr>
        <w:t xml:space="preserve"> рублей). По состоянию на 31.12.2025 на остатке находится 29 исполнительных производств на сумму 2,5 </w:t>
      </w:r>
      <w:r>
        <w:rPr>
          <w:rFonts w:ascii="Times New Roman" w:hAnsi="Times New Roman" w:eastAsia="Times New Roman"/>
          <w:sz w:val="28"/>
          <w:szCs w:val="28"/>
        </w:rPr>
        <w:t xml:space="preserve">млн</w:t>
      </w:r>
      <w:r>
        <w:rPr>
          <w:rFonts w:ascii="Times New Roman" w:hAnsi="Times New Roman" w:eastAsia="Times New Roman"/>
          <w:sz w:val="28"/>
          <w:szCs w:val="28"/>
        </w:rPr>
        <w:t xml:space="preserve"> руб</w:t>
      </w:r>
      <w:r>
        <w:rPr>
          <w:rFonts w:ascii="Times New Roman" w:hAnsi="Times New Roman" w:eastAsia="Times New Roman"/>
          <w:sz w:val="28"/>
          <w:szCs w:val="28"/>
        </w:rPr>
        <w:t xml:space="preserve">лей в отношении 5 юридических лиц и 1 индивидуального предпринимателя. В отношении 4 руководителей должников-организаций инициирован рапорт об обнаружении признаков преступления по ст. 145.1 УК РФ, материалы направлены в СУ СК России по Ивановской области.</w:t>
      </w:r>
      <w:r/>
    </w:p>
    <w:p>
      <w:pPr>
        <w:ind w:left="21" w:right="21" w:firstLine="688"/>
        <w:jc w:val="both"/>
        <w:spacing w:after="0"/>
      </w:pPr>
      <w:r>
        <w:rPr>
          <w:rFonts w:ascii="Times New Roman" w:hAnsi="Times New Roman" w:eastAsia="Times New Roman"/>
          <w:sz w:val="28"/>
          <w:szCs w:val="28"/>
        </w:rPr>
        <w:t xml:space="preserve">С января 2023 года Управление не осуществляет принудительное исполнение решений судов о предоставлении жилых помещений - эти функции переда</w:t>
      </w:r>
      <w:r>
        <w:rPr>
          <w:rFonts w:ascii="Times New Roman" w:hAnsi="Times New Roman" w:eastAsia="Times New Roman"/>
          <w:sz w:val="28"/>
          <w:szCs w:val="28"/>
        </w:rPr>
        <w:t xml:space="preserve">ны Главному межрегиональному управлению ФССП России. Для получения сведений об исполнении таких решений необходимо направлять запросы в специализированное отделение судебных приставов по Ивановской области Главного межрегионального управления ФССП России (</w:t>
      </w:r>
      <w:r>
        <w:rPr>
          <w:rFonts w:ascii="Times New Roman" w:hAnsi="Times New Roman" w:eastAsia="Times New Roman"/>
          <w:sz w:val="28"/>
          <w:szCs w:val="28"/>
        </w:rPr>
        <w:t xml:space="preserve">г</w:t>
      </w:r>
      <w:r>
        <w:rPr>
          <w:rFonts w:ascii="Times New Roman" w:hAnsi="Times New Roman" w:eastAsia="Times New Roman"/>
          <w:sz w:val="28"/>
          <w:szCs w:val="28"/>
        </w:rPr>
        <w:t xml:space="preserve">. Иваново, ул. </w:t>
      </w:r>
      <w:r>
        <w:rPr>
          <w:rFonts w:ascii="Times New Roman" w:hAnsi="Times New Roman" w:eastAsia="Times New Roman"/>
          <w:sz w:val="28"/>
          <w:szCs w:val="28"/>
        </w:rPr>
        <w:t xml:space="preserve">Багаева</w:t>
      </w:r>
      <w:r>
        <w:rPr>
          <w:rFonts w:ascii="Times New Roman" w:hAnsi="Times New Roman" w:eastAsia="Times New Roman"/>
          <w:sz w:val="28"/>
          <w:szCs w:val="28"/>
        </w:rPr>
        <w:t xml:space="preserve">, д. 14).</w:t>
      </w:r>
      <w:r/>
    </w:p>
    <w:p>
      <w:pPr>
        <w:ind w:left="21" w:right="21" w:firstLine="688"/>
        <w:jc w:val="both"/>
        <w:spacing w:after="0"/>
      </w:pPr>
      <w:r>
        <w:rPr>
          <w:rFonts w:ascii="Times New Roman" w:hAnsi="Times New Roman" w:eastAsia="Times New Roman"/>
          <w:sz w:val="28"/>
          <w:szCs w:val="28"/>
        </w:rPr>
        <w:t xml:space="preserve">По состоянию на 31.12.2025 остаток неоконченных исполнительных производств составил 231 тыс., в том числе 145 тыс. производств, возбужденных на основании судебных актов. Наибольший удельный вес приходится на взыскания кредитных платежей (31 %, </w:t>
      </w:r>
      <w:r>
        <w:rPr>
          <w:rFonts w:ascii="Times New Roman" w:hAnsi="Times New Roman" w:eastAsia="Times New Roman"/>
          <w:sz w:val="28"/>
          <w:szCs w:val="28"/>
        </w:rPr>
        <w:t xml:space="preserve">или 72,3 тыс. производств), административных штрафов за нарушение ПДД (28,5 %, или 66 тыс.), задолженности за услуги ЖКХ, в т. ч. в пользу организаций топливно-энергетического комплекса (5,7 %, или 13,2 тыс.), а также налогов и сборов (7,3 %, или 17 тыс.).</w:t>
      </w:r>
      <w:r/>
    </w:p>
    <w:p>
      <w:pPr>
        <w:ind w:left="21" w:right="21" w:firstLine="688"/>
        <w:jc w:val="both"/>
        <w:spacing w:after="0"/>
      </w:pPr>
      <w:r>
        <w:rPr>
          <w:rFonts w:ascii="Times New Roman" w:hAnsi="Times New Roman" w:eastAsia="Times New Roman"/>
          <w:sz w:val="28"/>
          <w:szCs w:val="28"/>
        </w:rPr>
        <w:t xml:space="preserve">В 2025 году Управление подвергло принудительному </w:t>
      </w:r>
      <w:r>
        <w:rPr>
          <w:rFonts w:ascii="Times New Roman" w:hAnsi="Times New Roman" w:eastAsia="Times New Roman"/>
          <w:sz w:val="28"/>
          <w:szCs w:val="28"/>
        </w:rPr>
        <w:t xml:space="preserve">выдворению</w:t>
      </w:r>
      <w:r>
        <w:rPr>
          <w:rFonts w:ascii="Times New Roman" w:hAnsi="Times New Roman" w:eastAsia="Times New Roman"/>
          <w:sz w:val="28"/>
          <w:szCs w:val="28"/>
        </w:rPr>
        <w:t xml:space="preserve"> за пределы Российской Федерации 1198 иностранных граждан и лиц без гражданства, содержащихся в специальных учреждениях УМВД России по </w:t>
      </w:r>
      <w:r>
        <w:rPr>
          <w:rFonts w:ascii="Times New Roman" w:hAnsi="Times New Roman" w:eastAsia="Times New Roman"/>
          <w:sz w:val="28"/>
          <w:szCs w:val="28"/>
        </w:rPr>
        <w:t xml:space="preserve">Ивановской области. Чрезвычайных происшествий не допущено. Согласно ст. 109.1 ФЗ «Об исполнительном производстве», задача пристава в таких случаях - приобрести проездной документ и сопроводить лицо до пункта пропуска через государственную границу.</w:t>
      </w:r>
      <w:r/>
    </w:p>
    <w:p>
      <w:pPr>
        <w:ind w:left="21" w:right="21" w:firstLine="688"/>
        <w:jc w:val="both"/>
        <w:spacing w:after="0"/>
      </w:pPr>
      <w:r>
        <w:rPr>
          <w:rFonts w:ascii="Times New Roman" w:hAnsi="Times New Roman" w:eastAsia="Times New Roman"/>
          <w:sz w:val="28"/>
          <w:szCs w:val="28"/>
        </w:rPr>
        <w:t xml:space="preserve">Важным аспектом соблюдения прав граждан является защита социальных выплат. С 1 июня 2020 года вступили в силу изменения в ФЗ № 229-ФЗ (внесенные ФЗ от 21.02.2019 № 12-ФЗ), обязывающие работодателей указывать в расчетных докуме</w:t>
      </w:r>
      <w:r>
        <w:rPr>
          <w:rFonts w:ascii="Times New Roman" w:hAnsi="Times New Roman" w:eastAsia="Times New Roman"/>
          <w:sz w:val="28"/>
          <w:szCs w:val="28"/>
        </w:rPr>
        <w:t xml:space="preserve">нтах код вида дохода и сумму взыскания. Банки обязаны соблюдать ограничения, предусмотренные ст. 99 и 101 ФЗ № 229-ФЗ, и рассчитывать сумму, на которую может быть обращено взыскание, в порядке, установленном Минюстом России по согласованию с Банком России.</w:t>
      </w:r>
      <w:r/>
    </w:p>
    <w:p>
      <w:pPr>
        <w:ind w:left="21" w:right="21" w:firstLine="688"/>
        <w:jc w:val="both"/>
        <w:spacing w:after="0"/>
        <w:rPr>
          <w:rFonts w:ascii="Times New Roman" w:hAnsi="Times New Roman" w:eastAsia="Times New Roman"/>
          <w:sz w:val="28"/>
          <w:szCs w:val="28"/>
        </w:rPr>
      </w:pPr>
      <w:r>
        <w:rPr>
          <w:rFonts w:ascii="Times New Roman" w:hAnsi="Times New Roman" w:eastAsia="Times New Roman"/>
          <w:sz w:val="28"/>
          <w:szCs w:val="28"/>
        </w:rPr>
        <w:t xml:space="preserve">За 2025 год в порядке Главы 18 ФЗ № 229-ФЗ поступило 19634 административные жалобы (АППГ - 35 227), из них 18846 подано старшему судебному приставу и 787 - главному. Заявители отозвали 383 жалобы </w:t>
      </w:r>
      <w:r>
        <w:rPr>
          <w:rFonts w:ascii="Times New Roman" w:hAnsi="Times New Roman" w:eastAsia="Times New Roman"/>
          <w:sz w:val="28"/>
          <w:szCs w:val="28"/>
        </w:rPr>
        <w:t xml:space="preserve">(1,9 %) после устранения нарушений. В ходе рассмотрения отказано в удовлетворении 14 112 жалоб (АШТ - 21 713), обоснованными признаны 2 158 жалоб (АППГ - 3 042). Основная часть жалоб касалась взыскания денежных средств (93,3 %) и алиментных платежей (4 %).</w:t>
      </w:r>
      <w:r>
        <w:rPr>
          <w:rFonts w:ascii="Times New Roman" w:hAnsi="Times New Roman" w:eastAsia="Times New Roman"/>
          <w:sz w:val="28"/>
          <w:szCs w:val="28"/>
        </w:rPr>
      </w:r>
      <w:r>
        <w:rPr>
          <w:rFonts w:ascii="Times New Roman" w:hAnsi="Times New Roman" w:eastAsia="Times New Roman"/>
          <w:sz w:val="28"/>
          <w:szCs w:val="28"/>
        </w:rPr>
      </w:r>
    </w:p>
    <w:p>
      <w:pPr>
        <w:ind w:firstLine="709"/>
        <w:jc w:val="both"/>
        <w:spacing w:after="0"/>
      </w:pPr>
      <w:r>
        <w:rPr>
          <w:rFonts w:ascii="Times New Roman" w:hAnsi="Times New Roman"/>
          <w:color w:val="000000" w:themeColor="text1"/>
          <w:sz w:val="28"/>
          <w:szCs w:val="28"/>
        </w:rPr>
        <w:t xml:space="preserve">Нередко деятельность судебных приставов вызывает возмущен</w:t>
      </w:r>
      <w:r>
        <w:rPr>
          <w:rFonts w:ascii="Times New Roman" w:hAnsi="Times New Roman"/>
          <w:color w:val="000000" w:themeColor="text1"/>
          <w:sz w:val="28"/>
          <w:szCs w:val="28"/>
        </w:rPr>
        <w:t xml:space="preserve">ие у граждан, что приводит к обращениям к Уполномоченному по правам человека в Ивановской области. В 2025 году в адрес регионального омбудсмена поступило 112 обращений (41 письменное и 71 устное) на действия или бездействие судебных приставов-исполнителей.</w:t>
      </w:r>
      <w:r/>
    </w:p>
    <w:p>
      <w:pPr>
        <w:ind w:firstLine="709"/>
        <w:jc w:val="both"/>
        <w:spacing w:after="0"/>
      </w:pPr>
      <w:r>
        <w:rPr>
          <w:rFonts w:ascii="Times New Roman" w:hAnsi="Times New Roman"/>
          <w:color w:val="000000" w:themeColor="text1"/>
          <w:sz w:val="28"/>
          <w:szCs w:val="28"/>
        </w:rPr>
        <w:t xml:space="preserve">Анализ поступивших жалоб показывает положительную динамику: в сравнении с предыдущим годом наблюдается снижение роста поступающих обращений на 1,75%, что свидетельствует о постепенном улучшении взаимодействия между гражданами и службой судебных приставов.</w:t>
      </w:r>
      <w:r/>
    </w:p>
    <w:p>
      <w:pPr>
        <w:ind w:firstLine="709"/>
        <w:jc w:val="both"/>
        <w:spacing w:after="0"/>
      </w:pPr>
      <w:r>
        <w:rPr>
          <w:rFonts w:ascii="Times New Roman" w:hAnsi="Times New Roman"/>
          <w:color w:val="000000" w:themeColor="text1"/>
          <w:sz w:val="28"/>
          <w:szCs w:val="28"/>
        </w:rPr>
        <w:t xml:space="preserve">Основная часть жалоб касалась полного списания денежных сре</w:t>
      </w:r>
      <w:r>
        <w:rPr>
          <w:rFonts w:ascii="Times New Roman" w:hAnsi="Times New Roman"/>
          <w:color w:val="000000" w:themeColor="text1"/>
          <w:sz w:val="28"/>
          <w:szCs w:val="28"/>
        </w:rPr>
        <w:t xml:space="preserve">дств с б</w:t>
      </w:r>
      <w:r>
        <w:rPr>
          <w:rFonts w:ascii="Times New Roman" w:hAnsi="Times New Roman"/>
          <w:color w:val="000000" w:themeColor="text1"/>
          <w:sz w:val="28"/>
          <w:szCs w:val="28"/>
        </w:rPr>
        <w:t xml:space="preserve">анковских с</w:t>
      </w:r>
      <w:r>
        <w:rPr>
          <w:rFonts w:ascii="Times New Roman" w:hAnsi="Times New Roman"/>
          <w:color w:val="000000" w:themeColor="text1"/>
          <w:sz w:val="28"/>
          <w:szCs w:val="28"/>
        </w:rPr>
        <w:t xml:space="preserve">четов граждан. Многие заявители выражали недовольство тем, что их права, гарантированные законом от 29.06.2021 № 234-ФЗ, не соблюдаются. Этот закон предоставляет гражданам-должникам возможность сохранять часть своих доходов в размере прожиточного минимума.</w:t>
      </w:r>
      <w:r/>
    </w:p>
    <w:p>
      <w:pPr>
        <w:ind w:firstLine="709"/>
        <w:jc w:val="both"/>
        <w:spacing w:after="0"/>
      </w:pPr>
      <w:r>
        <w:rPr>
          <w:rFonts w:ascii="Times New Roman" w:hAnsi="Times New Roman"/>
          <w:color w:val="000000" w:themeColor="text1"/>
          <w:sz w:val="28"/>
          <w:szCs w:val="28"/>
        </w:rPr>
        <w:t xml:space="preserve">Особенно остро вопрос стоял для незащищенных категорий граждан: пенсионеров, малоимущих и многодетных семей. Многие граждане ошибочно полагали, что сохранение прожиточного минимума должно происходить автоматически в силу принятого закона.</w:t>
      </w:r>
      <w:r/>
    </w:p>
    <w:p>
      <w:pPr>
        <w:ind w:firstLine="709"/>
        <w:jc w:val="both"/>
        <w:spacing w:after="0"/>
      </w:pPr>
      <w:r>
        <w:rPr>
          <w:rFonts w:ascii="Times New Roman" w:hAnsi="Times New Roman"/>
          <w:color w:val="000000" w:themeColor="text1"/>
          <w:sz w:val="28"/>
          <w:szCs w:val="28"/>
        </w:rPr>
        <w:t xml:space="preserve">Уполномоченный разъясняет заявителям, что закон носит заявительный характер. Это означает, что должник имеет право обратиться в </w:t>
      </w:r>
      <w:r>
        <w:rPr>
          <w:rFonts w:ascii="Times New Roman" w:hAnsi="Times New Roman"/>
          <w:color w:val="000000" w:themeColor="text1"/>
          <w:sz w:val="28"/>
          <w:szCs w:val="28"/>
        </w:rPr>
        <w:t xml:space="preserve">подразделение судебных приставов с заявлением о сохранении заработной платы и иных доходов в размере прожиточного минимума. Для этого разработана специальная форма заявления, которую необходимо заполнить и подать в соответствующее подразделение.</w:t>
      </w:r>
      <w:r/>
    </w:p>
    <w:p>
      <w:pPr>
        <w:ind w:firstLine="709"/>
        <w:jc w:val="both"/>
        <w:spacing w:after="0"/>
      </w:pPr>
      <w:r>
        <w:rPr>
          <w:rFonts w:ascii="Times New Roman" w:hAnsi="Times New Roman"/>
          <w:color w:val="000000" w:themeColor="text1"/>
          <w:sz w:val="28"/>
          <w:szCs w:val="28"/>
        </w:rPr>
        <w:t xml:space="preserve">В процессе разъяснительной работы гражданам предоставляется подроб</w:t>
      </w:r>
      <w:r>
        <w:rPr>
          <w:rFonts w:ascii="Times New Roman" w:hAnsi="Times New Roman"/>
          <w:color w:val="000000" w:themeColor="text1"/>
          <w:sz w:val="28"/>
          <w:szCs w:val="28"/>
        </w:rPr>
        <w:t xml:space="preserve">ная инструкция по заполнению заявления, где указываются все необходимые данные и порядок подачи документа. Важно понимать, что сохранение прожиточного минимума - это не автоматическое право, а возможность, которую должник должен реализовать самостоятельно.</w:t>
      </w:r>
      <w:r/>
    </w:p>
    <w:p>
      <w:pPr>
        <w:ind w:firstLine="709"/>
        <w:jc w:val="both"/>
        <w:spacing w:after="0"/>
      </w:pPr>
      <w:r>
        <w:rPr>
          <w:rFonts w:ascii="Times New Roman" w:hAnsi="Times New Roman"/>
          <w:color w:val="000000" w:themeColor="text1"/>
          <w:sz w:val="28"/>
          <w:szCs w:val="28"/>
        </w:rPr>
        <w:t xml:space="preserve">Должник вправе обратиться в подразделение судебных приставов, ведущее исполнительное производство, с заявлением о сохранении заработной платы и иных доходов ежемесячно </w:t>
      </w:r>
      <w:r>
        <w:rPr>
          <w:rFonts w:ascii="Times New Roman" w:hAnsi="Times New Roman"/>
          <w:color w:val="000000" w:themeColor="text1"/>
          <w:sz w:val="28"/>
          <w:szCs w:val="28"/>
        </w:rPr>
        <w:t xml:space="preserve">в размере прожиточного минимума трудоспособного населения, установленного в субъекте Российской Федерации по месту жительства должника для соответствующей социально-демографической группы. Это правило применяется при обращении взыскания на доходы должника.</w:t>
      </w:r>
      <w:r/>
    </w:p>
    <w:p>
      <w:pPr>
        <w:ind w:firstLine="709"/>
        <w:jc w:val="both"/>
        <w:spacing w:after="0"/>
        <w:rPr>
          <w:rFonts w:ascii="Times New Roman" w:hAnsi="Times New Roman"/>
          <w:color w:val="000000" w:themeColor="text1"/>
          <w:sz w:val="28"/>
          <w:szCs w:val="28"/>
        </w:rPr>
      </w:pPr>
      <w:r>
        <w:rPr>
          <w:rFonts w:ascii="Times New Roman" w:hAnsi="Times New Roman"/>
          <w:color w:val="000000" w:themeColor="text1"/>
          <w:sz w:val="28"/>
          <w:szCs w:val="28"/>
        </w:rPr>
        <w:t xml:space="preserve">К сожалению, даже при наличии правильно оформленного заявления иногда происходит неправомерное списание средств. </w:t>
      </w:r>
      <w:r>
        <w:rPr>
          <w:rFonts w:ascii="Times New Roman" w:hAnsi="Times New Roman"/>
          <w:color w:val="000000" w:themeColor="text1"/>
          <w:sz w:val="28"/>
          <w:szCs w:val="28"/>
        </w:rPr>
      </w:r>
      <w:r>
        <w:rPr>
          <w:rFonts w:ascii="Times New Roman" w:hAnsi="Times New Roman"/>
          <w:color w:val="000000" w:themeColor="text1"/>
          <w:sz w:val="28"/>
          <w:szCs w:val="28"/>
        </w:rPr>
      </w:r>
    </w:p>
    <w:p>
      <w:pPr>
        <w:ind w:firstLine="709"/>
        <w:jc w:val="both"/>
        <w:spacing w:after="0"/>
        <w:rPr>
          <w:rFonts w:ascii="Times New Roman" w:hAnsi="Times New Roman"/>
          <w:bCs/>
          <w:i/>
          <w:color w:val="000000" w:themeColor="text1"/>
          <w:sz w:val="28"/>
          <w:szCs w:val="28"/>
        </w:rPr>
      </w:pPr>
      <w:r>
        <w:rPr>
          <w:rFonts w:ascii="Times New Roman" w:hAnsi="Times New Roman"/>
          <w:i/>
          <w:iCs/>
          <w:color w:val="000000" w:themeColor="text1"/>
          <w:sz w:val="28"/>
          <w:szCs w:val="28"/>
        </w:rPr>
        <w:t xml:space="preserve">В адрес Уполномоченного по правам человека в Ивановской области обратилась гражданк</w:t>
      </w:r>
      <w:r>
        <w:rPr>
          <w:rFonts w:ascii="Times New Roman" w:hAnsi="Times New Roman"/>
          <w:i/>
          <w:iCs/>
          <w:color w:val="000000" w:themeColor="text1"/>
          <w:sz w:val="28"/>
          <w:szCs w:val="28"/>
        </w:rPr>
        <w:t xml:space="preserve">а Б., которая сообщала о том, что она решила воспользоваться возможностью сохранения прожиточного минимума и, как следует по закону, написала заявление в службу. Каким было удивление заявительницы, когда она увидела очередное списание. Оно было неизменным.</w:t>
      </w:r>
      <w:r>
        <w:rPr>
          <w:rFonts w:ascii="Times New Roman" w:hAnsi="Times New Roman"/>
          <w:bCs/>
          <w:i/>
          <w:color w:val="000000" w:themeColor="text1"/>
          <w:sz w:val="28"/>
          <w:szCs w:val="28"/>
        </w:rPr>
      </w:r>
      <w:r>
        <w:rPr>
          <w:rFonts w:ascii="Times New Roman" w:hAnsi="Times New Roman"/>
          <w:bCs/>
          <w:i/>
          <w:color w:val="000000" w:themeColor="text1"/>
          <w:sz w:val="28"/>
          <w:szCs w:val="28"/>
        </w:rPr>
      </w:r>
    </w:p>
    <w:p>
      <w:pPr>
        <w:ind w:firstLine="709"/>
        <w:jc w:val="both"/>
        <w:spacing w:after="0"/>
        <w:rPr>
          <w:bCs/>
          <w:i/>
        </w:rPr>
      </w:pPr>
      <w:r>
        <w:rPr>
          <w:rFonts w:ascii="Times New Roman" w:hAnsi="Times New Roman"/>
          <w:i/>
          <w:iCs/>
          <w:color w:val="000000" w:themeColor="text1"/>
          <w:sz w:val="28"/>
          <w:szCs w:val="28"/>
        </w:rPr>
        <w:t xml:space="preserve">В целях оказания поддержки обратившейся, региональным омбудсменом направлено мотивированное письмо в УФССП России по Ивановской области с ходатайством о проведении проверки.</w:t>
      </w:r>
      <w:r>
        <w:rPr>
          <w:bCs/>
          <w:i/>
        </w:rPr>
      </w:r>
      <w:r>
        <w:rPr>
          <w:bCs/>
          <w:i/>
        </w:rPr>
      </w:r>
    </w:p>
    <w:p>
      <w:pPr>
        <w:ind w:firstLine="709"/>
        <w:jc w:val="both"/>
        <w:spacing w:after="0"/>
        <w:rPr>
          <w:rFonts w:ascii="Times New Roman" w:hAnsi="Times New Roman"/>
          <w:bCs/>
          <w:i/>
          <w:color w:val="000000" w:themeColor="text1"/>
          <w:sz w:val="28"/>
          <w:szCs w:val="28"/>
        </w:rPr>
      </w:pPr>
      <w:r>
        <w:rPr>
          <w:rFonts w:ascii="Times New Roman" w:hAnsi="Times New Roman"/>
          <w:i/>
          <w:iCs/>
          <w:color w:val="000000" w:themeColor="text1"/>
          <w:sz w:val="28"/>
          <w:szCs w:val="28"/>
        </w:rPr>
        <w:t xml:space="preserve">Проверка проведена. Денежные средства, которые неправомерно списаны с землячки, переведены на ее расчетный счет.</w:t>
      </w:r>
      <w:r>
        <w:rPr>
          <w:rFonts w:ascii="Times New Roman" w:hAnsi="Times New Roman"/>
          <w:bCs/>
          <w:i/>
          <w:color w:val="000000" w:themeColor="text1"/>
          <w:sz w:val="28"/>
          <w:szCs w:val="28"/>
        </w:rPr>
      </w:r>
      <w:r>
        <w:rPr>
          <w:rFonts w:ascii="Times New Roman" w:hAnsi="Times New Roman"/>
          <w:bCs/>
          <w:i/>
          <w:color w:val="000000" w:themeColor="text1"/>
          <w:sz w:val="28"/>
          <w:szCs w:val="28"/>
        </w:rPr>
      </w:r>
    </w:p>
    <w:p>
      <w:pPr>
        <w:ind w:firstLine="708"/>
        <w:jc w:val="both"/>
        <w:spacing w:after="0"/>
      </w:pPr>
      <w:r>
        <w:rPr>
          <w:rFonts w:ascii="Times New Roman" w:hAnsi="Times New Roman"/>
          <w:color w:val="000000"/>
          <w:sz w:val="28"/>
          <w:szCs w:val="28"/>
        </w:rPr>
        <w:t xml:space="preserve">Таким образом, соблюдение прав граждан при исполнении судебных решений - это не дополнительная нагрузка для судебного пристава, а неотъемлемая составляющая его профессиональной деятельности, нап</w:t>
      </w:r>
      <w:r>
        <w:rPr>
          <w:rFonts w:ascii="Times New Roman" w:hAnsi="Times New Roman"/>
          <w:color w:val="000000"/>
          <w:sz w:val="28"/>
          <w:szCs w:val="28"/>
        </w:rPr>
        <w:t xml:space="preserve">рямую влияющая на качество работы всей системы принудительного исполнения. Такой подход служит важной гарантией законности, формирует доверие общества к государственным институтам и способствует повышению эффективности исполнительного производства в целом.</w:t>
      </w:r>
      <w:r/>
    </w:p>
    <w:p>
      <w:pPr>
        <w:ind w:firstLine="708"/>
        <w:jc w:val="both"/>
        <w:spacing w:after="0"/>
      </w:pPr>
      <w:r>
        <w:rPr>
          <w:rFonts w:ascii="Times New Roman" w:hAnsi="Times New Roman"/>
          <w:color w:val="000000"/>
          <w:sz w:val="28"/>
          <w:szCs w:val="28"/>
        </w:rPr>
        <w:t xml:space="preserve">Профессиональный судебный пристав должен умело сочетать твердость в исполнении закона с уважением к человеку, демонстрируя не только компетентность в применении нормативных актов, но и понимание </w:t>
      </w:r>
      <w:r>
        <w:rPr>
          <w:rFonts w:ascii="Times New Roman" w:hAnsi="Times New Roman"/>
          <w:color w:val="000000"/>
          <w:sz w:val="28"/>
          <w:szCs w:val="28"/>
        </w:rPr>
        <w:t xml:space="preserve">социально-правовой ситуации конкретного гражданина. Только такой сбалансированный подход обеспечивает подлинную справедливость и укрепляет основы правового государства, где права и законные интересы каждого человека находятся под надежной защитой.</w:t>
      </w:r>
      <w:r/>
    </w:p>
    <w:p>
      <w:pPr>
        <w:ind w:firstLine="708"/>
        <w:jc w:val="both"/>
        <w:spacing w:after="0"/>
      </w:pPr>
      <w:r>
        <w:rPr>
          <w:rFonts w:ascii="Times New Roman" w:hAnsi="Times New Roman"/>
          <w:color w:val="000000"/>
          <w:sz w:val="28"/>
          <w:szCs w:val="28"/>
        </w:rPr>
        <w:t xml:space="preserve">Необходимо особо подчеркнуть, что главная задача пристава заключается не в формальном исполнен</w:t>
      </w:r>
      <w:r>
        <w:rPr>
          <w:rFonts w:ascii="Times New Roman" w:hAnsi="Times New Roman"/>
          <w:color w:val="000000"/>
          <w:sz w:val="28"/>
          <w:szCs w:val="28"/>
        </w:rPr>
        <w:t xml:space="preserve">ии решения суда любой ценой, а в поиске разумного баланса между законными интересами взыскателя и гарантированными правами должника. Это требует от сотрудника ФССП взвешенных, продуманных решений, основанных на принципах пропорциональности и соразмерности.</w:t>
      </w:r>
      <w:r/>
    </w:p>
    <w:p>
      <w:pPr>
        <w:ind w:firstLine="708"/>
        <w:jc w:val="both"/>
        <w:spacing w:after="0"/>
      </w:pPr>
      <w:r>
        <w:rPr>
          <w:rFonts w:ascii="Times New Roman" w:hAnsi="Times New Roman"/>
          <w:color w:val="000000"/>
          <w:sz w:val="28"/>
          <w:szCs w:val="28"/>
        </w:rPr>
        <w:t xml:space="preserve">Например, при наложении ареста на имущество пристава обязаны строго соблюдать принцип соразмерности: недопустимо изымать имущество, стоимость которого многократно превышает сумму задолженности. Так, изъятие автомобиля стоимостью несколько миллионов</w:t>
      </w:r>
      <w:r>
        <w:rPr>
          <w:rFonts w:ascii="Times New Roman" w:hAnsi="Times New Roman"/>
          <w:color w:val="000000"/>
          <w:sz w:val="28"/>
          <w:szCs w:val="28"/>
        </w:rPr>
        <w:t xml:space="preserve"> рублей для погашения долга в несколько десятков тысяч рублей не только нарушает права должника, но и противоречит самой сути исполнительного производства, которое призвано обеспечить исполнение судебного акта, а не привести гражданина к финансовому краху.</w:t>
      </w:r>
      <w:r/>
    </w:p>
    <w:p>
      <w:pPr>
        <w:ind w:firstLine="708"/>
        <w:jc w:val="both"/>
        <w:spacing w:after="0"/>
      </w:pPr>
      <w:r>
        <w:rPr>
          <w:rFonts w:ascii="Times New Roman" w:hAnsi="Times New Roman"/>
          <w:color w:val="000000"/>
          <w:sz w:val="28"/>
          <w:szCs w:val="28"/>
        </w:rPr>
        <w:t xml:space="preserve">Не менее важным аспектом является тщательная проверка принадлежности имущества, подлежащего аресту. Недопустимо накладывать ограничения на активы, которые не принадлежат должнику, будь то имущество родственников, совм</w:t>
      </w:r>
      <w:r>
        <w:rPr>
          <w:rFonts w:ascii="Times New Roman" w:hAnsi="Times New Roman"/>
          <w:color w:val="000000"/>
          <w:sz w:val="28"/>
          <w:szCs w:val="28"/>
        </w:rPr>
        <w:t xml:space="preserve">естно нажитое в браке (в части доли второго супруга) или вещи, находящиеся во временном пользовании. Подобные ошибки не только ущемляют права третьих лиц, но и подрывают авторитет службы судебных приставов, ведут к дополнительным судебным спорам и жалобам.</w:t>
      </w:r>
      <w:r/>
    </w:p>
    <w:p>
      <w:pPr>
        <w:ind w:firstLine="708"/>
        <w:jc w:val="both"/>
        <w:spacing w:after="0"/>
        <w:rPr>
          <w:rFonts w:ascii="Times New Roman" w:hAnsi="Times New Roman"/>
          <w:color w:val="000000"/>
          <w:sz w:val="28"/>
          <w:szCs w:val="28"/>
        </w:rPr>
      </w:pPr>
      <w:r>
        <w:rPr>
          <w:rFonts w:ascii="Times New Roman" w:hAnsi="Times New Roman"/>
          <w:color w:val="000000"/>
          <w:sz w:val="28"/>
          <w:szCs w:val="28"/>
        </w:rPr>
        <w:t xml:space="preserve">Реализация этих принципов на практике позволяет не только защитить права г</w:t>
      </w:r>
      <w:r>
        <w:rPr>
          <w:rFonts w:ascii="Times New Roman" w:hAnsi="Times New Roman"/>
          <w:color w:val="000000"/>
          <w:sz w:val="28"/>
          <w:szCs w:val="28"/>
        </w:rPr>
        <w:t xml:space="preserve">раждан, но и повысить общую эффективность исполнительного производства: снижаются количество жалоб и судебных споров, растет доверие к службе судебных приставов, оптимизируются ресурсы ведомства за счет сокращения числа ошибок и их последствий. В конечном </w:t>
      </w:r>
      <w:r>
        <w:rPr>
          <w:rFonts w:ascii="Times New Roman" w:hAnsi="Times New Roman"/>
          <w:color w:val="000000"/>
          <w:sz w:val="28"/>
          <w:szCs w:val="28"/>
        </w:rPr>
        <w:t xml:space="preserve">счете</w:t>
      </w:r>
      <w:r>
        <w:rPr>
          <w:rFonts w:ascii="Times New Roman" w:hAnsi="Times New Roman"/>
          <w:color w:val="000000"/>
          <w:sz w:val="28"/>
          <w:szCs w:val="28"/>
        </w:rPr>
        <w:t xml:space="preserve"> именно такой подход - сочетающий законность, справедливость и человечность - служит фундаментом устойчивого развития правового государства и укрепления социальной стабильности в обществе.</w:t>
      </w:r>
      <w:r>
        <w:rPr>
          <w:rFonts w:ascii="Times New Roman" w:hAnsi="Times New Roman"/>
          <w:color w:val="000000"/>
          <w:sz w:val="28"/>
          <w:szCs w:val="28"/>
        </w:rPr>
      </w:r>
      <w:r>
        <w:rPr>
          <w:rFonts w:ascii="Times New Roman" w:hAnsi="Times New Roman"/>
          <w:color w:val="000000"/>
          <w:sz w:val="28"/>
          <w:szCs w:val="28"/>
        </w:rPr>
      </w:r>
    </w:p>
    <w:p>
      <w:pPr>
        <w:ind w:firstLine="709"/>
        <w:jc w:val="both"/>
        <w:spacing w:after="0"/>
        <w:rPr>
          <w:rFonts w:ascii="Times New Roman" w:hAnsi="Times New Roman" w:eastAsia="Times New Roman"/>
          <w:bCs/>
          <w:i/>
          <w:color w:val="000000"/>
          <w:sz w:val="28"/>
          <w:szCs w:val="28"/>
        </w:rPr>
      </w:pPr>
      <w:r>
        <w:rPr>
          <w:rFonts w:ascii="Times New Roman" w:hAnsi="Times New Roman" w:eastAsia="Times New Roman"/>
          <w:i/>
          <w:iCs/>
          <w:color w:val="000000"/>
          <w:sz w:val="28"/>
          <w:szCs w:val="28"/>
        </w:rPr>
        <w:t xml:space="preserve">В правозащитную службу обратилась гражданка Ш., сообщив, что судебным приставом-исполнителем был произведен арест мобильного телефона, который являлся собственностью ее матери. </w:t>
      </w:r>
      <w:r>
        <w:rPr>
          <w:rFonts w:ascii="Times New Roman" w:hAnsi="Times New Roman" w:eastAsia="Times New Roman"/>
          <w:bCs/>
          <w:i/>
          <w:color w:val="000000"/>
          <w:sz w:val="28"/>
          <w:szCs w:val="28"/>
        </w:rPr>
      </w:r>
      <w:r>
        <w:rPr>
          <w:rFonts w:ascii="Times New Roman" w:hAnsi="Times New Roman" w:eastAsia="Times New Roman"/>
          <w:bCs/>
          <w:i/>
          <w:color w:val="000000"/>
          <w:sz w:val="28"/>
          <w:szCs w:val="28"/>
        </w:rPr>
      </w:r>
    </w:p>
    <w:p>
      <w:pPr>
        <w:ind w:firstLine="709"/>
        <w:jc w:val="both"/>
        <w:spacing w:after="0"/>
        <w:rPr>
          <w:rFonts w:ascii="Times New Roman" w:hAnsi="Times New Roman" w:eastAsia="Times New Roman"/>
          <w:bCs/>
          <w:i/>
          <w:color w:val="000000"/>
          <w:sz w:val="28"/>
          <w:szCs w:val="28"/>
        </w:rPr>
      </w:pPr>
      <w:r>
        <w:rPr>
          <w:rFonts w:ascii="Times New Roman" w:hAnsi="Times New Roman" w:eastAsia="Times New Roman"/>
          <w:i/>
          <w:iCs/>
          <w:color w:val="000000"/>
          <w:sz w:val="28"/>
          <w:szCs w:val="28"/>
        </w:rPr>
        <w:t xml:space="preserve">Уполномоченный направила мотивированное письмо в Управление с ходатайством </w:t>
      </w:r>
      <w:r>
        <w:rPr>
          <w:rFonts w:ascii="Times New Roman" w:hAnsi="Times New Roman" w:eastAsia="Times New Roman"/>
          <w:i/>
          <w:iCs/>
          <w:color w:val="000000"/>
          <w:sz w:val="28"/>
          <w:szCs w:val="28"/>
        </w:rPr>
        <w:t xml:space="preserve">проведения проверки правомерности действий пристава</w:t>
      </w:r>
      <w:r>
        <w:rPr>
          <w:rFonts w:ascii="Times New Roman" w:hAnsi="Times New Roman" w:eastAsia="Times New Roman"/>
          <w:i/>
          <w:iCs/>
          <w:color w:val="000000"/>
          <w:sz w:val="28"/>
          <w:szCs w:val="28"/>
        </w:rPr>
        <w:t xml:space="preserve">.</w:t>
      </w:r>
      <w:r>
        <w:rPr>
          <w:rFonts w:ascii="Times New Roman" w:hAnsi="Times New Roman" w:eastAsia="Times New Roman"/>
          <w:bCs/>
          <w:i/>
          <w:color w:val="000000"/>
          <w:sz w:val="28"/>
          <w:szCs w:val="28"/>
        </w:rPr>
      </w:r>
      <w:r>
        <w:rPr>
          <w:rFonts w:ascii="Times New Roman" w:hAnsi="Times New Roman" w:eastAsia="Times New Roman"/>
          <w:bCs/>
          <w:i/>
          <w:color w:val="000000"/>
          <w:sz w:val="28"/>
          <w:szCs w:val="28"/>
        </w:rPr>
      </w:r>
    </w:p>
    <w:p>
      <w:pPr>
        <w:ind w:firstLine="709"/>
        <w:jc w:val="both"/>
        <w:spacing w:after="0"/>
        <w:rPr>
          <w:rFonts w:ascii="Times New Roman" w:hAnsi="Times New Roman" w:eastAsia="Times New Roman"/>
          <w:bCs/>
          <w:i/>
          <w:color w:val="000000"/>
          <w:sz w:val="28"/>
          <w:szCs w:val="28"/>
        </w:rPr>
      </w:pPr>
      <w:r>
        <w:rPr>
          <w:rFonts w:ascii="Times New Roman" w:hAnsi="Times New Roman" w:eastAsia="Times New Roman"/>
          <w:i/>
          <w:iCs/>
          <w:color w:val="000000"/>
          <w:sz w:val="28"/>
          <w:szCs w:val="28"/>
        </w:rPr>
        <w:t xml:space="preserve">Установлено, что судебным приставом, действительно, было вынесено постановление о передаче имущества для принудительной реализации на комиссионных началах.</w:t>
      </w:r>
      <w:r>
        <w:rPr>
          <w:rFonts w:ascii="Times New Roman" w:hAnsi="Times New Roman" w:eastAsia="Times New Roman"/>
          <w:bCs/>
          <w:i/>
          <w:color w:val="000000"/>
          <w:sz w:val="28"/>
          <w:szCs w:val="28"/>
        </w:rPr>
      </w:r>
      <w:r>
        <w:rPr>
          <w:rFonts w:ascii="Times New Roman" w:hAnsi="Times New Roman" w:eastAsia="Times New Roman"/>
          <w:bCs/>
          <w:i/>
          <w:color w:val="000000"/>
          <w:sz w:val="28"/>
          <w:szCs w:val="28"/>
        </w:rPr>
      </w:r>
    </w:p>
    <w:p>
      <w:pPr>
        <w:ind w:firstLine="709"/>
        <w:jc w:val="both"/>
        <w:spacing w:after="0"/>
        <w:rPr>
          <w:rFonts w:ascii="Times New Roman" w:hAnsi="Times New Roman" w:eastAsia="Times New Roman"/>
          <w:bCs/>
          <w:i/>
          <w:color w:val="000000"/>
          <w:sz w:val="28"/>
          <w:szCs w:val="28"/>
        </w:rPr>
      </w:pPr>
      <w:r>
        <w:rPr>
          <w:rFonts w:ascii="Times New Roman" w:hAnsi="Times New Roman" w:eastAsia="Times New Roman"/>
          <w:i/>
          <w:iCs/>
          <w:color w:val="000000"/>
          <w:sz w:val="28"/>
          <w:szCs w:val="28"/>
        </w:rPr>
        <w:t xml:space="preserve">После письма регионального омбудсмена выяснилось, что арестованное имущество принадлежит третьему лицу, в связи с чем, вынесено постановление об отзыве имущества с реализации и о снятии ареста имущества.</w:t>
      </w:r>
      <w:r>
        <w:rPr>
          <w:rFonts w:ascii="Times New Roman" w:hAnsi="Times New Roman" w:eastAsia="Times New Roman"/>
          <w:bCs/>
          <w:i/>
          <w:color w:val="000000"/>
          <w:sz w:val="28"/>
          <w:szCs w:val="28"/>
        </w:rPr>
      </w:r>
      <w:r>
        <w:rPr>
          <w:rFonts w:ascii="Times New Roman" w:hAnsi="Times New Roman" w:eastAsia="Times New Roman"/>
          <w:bCs/>
          <w:i/>
          <w:color w:val="000000"/>
          <w:sz w:val="28"/>
          <w:szCs w:val="28"/>
        </w:rPr>
      </w:r>
    </w:p>
    <w:p>
      <w:pPr>
        <w:ind w:firstLine="709"/>
        <w:jc w:val="both"/>
        <w:spacing w:after="0"/>
        <w:rPr>
          <w:rFonts w:ascii="Times New Roman" w:hAnsi="Times New Roman"/>
          <w:bCs/>
          <w:i/>
          <w:color w:val="000000" w:themeColor="text1"/>
          <w:sz w:val="28"/>
          <w:szCs w:val="28"/>
        </w:rPr>
      </w:pPr>
      <w:r>
        <w:rPr>
          <w:rFonts w:ascii="Times New Roman" w:hAnsi="Times New Roman" w:eastAsia="Times New Roman"/>
          <w:i/>
          <w:iCs/>
          <w:color w:val="000000"/>
          <w:sz w:val="28"/>
          <w:szCs w:val="28"/>
        </w:rPr>
        <w:t xml:space="preserve">Должностным лицам строго указано на недопущение в работе подобных нарушений. </w:t>
      </w:r>
      <w:r>
        <w:rPr>
          <w:rFonts w:ascii="Times New Roman" w:hAnsi="Times New Roman"/>
          <w:bCs/>
          <w:i/>
          <w:color w:val="000000" w:themeColor="text1"/>
          <w:sz w:val="28"/>
          <w:szCs w:val="28"/>
        </w:rPr>
      </w:r>
      <w:r>
        <w:rPr>
          <w:rFonts w:ascii="Times New Roman" w:hAnsi="Times New Roman"/>
          <w:bCs/>
          <w:i/>
          <w:color w:val="000000" w:themeColor="text1"/>
          <w:sz w:val="28"/>
          <w:szCs w:val="28"/>
        </w:rPr>
      </w:r>
    </w:p>
    <w:p>
      <w:pPr>
        <w:ind w:firstLine="709"/>
        <w:jc w:val="both"/>
        <w:spacing w:after="0"/>
        <w:rPr>
          <w:rFonts w:ascii="Times New Roman" w:hAnsi="Times New Roman"/>
          <w:color w:val="000000" w:themeColor="text1"/>
          <w:sz w:val="28"/>
          <w:szCs w:val="28"/>
        </w:rPr>
      </w:pPr>
      <w:r>
        <w:rPr>
          <w:rFonts w:ascii="Times New Roman" w:hAnsi="Times New Roman"/>
          <w:color w:val="000000" w:themeColor="text1"/>
          <w:sz w:val="28"/>
          <w:szCs w:val="28"/>
        </w:rPr>
        <w:t xml:space="preserve">Довольно часто правозащитная служба ограничивается простым диалогом с заявителем и отпадает необходимость написания жалобы. </w:t>
      </w:r>
      <w:r>
        <w:rPr>
          <w:rFonts w:ascii="Times New Roman" w:hAnsi="Times New Roman"/>
          <w:color w:val="000000" w:themeColor="text1"/>
          <w:sz w:val="28"/>
          <w:szCs w:val="28"/>
        </w:rPr>
      </w:r>
      <w:r>
        <w:rPr>
          <w:rFonts w:ascii="Times New Roman" w:hAnsi="Times New Roman"/>
          <w:color w:val="000000" w:themeColor="text1"/>
          <w:sz w:val="28"/>
          <w:szCs w:val="28"/>
        </w:rPr>
      </w:r>
    </w:p>
    <w:p>
      <w:pPr>
        <w:ind w:left="21" w:right="21" w:firstLine="688"/>
        <w:jc w:val="both"/>
        <w:spacing w:after="0"/>
        <w:rPr>
          <w:rFonts w:ascii="Times New Roman" w:hAnsi="Times New Roman" w:eastAsia="Times New Roman"/>
          <w:i/>
          <w:iCs/>
          <w:color w:val="202020"/>
          <w:sz w:val="28"/>
          <w:szCs w:val="28"/>
        </w:rPr>
      </w:pPr>
      <w:r>
        <w:rPr>
          <w:rFonts w:ascii="Times New Roman" w:hAnsi="Times New Roman" w:eastAsia="Times New Roman"/>
          <w:i/>
          <w:iCs/>
          <w:color w:val="202020"/>
          <w:sz w:val="28"/>
          <w:szCs w:val="28"/>
          <w:highlight w:val="white"/>
        </w:rPr>
        <w:t xml:space="preserve">Известно, что принимая наследство, к наследнику переходят и долги </w:t>
      </w:r>
      <w:r>
        <w:rPr>
          <w:rFonts w:ascii="Times New Roman" w:hAnsi="Times New Roman" w:eastAsia="Times New Roman"/>
          <w:i/>
          <w:iCs/>
          <w:color w:val="202020"/>
          <w:sz w:val="28"/>
          <w:szCs w:val="28"/>
          <w:highlight w:val="white"/>
        </w:rPr>
        <w:t xml:space="preserve">умершего</w:t>
      </w:r>
      <w:r>
        <w:rPr>
          <w:rFonts w:ascii="Times New Roman" w:hAnsi="Times New Roman" w:eastAsia="Times New Roman"/>
          <w:i/>
          <w:iCs/>
          <w:color w:val="202020"/>
          <w:sz w:val="28"/>
          <w:szCs w:val="28"/>
          <w:highlight w:val="white"/>
        </w:rPr>
        <w:t xml:space="preserve">. Это следу</w:t>
      </w:r>
      <w:r>
        <w:rPr>
          <w:rFonts w:ascii="Times New Roman" w:hAnsi="Times New Roman" w:eastAsia="Times New Roman"/>
          <w:i/>
          <w:iCs/>
          <w:color w:val="202020"/>
          <w:sz w:val="28"/>
          <w:szCs w:val="28"/>
          <w:highlight w:val="white"/>
        </w:rPr>
        <w:t xml:space="preserve">ет из законодательства о наследовании, которое предполагает универсальное правопреемство: наследники получают не только имущество, но и обязательства наследодателя. Так случилось с гражданином С., который получил долги в наследство от умершего сына. Мужчин</w:t>
      </w:r>
      <w:r>
        <w:rPr>
          <w:rFonts w:ascii="Times New Roman" w:hAnsi="Times New Roman" w:eastAsia="Times New Roman"/>
          <w:i/>
          <w:iCs/>
          <w:color w:val="202020"/>
          <w:sz w:val="28"/>
          <w:szCs w:val="28"/>
          <w:highlight w:val="white"/>
        </w:rPr>
        <w:t xml:space="preserve">а не знал о том, что долги это теперь его обязательство и решил, что судебные приставы-исполнители незаконно списывают с него денежные средства. Мужчина ознакомлен с законодательством. Также сообщено, что он имеет право на сохранение прожиточного минимума.</w:t>
      </w:r>
      <w:r>
        <w:rPr>
          <w:rFonts w:ascii="Times New Roman" w:hAnsi="Times New Roman" w:eastAsia="Times New Roman"/>
          <w:i/>
          <w:iCs/>
          <w:color w:val="202020"/>
          <w:sz w:val="28"/>
          <w:szCs w:val="28"/>
        </w:rPr>
      </w:r>
      <w:r>
        <w:rPr>
          <w:rFonts w:ascii="Times New Roman" w:hAnsi="Times New Roman" w:eastAsia="Times New Roman"/>
          <w:i/>
          <w:iCs/>
          <w:color w:val="202020"/>
          <w:sz w:val="28"/>
          <w:szCs w:val="28"/>
        </w:rPr>
      </w:r>
    </w:p>
    <w:p>
      <w:pPr>
        <w:pStyle w:val="1267"/>
        <w:ind w:firstLine="708"/>
        <w:jc w:val="both"/>
        <w:spacing w:before="0" w:beforeAutospacing="0" w:after="0" w:afterAutospacing="0" w:line="276" w:lineRule="auto"/>
        <w:rPr>
          <w:color w:val="000000"/>
          <w:sz w:val="28"/>
          <w:szCs w:val="28"/>
          <w:highlight w:val="none"/>
        </w:rPr>
      </w:pPr>
      <w:r>
        <w:rPr>
          <w:color w:val="000000"/>
          <w:sz w:val="28"/>
          <w:szCs w:val="28"/>
        </w:rPr>
        <w:t xml:space="preserve">По мнению Ивановс</w:t>
      </w:r>
      <w:r>
        <w:rPr>
          <w:color w:val="000000"/>
          <w:sz w:val="28"/>
          <w:szCs w:val="28"/>
        </w:rPr>
        <w:t xml:space="preserve">кого регионального отделения Общероссийской общественной организации «Ассоциация юристов России», в деятельности службы судебных приставов Ивановской области сохраняется ряд существенных проблем, негативно влияющих на реализацию прав граждан и организаций:</w:t>
      </w:r>
      <w:r>
        <w:rPr>
          <w:color w:val="000000"/>
          <w:sz w:val="28"/>
          <w:szCs w:val="28"/>
          <w:highlight w:val="none"/>
        </w:rPr>
      </w:r>
      <w:r>
        <w:rPr>
          <w:color w:val="000000"/>
          <w:sz w:val="28"/>
          <w:szCs w:val="28"/>
          <w:highlight w:val="none"/>
        </w:rPr>
      </w:r>
    </w:p>
    <w:p>
      <w:pPr>
        <w:pStyle w:val="1267"/>
        <w:numPr>
          <w:ilvl w:val="0"/>
          <w:numId w:val="182"/>
        </w:numPr>
        <w:ind w:left="0" w:right="0" w:firstLine="709"/>
        <w:jc w:val="both"/>
        <w:spacing w:before="0" w:beforeAutospacing="0" w:after="0" w:afterAutospacing="0" w:line="276" w:lineRule="auto"/>
        <w:tabs>
          <w:tab w:val="left" w:pos="1134" w:leader="none"/>
        </w:tabs>
      </w:pPr>
      <w:r>
        <w:rPr>
          <w:color w:val="000000"/>
          <w:sz w:val="28"/>
          <w:szCs w:val="28"/>
          <w:highlight w:val="none"/>
        </w:rPr>
      </w:r>
      <w:r>
        <w:rPr>
          <w:color w:val="000000"/>
          <w:sz w:val="28"/>
          <w:szCs w:val="28"/>
        </w:rPr>
        <w:t xml:space="preserve">организация личного приема граждан остается слабо эффективной;</w:t>
      </w:r>
      <w:r/>
    </w:p>
    <w:p>
      <w:pPr>
        <w:pStyle w:val="1267"/>
        <w:numPr>
          <w:ilvl w:val="0"/>
          <w:numId w:val="182"/>
        </w:numPr>
        <w:ind w:left="0" w:right="0" w:firstLine="709"/>
        <w:jc w:val="both"/>
        <w:spacing w:before="0" w:beforeAutospacing="0" w:after="0" w:afterAutospacing="0" w:line="276" w:lineRule="auto"/>
        <w:tabs>
          <w:tab w:val="left" w:pos="1134" w:leader="none"/>
        </w:tabs>
      </w:pPr>
      <w:r>
        <w:rPr>
          <w:color w:val="000000"/>
          <w:sz w:val="28"/>
          <w:szCs w:val="28"/>
          <w:highlight w:val="none"/>
        </w:rPr>
        <w:t xml:space="preserve">есть затруднения в выстраивании коммуникаций с судебными приставами.</w:t>
      </w:r>
      <w:r>
        <w:rPr>
          <w:color w:val="000000"/>
          <w:sz w:val="28"/>
          <w:szCs w:val="28"/>
          <w:highlight w:val="none"/>
        </w:rPr>
      </w:r>
      <w:r/>
    </w:p>
    <w:p>
      <w:pPr>
        <w:pStyle w:val="1236"/>
        <w:ind w:firstLine="708"/>
        <w:jc w:val="both"/>
        <w:spacing w:before="0" w:beforeAutospacing="0" w:after="0" w:afterAutospacing="0" w:line="276" w:lineRule="auto"/>
      </w:pPr>
      <w:r>
        <w:rPr>
          <w:color w:val="000000"/>
          <w:sz w:val="28"/>
          <w:szCs w:val="28"/>
        </w:rPr>
        <w:t xml:space="preserve">Юристами отмечаются недостатки в ведении исполнительных производств. </w:t>
      </w:r>
      <w:r/>
    </w:p>
    <w:p>
      <w:pPr>
        <w:pStyle w:val="1236"/>
        <w:ind w:firstLine="708"/>
        <w:jc w:val="both"/>
        <w:spacing w:before="0" w:beforeAutospacing="0" w:after="0" w:afterAutospacing="0" w:line="276" w:lineRule="auto"/>
      </w:pPr>
      <w:r>
        <w:rPr>
          <w:color w:val="000000"/>
          <w:sz w:val="28"/>
          <w:szCs w:val="28"/>
        </w:rPr>
        <w:t xml:space="preserve">Ивановское региональное отд</w:t>
      </w:r>
      <w:r>
        <w:rPr>
          <w:color w:val="000000"/>
          <w:sz w:val="28"/>
          <w:szCs w:val="28"/>
        </w:rPr>
        <w:t xml:space="preserve">еление Ассоциации юристов России считает необходимым принять комплекс мер  по повышению эффективности работы службы судебных приставов в интересах защиты прав и законных интересов граждан и организаций жителей области.</w:t>
      </w:r>
      <w:r/>
    </w:p>
    <w:p>
      <w:pPr>
        <w:ind w:left="21" w:right="21" w:firstLine="688"/>
        <w:jc w:val="both"/>
        <w:spacing w:after="0"/>
        <w:rPr>
          <w:rFonts w:ascii="Times New Roman" w:hAnsi="Times New Roman"/>
          <w:sz w:val="28"/>
          <w:szCs w:val="28"/>
        </w:rPr>
      </w:pPr>
      <w:r>
        <w:rPr>
          <w:rFonts w:ascii="Times New Roman" w:hAnsi="Times New Roman"/>
          <w:sz w:val="28"/>
          <w:szCs w:val="28"/>
        </w:rPr>
        <w:t xml:space="preserve">Следует подчеркнуть, что защита прав граждан при исполнении судебных решений — это не просто дополнительная задача, а важнейшая составляющая профессиональной деятельности судебного пристава. </w:t>
      </w:r>
      <w:r>
        <w:rPr>
          <w:rFonts w:ascii="Times New Roman" w:hAnsi="Times New Roman"/>
          <w:sz w:val="28"/>
          <w:szCs w:val="28"/>
        </w:rPr>
      </w:r>
      <w:r>
        <w:rPr>
          <w:rFonts w:ascii="Times New Roman" w:hAnsi="Times New Roman"/>
          <w:sz w:val="28"/>
          <w:szCs w:val="28"/>
        </w:rPr>
      </w:r>
    </w:p>
    <w:p>
      <w:pPr>
        <w:ind w:left="21" w:right="21" w:firstLine="688"/>
        <w:jc w:val="both"/>
        <w:spacing w:after="0"/>
        <w:rPr>
          <w:rFonts w:ascii="Times New Roman" w:hAnsi="Times New Roman"/>
          <w:sz w:val="28"/>
          <w:szCs w:val="28"/>
          <w:highlight w:val="none"/>
        </w:rPr>
      </w:pPr>
      <w:r>
        <w:rPr>
          <w:rFonts w:ascii="Times New Roman" w:hAnsi="Times New Roman"/>
          <w:sz w:val="28"/>
          <w:szCs w:val="28"/>
        </w:rPr>
        <w:t xml:space="preserve">В конечном счете,  комплексный подход, где юридическая грамотность сочетается с человечностью и уважением к личности, становится залогом успешного функционирования системы принудительного исполнения и важнейшим фактором укрепления правового государства.</w:t>
      </w:r>
      <w:r>
        <w:rPr>
          <w:rFonts w:ascii="Times New Roman" w:hAnsi="Times New Roman"/>
          <w:sz w:val="28"/>
          <w:szCs w:val="28"/>
          <w:highlight w:val="none"/>
        </w:rPr>
      </w:r>
      <w:r>
        <w:rPr>
          <w:rFonts w:ascii="Times New Roman" w:hAnsi="Times New Roman"/>
          <w:sz w:val="28"/>
          <w:szCs w:val="28"/>
          <w:highlight w:val="none"/>
        </w:rPr>
      </w:r>
    </w:p>
    <w:p>
      <w:pPr>
        <w:ind w:left="21" w:right="21" w:firstLine="688"/>
        <w:jc w:val="both"/>
        <w:spacing w:after="0"/>
        <w:rPr>
          <w:rFonts w:ascii="Times New Roman" w:hAnsi="Times New Roman"/>
          <w:sz w:val="28"/>
          <w:szCs w:val="28"/>
        </w:rPr>
      </w:pPr>
      <w:r>
        <w:rPr>
          <w:rFonts w:ascii="Times New Roman" w:hAnsi="Times New Roman"/>
          <w:sz w:val="28"/>
          <w:szCs w:val="28"/>
          <w:highlight w:val="none"/>
        </w:rPr>
      </w:r>
      <w:r>
        <w:rPr>
          <w:rFonts w:ascii="Times New Roman" w:hAnsi="Times New Roman"/>
          <w:sz w:val="28"/>
          <w:szCs w:val="28"/>
        </w:rPr>
      </w:r>
      <w:r>
        <w:rPr>
          <w:rFonts w:ascii="Times New Roman" w:hAnsi="Times New Roman"/>
          <w:sz w:val="28"/>
          <w:szCs w:val="28"/>
        </w:rPr>
      </w:r>
    </w:p>
    <w:p>
      <w:pPr>
        <w:pStyle w:val="1226"/>
        <w:rPr>
          <w:rFonts w:ascii="Times New Roman" w:hAnsi="Times New Roman"/>
          <w:b/>
          <w:bCs/>
          <w:color w:val="000000" w:themeColor="text1"/>
          <w:sz w:val="28"/>
          <w:szCs w:val="28"/>
        </w:rPr>
      </w:pPr>
      <w:r/>
      <w:bookmarkStart w:id="61" w:name="_Toc39"/>
      <w:r>
        <w:rPr>
          <w:rStyle w:val="1252"/>
          <w:rFonts w:ascii="Times New Roman" w:hAnsi="Times New Roman"/>
          <w:color w:val="000000" w:themeColor="text1"/>
          <w:sz w:val="28"/>
          <w:szCs w:val="28"/>
        </w:rPr>
        <w:t xml:space="preserve">Уполномоченный рекомендует</w:t>
      </w:r>
      <w:r>
        <w:rPr>
          <w:rFonts w:ascii="Times New Roman" w:hAnsi="Times New Roman"/>
          <w:b/>
          <w:color w:val="000000" w:themeColor="text1"/>
          <w:sz w:val="28"/>
          <w:szCs w:val="28"/>
        </w:rPr>
        <w:t xml:space="preserve">: </w:t>
      </w:r>
      <w:r>
        <w:rPr>
          <w:rFonts w:ascii="Times New Roman" w:hAnsi="Times New Roman"/>
          <w:b/>
          <w:bCs/>
          <w:color w:val="000000" w:themeColor="text1"/>
          <w:sz w:val="28"/>
          <w:szCs w:val="28"/>
        </w:rPr>
      </w:r>
      <w:bookmarkEnd w:id="61"/>
      <w:r>
        <w:rPr>
          <w:rFonts w:ascii="Times New Roman" w:hAnsi="Times New Roman"/>
          <w:b/>
          <w:bCs/>
          <w:color w:val="000000" w:themeColor="text1"/>
          <w:sz w:val="28"/>
          <w:szCs w:val="28"/>
        </w:rPr>
      </w:r>
      <w:r>
        <w:rPr>
          <w:rFonts w:ascii="Times New Roman" w:hAnsi="Times New Roman"/>
          <w:b/>
          <w:bCs/>
          <w:color w:val="000000" w:themeColor="text1"/>
          <w:sz w:val="28"/>
          <w:szCs w:val="28"/>
        </w:rPr>
      </w:r>
    </w:p>
    <w:p>
      <w:pPr>
        <w:ind w:firstLine="567"/>
        <w:jc w:val="both"/>
        <w:spacing w:after="0"/>
        <w:rPr>
          <w:rFonts w:ascii="Times New Roman" w:hAnsi="Times New Roman"/>
          <w:b/>
          <w:bCs/>
          <w:color w:val="000000" w:themeColor="text1"/>
          <w:sz w:val="28"/>
          <w:szCs w:val="28"/>
        </w:rPr>
      </w:pPr>
      <w:r>
        <w:rPr>
          <w:rFonts w:ascii="Times New Roman" w:hAnsi="Times New Roman"/>
          <w:b/>
          <w:bCs/>
          <w:color w:val="000000" w:themeColor="text1"/>
          <w:sz w:val="28"/>
          <w:szCs w:val="28"/>
        </w:rPr>
      </w:r>
      <w:r>
        <w:rPr>
          <w:rFonts w:ascii="Times New Roman" w:hAnsi="Times New Roman"/>
          <w:b/>
          <w:bCs/>
          <w:color w:val="000000" w:themeColor="text1"/>
          <w:sz w:val="28"/>
          <w:szCs w:val="28"/>
        </w:rPr>
      </w:r>
      <w:r>
        <w:rPr>
          <w:rFonts w:ascii="Times New Roman" w:hAnsi="Times New Roman"/>
          <w:b/>
          <w:bCs/>
          <w:color w:val="000000" w:themeColor="text1"/>
          <w:sz w:val="28"/>
          <w:szCs w:val="28"/>
        </w:rPr>
      </w:r>
    </w:p>
    <w:p>
      <w:pPr>
        <w:ind w:firstLine="567"/>
        <w:jc w:val="both"/>
        <w:spacing w:after="0"/>
        <w:rPr>
          <w:rFonts w:ascii="Times New Roman" w:hAnsi="Times New Roman"/>
          <w:b/>
          <w:bCs/>
          <w:color w:val="000000" w:themeColor="text1"/>
          <w:sz w:val="28"/>
          <w:szCs w:val="28"/>
        </w:rPr>
      </w:pPr>
      <w:r>
        <w:rPr>
          <w:rFonts w:ascii="Times New Roman" w:hAnsi="Times New Roman"/>
          <w:b/>
          <w:i/>
          <w:iCs/>
          <w:color w:val="000000" w:themeColor="text1"/>
          <w:sz w:val="28"/>
          <w:szCs w:val="28"/>
        </w:rPr>
        <w:t xml:space="preserve">Управлению ФССП России по Ивановской области:</w:t>
      </w:r>
      <w:r>
        <w:rPr>
          <w:rFonts w:ascii="Times New Roman" w:hAnsi="Times New Roman"/>
          <w:b/>
          <w:bCs/>
          <w:color w:val="000000" w:themeColor="text1"/>
          <w:sz w:val="28"/>
          <w:szCs w:val="28"/>
        </w:rPr>
      </w:r>
      <w:r>
        <w:rPr>
          <w:rFonts w:ascii="Times New Roman" w:hAnsi="Times New Roman"/>
          <w:b/>
          <w:bCs/>
          <w:color w:val="000000" w:themeColor="text1"/>
          <w:sz w:val="28"/>
          <w:szCs w:val="28"/>
        </w:rPr>
      </w:r>
    </w:p>
    <w:p>
      <w:pPr>
        <w:ind w:firstLine="567"/>
        <w:jc w:val="both"/>
        <w:spacing w:after="0"/>
        <w:rPr>
          <w:rFonts w:ascii="Times New Roman" w:hAnsi="Times New Roman"/>
          <w:color w:val="000000" w:themeColor="text1"/>
          <w:sz w:val="28"/>
          <w:szCs w:val="28"/>
        </w:rPr>
      </w:pPr>
      <w:r>
        <w:rPr>
          <w:rFonts w:ascii="Symbol" w:hAnsi="Symbol" w:eastAsia="Symbol" w:cs="Symbol"/>
          <w:color w:val="000000" w:themeColor="text1"/>
          <w:sz w:val="28"/>
          <w:szCs w:val="28"/>
        </w:rPr>
        <w:t xml:space="preserve"></w:t>
      </w:r>
      <w:r>
        <w:rPr>
          <w:rFonts w:ascii="Times New Roman" w:hAnsi="Times New Roman"/>
          <w:color w:val="000000" w:themeColor="text1"/>
          <w:sz w:val="28"/>
          <w:szCs w:val="28"/>
        </w:rPr>
        <w:t xml:space="preserve"> продолжить организацию лектория по повышению правовой грамотности населения;</w:t>
      </w:r>
      <w:r>
        <w:rPr>
          <w:rFonts w:ascii="Times New Roman" w:hAnsi="Times New Roman"/>
          <w:color w:val="000000" w:themeColor="text1"/>
          <w:sz w:val="28"/>
          <w:szCs w:val="28"/>
        </w:rPr>
      </w:r>
      <w:r>
        <w:rPr>
          <w:rFonts w:ascii="Times New Roman" w:hAnsi="Times New Roman"/>
          <w:color w:val="000000" w:themeColor="text1"/>
          <w:sz w:val="28"/>
          <w:szCs w:val="28"/>
        </w:rPr>
      </w:r>
    </w:p>
    <w:p>
      <w:pPr>
        <w:ind w:firstLine="567"/>
        <w:jc w:val="both"/>
        <w:spacing w:after="0"/>
        <w:rPr>
          <w:rFonts w:ascii="Times New Roman" w:hAnsi="Times New Roman"/>
          <w:color w:val="000000" w:themeColor="text1"/>
          <w:sz w:val="28"/>
          <w:szCs w:val="28"/>
        </w:rPr>
      </w:pPr>
      <w:r>
        <w:rPr>
          <w:rFonts w:ascii="Symbol" w:hAnsi="Symbol" w:eastAsia="Symbol" w:cs="Symbol"/>
          <w:color w:val="000000" w:themeColor="text1"/>
          <w:sz w:val="28"/>
          <w:szCs w:val="28"/>
        </w:rPr>
        <w:t xml:space="preserve"></w:t>
      </w:r>
      <w:r>
        <w:rPr>
          <w:rFonts w:ascii="Times New Roman" w:hAnsi="Times New Roman"/>
          <w:color w:val="000000" w:themeColor="text1"/>
          <w:sz w:val="28"/>
          <w:szCs w:val="28"/>
        </w:rPr>
        <w:t xml:space="preserve"> организовать проведение разъяснительной работы с участниками исполнительного производства о способах коммуникации с судебными приставами, информирования о ходе исполнительного производства и других вопросах, часто задаваемых в обращениях граждан; </w:t>
      </w:r>
      <w:r>
        <w:rPr>
          <w:rFonts w:ascii="Times New Roman" w:hAnsi="Times New Roman"/>
          <w:color w:val="000000" w:themeColor="text1"/>
          <w:sz w:val="28"/>
          <w:szCs w:val="28"/>
        </w:rPr>
      </w:r>
      <w:r>
        <w:rPr>
          <w:rFonts w:ascii="Times New Roman" w:hAnsi="Times New Roman"/>
          <w:color w:val="000000" w:themeColor="text1"/>
          <w:sz w:val="28"/>
          <w:szCs w:val="28"/>
        </w:rPr>
      </w:r>
    </w:p>
    <w:p>
      <w:pPr>
        <w:ind w:firstLine="567"/>
        <w:jc w:val="both"/>
        <w:spacing w:after="0"/>
        <w:rPr>
          <w:rFonts w:ascii="Times New Roman" w:hAnsi="Times New Roman"/>
          <w:color w:val="000000" w:themeColor="text1"/>
          <w:sz w:val="28"/>
          <w:szCs w:val="28"/>
        </w:rPr>
      </w:pPr>
      <w:r>
        <w:rPr>
          <w:rFonts w:ascii="Symbol" w:hAnsi="Symbol" w:eastAsia="Symbol" w:cs="Symbol"/>
          <w:color w:val="000000" w:themeColor="text1"/>
          <w:sz w:val="28"/>
          <w:szCs w:val="28"/>
        </w:rPr>
        <w:t xml:space="preserve"></w:t>
      </w:r>
      <w:r>
        <w:rPr>
          <w:rFonts w:ascii="Times New Roman" w:hAnsi="Times New Roman"/>
          <w:color w:val="000000" w:themeColor="text1"/>
          <w:sz w:val="28"/>
          <w:szCs w:val="28"/>
        </w:rPr>
        <w:t xml:space="preserve"> усилить контроль за своевременным и полным исполнением судебных решений;</w:t>
      </w:r>
      <w:r>
        <w:rPr>
          <w:rFonts w:ascii="Times New Roman" w:hAnsi="Times New Roman"/>
          <w:color w:val="000000" w:themeColor="text1"/>
          <w:sz w:val="28"/>
          <w:szCs w:val="28"/>
        </w:rPr>
      </w:r>
      <w:r>
        <w:rPr>
          <w:rFonts w:ascii="Times New Roman" w:hAnsi="Times New Roman"/>
          <w:color w:val="000000" w:themeColor="text1"/>
          <w:sz w:val="28"/>
          <w:szCs w:val="28"/>
        </w:rPr>
      </w:r>
    </w:p>
    <w:p>
      <w:pPr>
        <w:ind w:firstLine="567"/>
        <w:jc w:val="both"/>
        <w:spacing w:after="0"/>
        <w:rPr>
          <w:rFonts w:ascii="Times New Roman" w:hAnsi="Times New Roman"/>
          <w:color w:val="000000" w:themeColor="text1"/>
          <w:sz w:val="28"/>
          <w:szCs w:val="28"/>
        </w:rPr>
      </w:pPr>
      <w:r>
        <w:rPr>
          <w:rFonts w:ascii="Symbol" w:hAnsi="Symbol" w:eastAsia="Symbol" w:cs="Symbol"/>
          <w:color w:val="000000" w:themeColor="text1"/>
          <w:sz w:val="28"/>
          <w:szCs w:val="28"/>
        </w:rPr>
        <w:t xml:space="preserve"></w:t>
      </w:r>
      <w:r>
        <w:rPr>
          <w:rFonts w:ascii="Times New Roman" w:hAnsi="Times New Roman"/>
          <w:color w:val="000000" w:themeColor="text1"/>
          <w:sz w:val="28"/>
          <w:szCs w:val="28"/>
        </w:rPr>
        <w:t xml:space="preserve"> повысить качество внутриведомственного </w:t>
      </w:r>
      <w:r>
        <w:rPr>
          <w:rFonts w:ascii="Times New Roman" w:hAnsi="Times New Roman"/>
          <w:color w:val="000000" w:themeColor="text1"/>
          <w:sz w:val="28"/>
          <w:szCs w:val="28"/>
        </w:rPr>
        <w:t xml:space="preserve">контроля профессионального уровня всех категорий должностных лиц Управления</w:t>
      </w:r>
      <w:r>
        <w:rPr>
          <w:rFonts w:ascii="Times New Roman" w:hAnsi="Times New Roman"/>
          <w:color w:val="000000" w:themeColor="text1"/>
          <w:sz w:val="28"/>
          <w:szCs w:val="28"/>
        </w:rPr>
        <w:t xml:space="preserve">;</w:t>
      </w:r>
      <w:r>
        <w:rPr>
          <w:rFonts w:ascii="Times New Roman" w:hAnsi="Times New Roman"/>
          <w:color w:val="000000" w:themeColor="text1"/>
          <w:sz w:val="28"/>
          <w:szCs w:val="28"/>
        </w:rPr>
      </w:r>
      <w:r>
        <w:rPr>
          <w:rFonts w:ascii="Times New Roman" w:hAnsi="Times New Roman"/>
          <w:color w:val="000000" w:themeColor="text1"/>
          <w:sz w:val="28"/>
          <w:szCs w:val="28"/>
        </w:rPr>
      </w:r>
    </w:p>
    <w:p>
      <w:pPr>
        <w:pStyle w:val="1227"/>
        <w:numPr>
          <w:ilvl w:val="0"/>
          <w:numId w:val="4"/>
        </w:numPr>
        <w:ind w:left="0" w:firstLine="567"/>
        <w:jc w:val="both"/>
        <w:spacing w:line="276" w:lineRule="auto"/>
        <w:rPr>
          <w:rFonts w:ascii="Times New Roman" w:hAnsi="Times New Roman"/>
          <w:color w:val="000000" w:themeColor="text1"/>
          <w:sz w:val="28"/>
          <w:szCs w:val="28"/>
          <w:lang w:val="ru-RU"/>
        </w:rPr>
      </w:pPr>
      <w:r>
        <w:rPr>
          <w:rFonts w:ascii="Times New Roman" w:hAnsi="Times New Roman"/>
          <w:color w:val="000000" w:themeColor="text1"/>
          <w:sz w:val="28"/>
          <w:szCs w:val="28"/>
          <w:lang w:val="ru-RU"/>
        </w:rPr>
        <w:t xml:space="preserve">продолжить  проведение совместных Дней правового просвещения со службой Уполномоченного и организаций общественного контроля на базе муниципальных образований, в том числе и в сельской местности.</w:t>
      </w:r>
      <w:r>
        <w:rPr>
          <w:rFonts w:ascii="Times New Roman" w:hAnsi="Times New Roman"/>
          <w:color w:val="000000" w:themeColor="text1"/>
          <w:sz w:val="28"/>
          <w:szCs w:val="28"/>
          <w:lang w:val="ru-RU"/>
        </w:rPr>
      </w:r>
      <w:r>
        <w:rPr>
          <w:rFonts w:ascii="Times New Roman" w:hAnsi="Times New Roman"/>
          <w:color w:val="000000" w:themeColor="text1"/>
          <w:sz w:val="28"/>
          <w:szCs w:val="28"/>
          <w:lang w:val="ru-RU"/>
        </w:rPr>
      </w:r>
    </w:p>
    <w:p>
      <w:pPr>
        <w:jc w:val="both"/>
        <w:rPr>
          <w:rFonts w:ascii="Times New Roman" w:hAnsi="Times New Roman"/>
          <w:b/>
          <w:bCs/>
          <w:i/>
          <w:sz w:val="28"/>
          <w:szCs w:val="28"/>
        </w:rPr>
      </w:pPr>
      <w:r>
        <w:rPr>
          <w:rFonts w:ascii="Times New Roman" w:hAnsi="Times New Roman"/>
          <w:b/>
          <w:bCs/>
          <w:i/>
          <w:sz w:val="28"/>
          <w:szCs w:val="28"/>
        </w:rPr>
      </w:r>
      <w:r>
        <w:rPr>
          <w:rFonts w:ascii="Times New Roman" w:hAnsi="Times New Roman"/>
          <w:b/>
          <w:bCs/>
          <w:i/>
          <w:sz w:val="28"/>
          <w:szCs w:val="28"/>
        </w:rPr>
      </w:r>
      <w:r>
        <w:rPr>
          <w:rFonts w:ascii="Times New Roman" w:hAnsi="Times New Roman"/>
          <w:b/>
          <w:bCs/>
          <w:i/>
          <w:sz w:val="28"/>
          <w:szCs w:val="28"/>
        </w:rPr>
      </w:r>
    </w:p>
    <w:p>
      <w:pPr>
        <w:pStyle w:val="1225"/>
        <w:jc w:val="center"/>
        <w:spacing w:before="0"/>
      </w:pPr>
      <w:r/>
      <w:bookmarkStart w:id="62" w:name="_Toc40"/>
      <w:r>
        <w:t xml:space="preserve">РАЗДЕЛ 14. МЕЖВЕДОМСТВЕННОЕ ВЗАИМОДЕЙСТВИЕ УПОЛНОМОЧЕННОГО ПО ВОПРОСАМ ЗАЩИТЫ ПРАВ И СВОБОД ЧЕЛОВЕКА И ГРАЖДАНИНА</w:t>
      </w:r>
      <w:bookmarkEnd w:id="62"/>
      <w:r/>
      <w:r/>
    </w:p>
    <w:p>
      <w:pPr>
        <w:spacing w:after="0"/>
      </w:pPr>
      <w:r/>
      <w:r/>
    </w:p>
    <w:p>
      <w:pPr>
        <w:ind w:firstLine="708"/>
        <w:jc w:val="both"/>
        <w:spacing w:after="0"/>
        <w:rPr>
          <w:rFonts w:ascii="Times New Roman" w:hAnsi="Times New Roman"/>
          <w:color w:val="000000"/>
          <w:sz w:val="28"/>
          <w:szCs w:val="28"/>
          <w:shd w:val="clear" w:color="auto" w:fill="ffffff"/>
        </w:rPr>
      </w:pPr>
      <w:r>
        <w:rPr>
          <w:rFonts w:ascii="Times New Roman" w:hAnsi="Times New Roman"/>
          <w:color w:val="000000"/>
          <w:sz w:val="28"/>
          <w:szCs w:val="28"/>
          <w:shd w:val="clear" w:color="auto" w:fill="ffffff"/>
        </w:rPr>
        <w:t xml:space="preserve">В соответствии с Федеральным законом от 18.03.2020 г. №48 ФЗ                         </w:t>
      </w:r>
      <w:r>
        <w:rPr>
          <w:rFonts w:ascii="Times New Roman" w:hAnsi="Times New Roman"/>
          <w:sz w:val="28"/>
          <w:szCs w:val="28"/>
        </w:rPr>
        <w:t xml:space="preserve">«Об уполномоченных по правам человека в субъектах Российской Федерации» </w:t>
      </w:r>
      <w:r>
        <w:rPr>
          <w:rFonts w:ascii="Times New Roman" w:hAnsi="Times New Roman"/>
          <w:color w:val="000000"/>
          <w:sz w:val="28"/>
          <w:szCs w:val="28"/>
          <w:shd w:val="clear" w:color="auto" w:fill="ffffff"/>
        </w:rPr>
        <w:t xml:space="preserve">Уполномоченный по правам человека в субъекте Российской Федерации в целях осуществления возложенных на него полномочий взаимодействует с государственными органами, муниципальными органами, общественными </w:t>
      </w:r>
      <w:r>
        <w:rPr>
          <w:rFonts w:ascii="Times New Roman" w:hAnsi="Times New Roman"/>
          <w:color w:val="000000"/>
          <w:sz w:val="28"/>
          <w:szCs w:val="28"/>
          <w:shd w:val="clear" w:color="auto" w:fill="ffffff"/>
        </w:rPr>
        <w:t xml:space="preserve">объединениями и организациями, осуществляющими защиту прав и свобод человека и гражданина.</w:t>
      </w:r>
      <w:r>
        <w:rPr>
          <w:rFonts w:ascii="Times New Roman" w:hAnsi="Times New Roman"/>
          <w:color w:val="000000"/>
          <w:sz w:val="28"/>
          <w:szCs w:val="28"/>
          <w:shd w:val="clear" w:color="auto" w:fill="ffffff"/>
        </w:rPr>
      </w:r>
      <w:r>
        <w:rPr>
          <w:rFonts w:ascii="Times New Roman" w:hAnsi="Times New Roman"/>
          <w:color w:val="000000"/>
          <w:sz w:val="28"/>
          <w:szCs w:val="28"/>
          <w:shd w:val="clear" w:color="auto" w:fill="ffffff"/>
        </w:rPr>
      </w:r>
    </w:p>
    <w:p>
      <w:pPr>
        <w:ind w:firstLine="708"/>
        <w:jc w:val="both"/>
        <w:spacing w:after="0"/>
        <w:rPr>
          <w:rFonts w:ascii="Times New Roman" w:hAnsi="Times New Roman"/>
          <w:sz w:val="28"/>
          <w:szCs w:val="28"/>
        </w:rPr>
      </w:pPr>
      <w:r>
        <w:rPr>
          <w:rFonts w:ascii="Times New Roman" w:hAnsi="Times New Roman"/>
          <w:sz w:val="28"/>
          <w:szCs w:val="28"/>
        </w:rPr>
        <w:t xml:space="preserve">Межведомств</w:t>
      </w:r>
      <w:r>
        <w:rPr>
          <w:rFonts w:ascii="Times New Roman" w:hAnsi="Times New Roman"/>
          <w:sz w:val="28"/>
          <w:szCs w:val="28"/>
        </w:rPr>
        <w:t xml:space="preserve">енное взаимодействие является одним из инструментов защиты прав человека. Оно позволяет объединить усилия различных органов и организаций для решения правозащитных проблем, например, восстановления нарушенных прав, их соблюдения и предупреждения нарушений.</w:t>
      </w:r>
      <w:r>
        <w:rPr>
          <w:rFonts w:ascii="Times New Roman" w:hAnsi="Times New Roman"/>
          <w:sz w:val="28"/>
          <w:szCs w:val="28"/>
        </w:rPr>
      </w:r>
      <w:r>
        <w:rPr>
          <w:rFonts w:ascii="Times New Roman" w:hAnsi="Times New Roman"/>
          <w:sz w:val="28"/>
          <w:szCs w:val="28"/>
        </w:rPr>
      </w:r>
    </w:p>
    <w:p>
      <w:pPr>
        <w:ind w:firstLine="708"/>
        <w:jc w:val="both"/>
        <w:spacing w:after="0"/>
        <w:rPr>
          <w:rFonts w:ascii="Times New Roman" w:hAnsi="Times New Roman"/>
          <w:sz w:val="28"/>
          <w:szCs w:val="28"/>
        </w:rPr>
      </w:pPr>
      <w:r>
        <w:rPr>
          <w:rFonts w:ascii="Times New Roman" w:hAnsi="Times New Roman"/>
          <w:sz w:val="28"/>
          <w:szCs w:val="28"/>
        </w:rPr>
        <w:t xml:space="preserve">Формы межведомственного взаимодействия в сфере защиты прав человека, которые применяются в деятельности Уполномоченного:</w:t>
      </w:r>
      <w:r>
        <w:rPr>
          <w:rFonts w:ascii="Times New Roman" w:hAnsi="Times New Roman"/>
          <w:sz w:val="28"/>
          <w:szCs w:val="28"/>
        </w:rPr>
      </w:r>
      <w:r>
        <w:rPr>
          <w:rFonts w:ascii="Times New Roman" w:hAnsi="Times New Roman"/>
          <w:sz w:val="28"/>
          <w:szCs w:val="28"/>
        </w:rPr>
      </w:r>
    </w:p>
    <w:p>
      <w:pPr>
        <w:pStyle w:val="1267"/>
        <w:numPr>
          <w:ilvl w:val="0"/>
          <w:numId w:val="77"/>
        </w:numPr>
        <w:ind w:left="0" w:firstLine="709"/>
        <w:jc w:val="both"/>
        <w:spacing w:before="0" w:beforeAutospacing="0" w:after="0" w:afterAutospacing="0" w:line="276" w:lineRule="auto"/>
      </w:pPr>
      <w:r>
        <w:rPr>
          <w:sz w:val="28"/>
          <w:szCs w:val="28"/>
        </w:rPr>
        <w:t xml:space="preserve">заключение соглашений о сотрудничестве с государственными органами, общественными организациями;</w:t>
      </w:r>
      <w:r/>
    </w:p>
    <w:p>
      <w:pPr>
        <w:pStyle w:val="1267"/>
        <w:numPr>
          <w:ilvl w:val="0"/>
          <w:numId w:val="77"/>
        </w:numPr>
        <w:ind w:left="0" w:firstLine="709"/>
        <w:jc w:val="both"/>
        <w:spacing w:before="0" w:beforeAutospacing="0" w:after="0" w:afterAutospacing="0" w:line="276" w:lineRule="auto"/>
      </w:pPr>
      <w:r>
        <w:rPr>
          <w:sz w:val="28"/>
          <w:szCs w:val="28"/>
        </w:rPr>
        <w:t xml:space="preserve">совместные приемы граждан;</w:t>
      </w:r>
      <w:r/>
    </w:p>
    <w:p>
      <w:pPr>
        <w:pStyle w:val="1267"/>
        <w:numPr>
          <w:ilvl w:val="0"/>
          <w:numId w:val="77"/>
        </w:numPr>
        <w:ind w:left="0" w:firstLine="709"/>
        <w:jc w:val="both"/>
        <w:spacing w:before="0" w:beforeAutospacing="0" w:after="0" w:afterAutospacing="0" w:line="276" w:lineRule="auto"/>
      </w:pPr>
      <w:r>
        <w:rPr>
          <w:sz w:val="28"/>
          <w:szCs w:val="28"/>
        </w:rPr>
        <w:t xml:space="preserve">направление предложений, рекомендаций и заключений в адрес государственных органов по результатам мониторинга и рассмотрения обращений граждан;</w:t>
      </w:r>
      <w:r/>
    </w:p>
    <w:p>
      <w:pPr>
        <w:pStyle w:val="1267"/>
        <w:numPr>
          <w:ilvl w:val="0"/>
          <w:numId w:val="77"/>
        </w:numPr>
        <w:ind w:left="0" w:firstLine="709"/>
        <w:jc w:val="both"/>
        <w:spacing w:before="0" w:beforeAutospacing="0" w:after="0" w:afterAutospacing="0" w:line="276" w:lineRule="auto"/>
      </w:pPr>
      <w:r>
        <w:rPr>
          <w:sz w:val="28"/>
          <w:szCs w:val="28"/>
        </w:rPr>
        <w:t xml:space="preserve">совместные </w:t>
      </w:r>
      <w:r>
        <w:rPr>
          <w:sz w:val="28"/>
          <w:szCs w:val="28"/>
        </w:rPr>
        <w:t xml:space="preserve">правопросветительские</w:t>
      </w:r>
      <w:r>
        <w:rPr>
          <w:sz w:val="28"/>
          <w:szCs w:val="28"/>
        </w:rPr>
        <w:t xml:space="preserve"> проекты и мероприятия;</w:t>
      </w:r>
      <w:r/>
    </w:p>
    <w:p>
      <w:pPr>
        <w:pStyle w:val="1227"/>
        <w:numPr>
          <w:ilvl w:val="0"/>
          <w:numId w:val="77"/>
        </w:numPr>
        <w:ind w:left="0" w:firstLine="709"/>
        <w:jc w:val="both"/>
        <w:spacing w:line="276" w:lineRule="auto"/>
        <w:rPr>
          <w:rFonts w:ascii="Times New Roman" w:hAnsi="Times New Roman"/>
          <w:sz w:val="28"/>
          <w:szCs w:val="28"/>
          <w:lang w:val="ru-RU"/>
        </w:rPr>
      </w:pPr>
      <w:r>
        <w:rPr>
          <w:rFonts w:ascii="Times New Roman" w:hAnsi="Times New Roman"/>
          <w:sz w:val="28"/>
          <w:szCs w:val="28"/>
          <w:lang w:val="ru-RU"/>
        </w:rPr>
        <w:t xml:space="preserve">участие в мероприятиях</w:t>
      </w:r>
      <w:r>
        <w:rPr>
          <w:rFonts w:ascii="Times New Roman" w:hAnsi="Times New Roman"/>
          <w:sz w:val="28"/>
          <w:szCs w:val="28"/>
        </w:rPr>
        <w:t xml:space="preserve"> </w:t>
      </w:r>
      <w:r>
        <w:rPr>
          <w:rFonts w:ascii="Times New Roman" w:hAnsi="Times New Roman"/>
          <w:sz w:val="28"/>
          <w:szCs w:val="28"/>
          <w:lang w:val="ru-RU"/>
        </w:rPr>
        <w:t xml:space="preserve">и межведомственных рабочих группах.</w:t>
      </w:r>
      <w:r>
        <w:rPr>
          <w:rFonts w:ascii="Times New Roman" w:hAnsi="Times New Roman"/>
          <w:sz w:val="28"/>
          <w:szCs w:val="28"/>
          <w:lang w:val="ru-RU"/>
        </w:rPr>
      </w:r>
      <w:r>
        <w:rPr>
          <w:rFonts w:ascii="Times New Roman" w:hAnsi="Times New Roman"/>
          <w:sz w:val="28"/>
          <w:szCs w:val="28"/>
          <w:lang w:val="ru-RU"/>
        </w:rPr>
      </w:r>
    </w:p>
    <w:p>
      <w:pPr>
        <w:pStyle w:val="1267"/>
        <w:ind w:firstLine="709"/>
        <w:jc w:val="both"/>
        <w:spacing w:before="0" w:beforeAutospacing="0" w:after="0" w:afterAutospacing="0" w:line="276" w:lineRule="auto"/>
        <w:rPr>
          <w:color w:val="000000"/>
          <w:sz w:val="28"/>
          <w:szCs w:val="28"/>
        </w:rPr>
      </w:pPr>
      <w:r>
        <w:rPr>
          <w:color w:val="000000"/>
          <w:sz w:val="28"/>
          <w:szCs w:val="28"/>
        </w:rPr>
        <w:t xml:space="preserve">Остановимся подробнее на каждом из направлений межведомственного взаимодействия. </w:t>
      </w:r>
      <w:r>
        <w:rPr>
          <w:color w:val="000000"/>
          <w:sz w:val="28"/>
          <w:szCs w:val="28"/>
        </w:rPr>
      </w:r>
      <w:r>
        <w:rPr>
          <w:color w:val="000000"/>
          <w:sz w:val="28"/>
          <w:szCs w:val="28"/>
        </w:rPr>
      </w:r>
    </w:p>
    <w:p>
      <w:pPr>
        <w:pStyle w:val="1267"/>
        <w:ind w:firstLine="709"/>
        <w:jc w:val="both"/>
        <w:spacing w:before="0" w:beforeAutospacing="0" w:after="0" w:afterAutospacing="0" w:line="276" w:lineRule="auto"/>
      </w:pPr>
      <w:r>
        <w:rPr>
          <w:color w:val="000000"/>
          <w:sz w:val="28"/>
          <w:szCs w:val="28"/>
        </w:rPr>
        <w:t xml:space="preserve">Всего в настоящее время 47 действующих соглашений о сотрудничестве. И эта цифра растет с каждым годом.  В 2025 году было заключено 4 соглашения: с региональной Ассоциацией ветеранов СВО, </w:t>
      </w:r>
      <w:r>
        <w:rPr>
          <w:color w:val="000000"/>
          <w:sz w:val="28"/>
          <w:szCs w:val="28"/>
          <w:shd w:val="clear" w:color="auto" w:fill="ffffff"/>
        </w:rPr>
        <w:t xml:space="preserve">Ивановским региональным центром медиации и переговоров, Следственным  управлением СК РФ по Ивановской области, Ивановским домом национальностей.</w:t>
      </w:r>
      <w:r/>
    </w:p>
    <w:p>
      <w:pPr>
        <w:ind w:firstLine="708"/>
        <w:jc w:val="both"/>
        <w:spacing w:after="0"/>
        <w:rPr>
          <w:rFonts w:ascii="Times New Roman" w:hAnsi="Times New Roman"/>
          <w:sz w:val="28"/>
          <w:szCs w:val="28"/>
        </w:rPr>
      </w:pPr>
      <w:r>
        <w:rPr>
          <w:rFonts w:ascii="Times New Roman" w:hAnsi="Times New Roman"/>
          <w:sz w:val="28"/>
          <w:szCs w:val="28"/>
        </w:rPr>
        <w:t xml:space="preserve">В отчетном периоде продолжилась практика проведения совместных приемов граждан Уполномоченным с представителями надзорных служб и органов власти. Так, были организованы приемы с руководством областной прокуратуры, УФССП по Ивановской области, ГИБДД, </w:t>
      </w:r>
      <w:r>
        <w:rPr>
          <w:rFonts w:ascii="Times New Roman" w:hAnsi="Times New Roman" w:eastAsia="Times New Roman"/>
          <w:color w:val="000000"/>
          <w:sz w:val="28"/>
          <w:szCs w:val="28"/>
        </w:rPr>
        <w:t xml:space="preserve">Верхневолжской межрегиональной территориальной государственной инспекцией труда.</w:t>
      </w:r>
      <w:r>
        <w:rPr>
          <w:rFonts w:ascii="Times New Roman" w:hAnsi="Times New Roman"/>
          <w:sz w:val="28"/>
          <w:szCs w:val="28"/>
        </w:rPr>
        <w:t xml:space="preserve"> Также представител</w:t>
      </w:r>
      <w:r>
        <w:rPr>
          <w:rFonts w:ascii="Times New Roman" w:hAnsi="Times New Roman"/>
          <w:sz w:val="28"/>
          <w:szCs w:val="28"/>
        </w:rPr>
        <w:t xml:space="preserve">и органов власти участвовали в выездных приемах граждан в рамках проекта Уполномоченного «Линия защиты». В течение 2025 г. Уполномоченным совместно с социальными партнерами и областными депутатами были организованы и проведены выездные дни в Родниковском, </w:t>
      </w:r>
      <w:r>
        <w:rPr>
          <w:rFonts w:ascii="Times New Roman" w:hAnsi="Times New Roman"/>
          <w:sz w:val="28"/>
          <w:szCs w:val="28"/>
        </w:rPr>
        <w:t xml:space="preserve">Тейковском</w:t>
      </w:r>
      <w:r>
        <w:rPr>
          <w:rFonts w:ascii="Times New Roman" w:hAnsi="Times New Roman"/>
          <w:sz w:val="28"/>
          <w:szCs w:val="28"/>
        </w:rPr>
        <w:t xml:space="preserve">, </w:t>
      </w:r>
      <w:r>
        <w:rPr>
          <w:rFonts w:ascii="Times New Roman" w:hAnsi="Times New Roman"/>
          <w:sz w:val="28"/>
          <w:szCs w:val="28"/>
        </w:rPr>
        <w:t xml:space="preserve">Юрьевецком</w:t>
      </w:r>
      <w:r>
        <w:rPr>
          <w:rFonts w:ascii="Times New Roman" w:hAnsi="Times New Roman"/>
          <w:sz w:val="28"/>
          <w:szCs w:val="28"/>
        </w:rPr>
        <w:t xml:space="preserve">, </w:t>
      </w:r>
      <w:r>
        <w:rPr>
          <w:rFonts w:ascii="Times New Roman" w:hAnsi="Times New Roman"/>
          <w:sz w:val="28"/>
          <w:szCs w:val="28"/>
        </w:rPr>
        <w:t xml:space="preserve">Пестяковском</w:t>
      </w:r>
      <w:r>
        <w:rPr>
          <w:rFonts w:ascii="Times New Roman" w:hAnsi="Times New Roman"/>
          <w:sz w:val="28"/>
          <w:szCs w:val="28"/>
        </w:rPr>
        <w:t xml:space="preserve">, </w:t>
      </w:r>
      <w:r>
        <w:rPr>
          <w:rFonts w:ascii="Times New Roman" w:hAnsi="Times New Roman"/>
          <w:sz w:val="28"/>
          <w:szCs w:val="28"/>
        </w:rPr>
        <w:t xml:space="preserve">Гаврилово-Посадском</w:t>
      </w:r>
      <w:r>
        <w:rPr>
          <w:rFonts w:ascii="Times New Roman" w:hAnsi="Times New Roman"/>
          <w:sz w:val="28"/>
          <w:szCs w:val="28"/>
        </w:rPr>
        <w:t xml:space="preserve"> районах. По приглашению руководства муниципальных образований Уполномоченный принимала участие в Днях районов, где общалась с местными жителями, интересовалась, что волнует их в части </w:t>
      </w:r>
      <w:r>
        <w:rPr>
          <w:rFonts w:ascii="Times New Roman" w:hAnsi="Times New Roman"/>
          <w:sz w:val="28"/>
          <w:szCs w:val="28"/>
        </w:rPr>
        <w:t xml:space="preserve">соблюдения прав человека. Отдельные вопросы были взяты правозащитником в работу для дальнейшего разбирательства. </w:t>
      </w:r>
      <w:r>
        <w:rPr>
          <w:rFonts w:ascii="Times New Roman" w:hAnsi="Times New Roman"/>
          <w:sz w:val="28"/>
          <w:szCs w:val="28"/>
        </w:rPr>
      </w:r>
      <w:r>
        <w:rPr>
          <w:rFonts w:ascii="Times New Roman" w:hAnsi="Times New Roman"/>
          <w:sz w:val="28"/>
          <w:szCs w:val="28"/>
        </w:rPr>
      </w:r>
    </w:p>
    <w:p>
      <w:pPr>
        <w:pStyle w:val="1227"/>
        <w:ind w:left="0" w:firstLine="709"/>
        <w:jc w:val="both"/>
        <w:rPr>
          <w:rFonts w:ascii="Times New Roman" w:hAnsi="Times New Roman"/>
          <w:sz w:val="28"/>
          <w:szCs w:val="28"/>
          <w:lang w:val="ru-RU"/>
        </w:rPr>
      </w:pPr>
      <w:r>
        <w:rPr>
          <w:rFonts w:ascii="Times New Roman" w:hAnsi="Times New Roman"/>
          <w:sz w:val="28"/>
          <w:szCs w:val="28"/>
          <w:lang w:val="ru-RU"/>
        </w:rPr>
        <w:t xml:space="preserve">На рисунках ниже приведена статистика по межведомственному взаимодействию в 2025 году. </w:t>
      </w:r>
      <w:r>
        <w:rPr>
          <w:rFonts w:ascii="Times New Roman" w:hAnsi="Times New Roman"/>
          <w:sz w:val="28"/>
          <w:szCs w:val="28"/>
          <w:lang w:val="ru-RU"/>
        </w:rPr>
      </w:r>
      <w:r>
        <w:rPr>
          <w:rFonts w:ascii="Times New Roman" w:hAnsi="Times New Roman"/>
          <w:sz w:val="28"/>
          <w:szCs w:val="28"/>
          <w:lang w:val="ru-RU"/>
        </w:rPr>
      </w:r>
    </w:p>
    <w:p>
      <w:pPr>
        <w:jc w:val="left"/>
        <w:spacing w:after="0"/>
        <w:rPr>
          <w:rFonts w:ascii="Times New Roman" w:hAnsi="Times New Roman"/>
          <w:b/>
          <w:bCs/>
          <w:sz w:val="24"/>
          <w:szCs w:val="24"/>
          <w:highlight w:val="none"/>
        </w:rPr>
      </w:pPr>
      <w:r>
        <w:rPr>
          <w:rFonts w:ascii="Times New Roman" w:hAnsi="Times New Roman"/>
          <w:b/>
          <w:sz w:val="24"/>
          <w:szCs w:val="24"/>
          <w:highlight w:val="none"/>
        </w:rPr>
      </w:r>
      <w:r>
        <w:rPr>
          <w:rFonts w:ascii="Times New Roman" w:hAnsi="Times New Roman"/>
          <w:b/>
          <w:bCs/>
          <w:sz w:val="24"/>
          <w:szCs w:val="24"/>
          <w:highlight w:val="none"/>
        </w:rPr>
      </w:r>
      <w:r>
        <w:rPr>
          <w:rFonts w:ascii="Times New Roman" w:hAnsi="Times New Roman"/>
          <w:b/>
          <w:bCs/>
          <w:sz w:val="24"/>
          <w:szCs w:val="24"/>
          <w:highlight w:val="none"/>
        </w:rPr>
      </w:r>
    </w:p>
    <w:p>
      <w:pPr>
        <w:jc w:val="right"/>
        <w:spacing w:after="0"/>
        <w:rPr>
          <w:rFonts w:ascii="Times New Roman" w:hAnsi="Times New Roman"/>
          <w:b/>
          <w:bCs/>
          <w:sz w:val="24"/>
          <w:szCs w:val="24"/>
          <w:highlight w:val="none"/>
        </w:rPr>
      </w:pPr>
      <w:r>
        <w:rPr>
          <w:rFonts w:ascii="Times New Roman" w:hAnsi="Times New Roman"/>
          <w:b/>
          <w:sz w:val="24"/>
          <w:szCs w:val="24"/>
        </w:rPr>
        <w:t xml:space="preserve">Рисунок 14.1. Работа Уполномоченного в цифрах</w:t>
      </w:r>
      <w:r>
        <w:rPr>
          <w:rFonts w:ascii="Times New Roman" w:hAnsi="Times New Roman"/>
          <w:b/>
          <w:bCs/>
          <w:sz w:val="24"/>
          <w:szCs w:val="24"/>
          <w:highlight w:val="none"/>
        </w:rPr>
      </w:r>
      <w:r>
        <w:rPr>
          <w:rFonts w:ascii="Times New Roman" w:hAnsi="Times New Roman"/>
          <w:b/>
          <w:bCs/>
          <w:sz w:val="24"/>
          <w:szCs w:val="24"/>
          <w:highlight w:val="none"/>
        </w:rPr>
      </w:r>
    </w:p>
    <w:p>
      <w:pPr>
        <w:jc w:val="both"/>
        <w:spacing w:after="0"/>
        <w:rPr>
          <w:rFonts w:ascii="Times New Roman" w:hAnsi="Times New Roman"/>
          <w:sz w:val="28"/>
          <w:szCs w:val="28"/>
        </w:rPr>
      </w:pPr>
      <w:r>
        <w:rPr>
          <w:rFonts w:ascii="Times New Roman" w:hAnsi="Times New Roman"/>
          <w:sz w:val="28"/>
          <w:szCs w:val="28"/>
          <w:lang w:eastAsia="ru-RU"/>
        </w:rPr>
      </w:r>
      <w:r>
        <w:rPr>
          <w:rFonts w:ascii="Times New Roman" w:hAnsi="Times New Roman"/>
          <w:sz w:val="28"/>
          <w:szCs w:val="28"/>
          <w:lang w:eastAsia="ru-RU"/>
        </w:rPr>
        <mc:AlternateContent>
          <mc:Choice Requires="wpg">
            <w:drawing>
              <wp:inline xmlns:wp="http://schemas.openxmlformats.org/drawingml/2006/wordprocessingDrawing" distT="0" distB="0" distL="0" distR="0">
                <wp:extent cx="5934075" cy="2867025"/>
                <wp:effectExtent l="0" t="0" r="0" b="0"/>
                <wp:docPr id="25" name="_x0000_i1028"/>
                <wp:cNvGraphicFramePr/>
                <a:graphic xmlns:a="http://schemas.openxmlformats.org/drawingml/2006/main">
                  <a:graphicData uri="http://schemas.openxmlformats.org/drawingml/2006/picture">
                    <pic:pic xmlns:pic="http://schemas.openxmlformats.org/drawingml/2006/picture">
                      <pic:nvPicPr>
                        <pic:cNvPr id="0" name=""/>
                        <pic:cNvPicPr/>
                        <pic:nvPr/>
                      </pic:nvPicPr>
                      <pic:blipFill>
                        <a:blip r:embed="rId39"/>
                        <a:stretch/>
                      </pic:blipFill>
                      <pic:spPr bwMode="auto">
                        <a:xfrm>
                          <a:off x="0" y="0"/>
                          <a:ext cx="5934075" cy="2867025"/>
                        </a:xfrm>
                        <a:prstGeom prst="rect">
                          <a:avLst/>
                        </a:prstGeom>
                        <a:noFill/>
                        <a:ln>
                          <a:no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4" o:spid="_x0000_s14" type="#_x0000_t75" style="width:467.25pt;height:225.75pt;mso-wrap-distance-left:0.00pt;mso-wrap-distance-top:0.00pt;mso-wrap-distance-right:0.00pt;mso-wrap-distance-bottom:0.00pt;" stroked="f">
                <v:path textboxrect="0,0,0,0"/>
                <v:imagedata r:id="rId39" o:title=""/>
              </v:shape>
            </w:pict>
          </mc:Fallback>
        </mc:AlternateContent>
      </w:r>
      <w:r>
        <w:rPr>
          <w:rFonts w:ascii="Times New Roman" w:hAnsi="Times New Roman"/>
          <w:sz w:val="28"/>
          <w:szCs w:val="28"/>
        </w:rPr>
      </w:r>
      <w:r>
        <w:rPr>
          <w:rFonts w:ascii="Times New Roman" w:hAnsi="Times New Roman"/>
          <w:sz w:val="28"/>
          <w:szCs w:val="28"/>
        </w:rPr>
      </w:r>
    </w:p>
    <w:p>
      <w:pPr>
        <w:ind w:left="708"/>
        <w:jc w:val="right"/>
        <w:spacing w:after="0"/>
        <w:rPr>
          <w:rFonts w:ascii="Times New Roman" w:hAnsi="Times New Roman"/>
          <w:b/>
          <w:bCs/>
          <w:sz w:val="24"/>
          <w:szCs w:val="24"/>
        </w:rPr>
      </w:pPr>
      <w:r>
        <w:rPr>
          <w:rFonts w:ascii="Times New Roman" w:hAnsi="Times New Roman"/>
          <w:b/>
          <w:sz w:val="24"/>
          <w:szCs w:val="24"/>
          <w:highlight w:val="none"/>
        </w:rPr>
      </w:r>
      <w:r>
        <w:rPr>
          <w:rFonts w:ascii="Times New Roman" w:hAnsi="Times New Roman"/>
          <w:b/>
          <w:sz w:val="24"/>
          <w:szCs w:val="24"/>
          <w:highlight w:val="none"/>
        </w:rPr>
      </w:r>
    </w:p>
    <w:p>
      <w:pPr>
        <w:ind w:left="708"/>
        <w:jc w:val="right"/>
        <w:spacing w:after="0"/>
        <w:rPr>
          <w:rFonts w:ascii="Times New Roman" w:hAnsi="Times New Roman"/>
          <w:b/>
          <w:bCs/>
          <w:sz w:val="24"/>
          <w:szCs w:val="24"/>
          <w:highlight w:val="none"/>
        </w:rPr>
      </w:pPr>
      <w:r>
        <w:rPr>
          <w:rFonts w:ascii="Times New Roman" w:hAnsi="Times New Roman"/>
          <w:b/>
          <w:sz w:val="24"/>
          <w:szCs w:val="24"/>
          <w:highlight w:val="none"/>
        </w:rPr>
      </w:r>
      <w:r>
        <w:rPr>
          <w:rFonts w:ascii="Times New Roman" w:hAnsi="Times New Roman"/>
          <w:b/>
          <w:sz w:val="24"/>
          <w:szCs w:val="24"/>
          <w:highlight w:val="none"/>
        </w:rPr>
      </w:r>
    </w:p>
    <w:p>
      <w:pPr>
        <w:ind w:left="708"/>
        <w:jc w:val="right"/>
        <w:spacing w:after="0"/>
        <w:rPr>
          <w:rFonts w:ascii="Times New Roman" w:hAnsi="Times New Roman"/>
          <w:b/>
          <w:bCs/>
          <w:sz w:val="24"/>
          <w:szCs w:val="24"/>
          <w:highlight w:val="none"/>
        </w:rPr>
      </w:pPr>
      <w:r>
        <w:rPr>
          <w:rFonts w:ascii="Times New Roman" w:hAnsi="Times New Roman"/>
          <w:b/>
          <w:sz w:val="24"/>
          <w:szCs w:val="24"/>
          <w:highlight w:val="none"/>
        </w:rPr>
      </w:r>
      <w:r>
        <w:rPr>
          <w:rFonts w:ascii="Times New Roman" w:hAnsi="Times New Roman"/>
          <w:b/>
          <w:sz w:val="24"/>
          <w:szCs w:val="24"/>
          <w:highlight w:val="none"/>
        </w:rPr>
      </w:r>
    </w:p>
    <w:p>
      <w:pPr>
        <w:ind w:left="708"/>
        <w:jc w:val="right"/>
        <w:spacing w:after="0"/>
        <w:rPr>
          <w:rFonts w:ascii="Times New Roman" w:hAnsi="Times New Roman"/>
          <w:b/>
          <w:bCs/>
          <w:sz w:val="24"/>
          <w:szCs w:val="24"/>
          <w:highlight w:val="none"/>
        </w:rPr>
      </w:pPr>
      <w:r>
        <w:rPr>
          <w:rFonts w:ascii="Times New Roman" w:hAnsi="Times New Roman"/>
          <w:b/>
          <w:sz w:val="24"/>
          <w:szCs w:val="24"/>
          <w:highlight w:val="none"/>
        </w:rPr>
      </w:r>
      <w:r>
        <w:rPr>
          <w:rFonts w:ascii="Times New Roman" w:hAnsi="Times New Roman"/>
          <w:b/>
          <w:sz w:val="24"/>
          <w:szCs w:val="24"/>
          <w:highlight w:val="none"/>
        </w:rPr>
      </w:r>
    </w:p>
    <w:p>
      <w:pPr>
        <w:ind w:left="708"/>
        <w:jc w:val="right"/>
        <w:spacing w:after="0"/>
        <w:rPr>
          <w:rFonts w:ascii="Times New Roman" w:hAnsi="Times New Roman"/>
          <w:b/>
          <w:bCs/>
          <w:sz w:val="24"/>
          <w:szCs w:val="24"/>
          <w:highlight w:val="none"/>
        </w:rPr>
      </w:pPr>
      <w:r>
        <w:rPr>
          <w:rFonts w:ascii="Times New Roman" w:hAnsi="Times New Roman"/>
          <w:b/>
          <w:sz w:val="24"/>
          <w:szCs w:val="24"/>
          <w:highlight w:val="none"/>
        </w:rPr>
      </w:r>
      <w:r>
        <w:rPr>
          <w:rFonts w:ascii="Times New Roman" w:hAnsi="Times New Roman"/>
          <w:b/>
          <w:sz w:val="24"/>
          <w:szCs w:val="24"/>
          <w:highlight w:val="none"/>
        </w:rPr>
      </w:r>
    </w:p>
    <w:p>
      <w:pPr>
        <w:ind w:left="708"/>
        <w:jc w:val="right"/>
        <w:spacing w:after="0"/>
        <w:rPr>
          <w:rFonts w:ascii="Times New Roman" w:hAnsi="Times New Roman"/>
          <w:b/>
          <w:bCs/>
          <w:sz w:val="24"/>
          <w:szCs w:val="24"/>
          <w:highlight w:val="none"/>
        </w:rPr>
      </w:pPr>
      <w:r>
        <w:rPr>
          <w:rFonts w:ascii="Times New Roman" w:hAnsi="Times New Roman"/>
          <w:b/>
          <w:sz w:val="24"/>
          <w:szCs w:val="24"/>
          <w:highlight w:val="none"/>
        </w:rPr>
      </w:r>
      <w:r>
        <w:rPr>
          <w:rFonts w:ascii="Times New Roman" w:hAnsi="Times New Roman"/>
          <w:b/>
          <w:sz w:val="24"/>
          <w:szCs w:val="24"/>
          <w:highlight w:val="none"/>
        </w:rPr>
      </w:r>
    </w:p>
    <w:p>
      <w:pPr>
        <w:ind w:left="708"/>
        <w:jc w:val="right"/>
        <w:spacing w:after="0"/>
        <w:rPr>
          <w:rFonts w:ascii="Times New Roman" w:hAnsi="Times New Roman"/>
          <w:b/>
          <w:bCs/>
          <w:sz w:val="24"/>
          <w:szCs w:val="24"/>
          <w:highlight w:val="none"/>
        </w:rPr>
      </w:pPr>
      <w:r>
        <w:rPr>
          <w:rFonts w:ascii="Times New Roman" w:hAnsi="Times New Roman"/>
          <w:b/>
          <w:sz w:val="24"/>
          <w:szCs w:val="24"/>
          <w:highlight w:val="none"/>
        </w:rPr>
      </w:r>
      <w:r>
        <w:rPr>
          <w:rFonts w:ascii="Times New Roman" w:hAnsi="Times New Roman"/>
          <w:b/>
          <w:sz w:val="24"/>
          <w:szCs w:val="24"/>
          <w:highlight w:val="none"/>
        </w:rPr>
      </w:r>
    </w:p>
    <w:p>
      <w:pPr>
        <w:ind w:left="708"/>
        <w:jc w:val="right"/>
        <w:spacing w:after="0"/>
        <w:rPr>
          <w:rFonts w:ascii="Times New Roman" w:hAnsi="Times New Roman"/>
          <w:b/>
          <w:bCs/>
          <w:sz w:val="24"/>
          <w:szCs w:val="24"/>
          <w:highlight w:val="none"/>
        </w:rPr>
      </w:pPr>
      <w:r>
        <w:rPr>
          <w:rFonts w:ascii="Times New Roman" w:hAnsi="Times New Roman"/>
          <w:b/>
          <w:sz w:val="24"/>
          <w:szCs w:val="24"/>
        </w:rPr>
        <w:t xml:space="preserve">Рисунок 14.2. Основные </w:t>
      </w:r>
      <w:r>
        <w:rPr>
          <w:rFonts w:ascii="Times New Roman" w:hAnsi="Times New Roman"/>
          <w:b/>
          <w:sz w:val="24"/>
          <w:szCs w:val="24"/>
        </w:rPr>
        <w:t xml:space="preserve">правопросветительские</w:t>
      </w:r>
      <w:r>
        <w:rPr>
          <w:rFonts w:ascii="Times New Roman" w:hAnsi="Times New Roman"/>
          <w:b/>
          <w:sz w:val="24"/>
          <w:szCs w:val="24"/>
        </w:rPr>
        <w:t xml:space="preserve"> мероприятия</w:t>
      </w:r>
      <w:r>
        <w:rPr>
          <w:rFonts w:ascii="Times New Roman" w:hAnsi="Times New Roman"/>
          <w:b/>
          <w:bCs/>
          <w:sz w:val="24"/>
          <w:szCs w:val="24"/>
        </w:rPr>
      </w:r>
      <w:r>
        <w:rPr>
          <w:rFonts w:ascii="Times New Roman" w:hAnsi="Times New Roman"/>
          <w:b/>
          <w:bCs/>
          <w:sz w:val="24"/>
          <w:szCs w:val="24"/>
          <w:highlight w:val="none"/>
        </w:rPr>
      </w:r>
    </w:p>
    <w:p>
      <w:pPr>
        <w:jc w:val="both"/>
        <w:spacing w:after="0"/>
        <w:rPr>
          <w:rFonts w:ascii="Times New Roman" w:hAnsi="Times New Roman"/>
          <w:sz w:val="28"/>
          <w:szCs w:val="28"/>
        </w:rPr>
      </w:pPr>
      <w:r>
        <w:rPr>
          <w:rFonts w:ascii="Times New Roman" w:hAnsi="Times New Roman"/>
          <w:sz w:val="28"/>
          <w:szCs w:val="28"/>
          <w:lang w:eastAsia="ru-RU"/>
        </w:rPr>
      </w:r>
      <w:r>
        <w:rPr>
          <w:rFonts w:ascii="Times New Roman" w:hAnsi="Times New Roman"/>
          <w:sz w:val="28"/>
          <w:szCs w:val="28"/>
          <w:lang w:eastAsia="ru-RU"/>
        </w:rPr>
        <mc:AlternateContent>
          <mc:Choice Requires="wpg">
            <w:drawing>
              <wp:inline xmlns:wp="http://schemas.openxmlformats.org/drawingml/2006/wordprocessingDrawing" distT="0" distB="0" distL="0" distR="0">
                <wp:extent cx="5934075" cy="3343275"/>
                <wp:effectExtent l="0" t="0" r="0" b="0"/>
                <wp:docPr id="26" name="_x0000_i1029"/>
                <wp:cNvGraphicFramePr/>
                <a:graphic xmlns:a="http://schemas.openxmlformats.org/drawingml/2006/main">
                  <a:graphicData uri="http://schemas.openxmlformats.org/drawingml/2006/picture">
                    <pic:pic xmlns:pic="http://schemas.openxmlformats.org/drawingml/2006/picture">
                      <pic:nvPicPr>
                        <pic:cNvPr id="0" name=""/>
                        <pic:cNvPicPr/>
                        <pic:nvPr/>
                      </pic:nvPicPr>
                      <pic:blipFill>
                        <a:blip r:embed="rId40"/>
                        <a:stretch/>
                      </pic:blipFill>
                      <pic:spPr bwMode="auto">
                        <a:xfrm>
                          <a:off x="0" y="0"/>
                          <a:ext cx="5934075" cy="3343275"/>
                        </a:xfrm>
                        <a:prstGeom prst="rect">
                          <a:avLst/>
                        </a:prstGeom>
                        <a:noFill/>
                        <a:ln>
                          <a:no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5" o:spid="_x0000_s15" type="#_x0000_t75" style="width:467.25pt;height:263.25pt;mso-wrap-distance-left:0.00pt;mso-wrap-distance-top:0.00pt;mso-wrap-distance-right:0.00pt;mso-wrap-distance-bottom:0.00pt;" stroked="f">
                <v:path textboxrect="0,0,0,0"/>
                <v:imagedata r:id="rId40" o:title=""/>
              </v:shape>
            </w:pict>
          </mc:Fallback>
        </mc:AlternateContent>
      </w:r>
      <w:r>
        <w:rPr>
          <w:rFonts w:ascii="Times New Roman" w:hAnsi="Times New Roman"/>
          <w:sz w:val="28"/>
          <w:szCs w:val="28"/>
        </w:rPr>
      </w:r>
      <w:r>
        <w:rPr>
          <w:rFonts w:ascii="Times New Roman" w:hAnsi="Times New Roman"/>
          <w:sz w:val="28"/>
          <w:szCs w:val="28"/>
        </w:rPr>
      </w:r>
    </w:p>
    <w:p>
      <w:pPr>
        <w:ind w:firstLine="708"/>
        <w:jc w:val="both"/>
        <w:spacing w:after="0"/>
        <w:rPr>
          <w:rFonts w:ascii="Times New Roman" w:hAnsi="Times New Roman"/>
          <w:sz w:val="28"/>
          <w:szCs w:val="28"/>
        </w:rPr>
      </w:pPr>
      <w:r>
        <w:rPr>
          <w:rFonts w:ascii="Times New Roman" w:hAnsi="Times New Roman"/>
          <w:sz w:val="28"/>
          <w:szCs w:val="28"/>
        </w:rPr>
        <w:t xml:space="preserve">Необходимо отметить, что Уполномоченный входит в состав следующих коллегиальных органов:</w:t>
      </w:r>
      <w:r>
        <w:rPr>
          <w:rFonts w:ascii="Times New Roman" w:hAnsi="Times New Roman"/>
          <w:sz w:val="28"/>
          <w:szCs w:val="28"/>
        </w:rPr>
      </w:r>
      <w:r>
        <w:rPr>
          <w:rFonts w:ascii="Times New Roman" w:hAnsi="Times New Roman"/>
          <w:sz w:val="28"/>
          <w:szCs w:val="28"/>
        </w:rPr>
      </w:r>
    </w:p>
    <w:p>
      <w:pPr>
        <w:pStyle w:val="1227"/>
        <w:numPr>
          <w:ilvl w:val="0"/>
          <w:numId w:val="75"/>
        </w:numPr>
        <w:ind w:left="0" w:firstLine="709"/>
        <w:jc w:val="both"/>
        <w:spacing w:line="276" w:lineRule="auto"/>
        <w:rPr>
          <w:rFonts w:ascii="Times New Roman" w:hAnsi="Times New Roman"/>
          <w:sz w:val="28"/>
          <w:szCs w:val="28"/>
          <w:lang w:val="ru-RU"/>
        </w:rPr>
      </w:pPr>
      <w:r>
        <w:rPr>
          <w:rFonts w:ascii="Times New Roman" w:hAnsi="Times New Roman"/>
          <w:sz w:val="28"/>
          <w:szCs w:val="28"/>
          <w:lang w:val="ru-RU"/>
        </w:rPr>
        <w:t xml:space="preserve">Региональное отделение Международной общественной организации «Всемирный Русский Народный Собор» в Ивановской области;</w:t>
      </w:r>
      <w:r>
        <w:rPr>
          <w:rFonts w:ascii="Times New Roman" w:hAnsi="Times New Roman"/>
          <w:sz w:val="28"/>
          <w:szCs w:val="28"/>
          <w:lang w:val="ru-RU"/>
        </w:rPr>
      </w:r>
      <w:r>
        <w:rPr>
          <w:rFonts w:ascii="Times New Roman" w:hAnsi="Times New Roman"/>
          <w:sz w:val="28"/>
          <w:szCs w:val="28"/>
          <w:lang w:val="ru-RU"/>
        </w:rPr>
      </w:r>
    </w:p>
    <w:p>
      <w:pPr>
        <w:pStyle w:val="1227"/>
        <w:numPr>
          <w:ilvl w:val="0"/>
          <w:numId w:val="75"/>
        </w:numPr>
        <w:ind w:left="0" w:firstLine="709"/>
        <w:jc w:val="both"/>
        <w:spacing w:line="276" w:lineRule="auto"/>
        <w:rPr>
          <w:rFonts w:ascii="Times New Roman" w:hAnsi="Times New Roman"/>
          <w:sz w:val="28"/>
          <w:szCs w:val="28"/>
          <w:lang w:val="ru-RU"/>
        </w:rPr>
      </w:pPr>
      <w:r>
        <w:rPr>
          <w:rFonts w:ascii="Times New Roman" w:hAnsi="Times New Roman"/>
          <w:sz w:val="28"/>
          <w:szCs w:val="28"/>
          <w:lang w:val="ru-RU"/>
        </w:rPr>
        <w:t xml:space="preserve">комиссия по вопросам  помилования на территории Ивановской области;</w:t>
      </w:r>
      <w:r>
        <w:rPr>
          <w:rFonts w:ascii="Times New Roman" w:hAnsi="Times New Roman"/>
          <w:sz w:val="28"/>
          <w:szCs w:val="28"/>
          <w:lang w:val="ru-RU"/>
        </w:rPr>
      </w:r>
      <w:r>
        <w:rPr>
          <w:rFonts w:ascii="Times New Roman" w:hAnsi="Times New Roman"/>
          <w:sz w:val="28"/>
          <w:szCs w:val="28"/>
          <w:lang w:val="ru-RU"/>
        </w:rPr>
      </w:r>
    </w:p>
    <w:p>
      <w:pPr>
        <w:pStyle w:val="1227"/>
        <w:numPr>
          <w:ilvl w:val="0"/>
          <w:numId w:val="75"/>
        </w:numPr>
        <w:ind w:left="0" w:firstLine="709"/>
        <w:jc w:val="both"/>
        <w:spacing w:line="276" w:lineRule="auto"/>
        <w:rPr>
          <w:rFonts w:ascii="Times New Roman" w:hAnsi="Times New Roman"/>
          <w:b/>
          <w:sz w:val="28"/>
          <w:szCs w:val="28"/>
          <w:lang w:val="ru-RU"/>
        </w:rPr>
      </w:pPr>
      <w:r>
        <w:rPr>
          <w:rStyle w:val="1238"/>
          <w:rFonts w:ascii="Times New Roman" w:hAnsi="Times New Roman"/>
          <w:b w:val="0"/>
          <w:sz w:val="28"/>
          <w:szCs w:val="28"/>
          <w:shd w:val="clear" w:color="auto" w:fill="ffffff"/>
          <w:lang w:val="ru-RU"/>
        </w:rPr>
        <w:t xml:space="preserve">межведомственная комиссия по профилактике правонарушений на территории Ивановской области и </w:t>
      </w:r>
      <w:r>
        <w:rPr>
          <w:rStyle w:val="1238"/>
          <w:rFonts w:ascii="Times New Roman" w:hAnsi="Times New Roman"/>
          <w:b w:val="0"/>
          <w:sz w:val="28"/>
          <w:szCs w:val="28"/>
          <w:shd w:val="clear" w:color="auto" w:fill="ffffff"/>
          <w:lang w:val="ru-RU"/>
        </w:rPr>
        <w:t xml:space="preserve">антинаркотическая</w:t>
      </w:r>
      <w:r>
        <w:rPr>
          <w:rStyle w:val="1238"/>
          <w:rFonts w:ascii="Times New Roman" w:hAnsi="Times New Roman"/>
          <w:b w:val="0"/>
          <w:sz w:val="28"/>
          <w:szCs w:val="28"/>
          <w:shd w:val="clear" w:color="auto" w:fill="ffffff"/>
          <w:lang w:val="ru-RU"/>
        </w:rPr>
        <w:t xml:space="preserve"> комиссия Ивановской области;</w:t>
      </w:r>
      <w:r>
        <w:rPr>
          <w:rFonts w:ascii="Times New Roman" w:hAnsi="Times New Roman"/>
          <w:b/>
          <w:sz w:val="28"/>
          <w:szCs w:val="28"/>
          <w:lang w:val="ru-RU"/>
        </w:rPr>
      </w:r>
      <w:r>
        <w:rPr>
          <w:rFonts w:ascii="Times New Roman" w:hAnsi="Times New Roman"/>
          <w:b/>
          <w:sz w:val="28"/>
          <w:szCs w:val="28"/>
          <w:lang w:val="ru-RU"/>
        </w:rPr>
      </w:r>
    </w:p>
    <w:p>
      <w:pPr>
        <w:pStyle w:val="1227"/>
        <w:numPr>
          <w:ilvl w:val="0"/>
          <w:numId w:val="75"/>
        </w:numPr>
        <w:ind w:left="0" w:firstLine="709"/>
        <w:jc w:val="both"/>
        <w:spacing w:line="276" w:lineRule="auto"/>
        <w:rPr>
          <w:rFonts w:ascii="Times New Roman" w:hAnsi="Times New Roman"/>
          <w:sz w:val="28"/>
          <w:szCs w:val="28"/>
          <w:lang w:val="ru-RU"/>
        </w:rPr>
      </w:pPr>
      <w:r>
        <w:rPr>
          <w:rFonts w:ascii="Times New Roman" w:hAnsi="Times New Roman"/>
          <w:sz w:val="28"/>
          <w:szCs w:val="28"/>
          <w:lang w:val="ru-RU"/>
        </w:rPr>
        <w:t xml:space="preserve">Координационный Совет при Управлении Министерства юстиции Российской Федерации по Ивановской области;</w:t>
      </w:r>
      <w:r>
        <w:rPr>
          <w:rFonts w:ascii="Times New Roman" w:hAnsi="Times New Roman"/>
          <w:sz w:val="28"/>
          <w:szCs w:val="28"/>
          <w:lang w:val="ru-RU"/>
        </w:rPr>
      </w:r>
      <w:r>
        <w:rPr>
          <w:rFonts w:ascii="Times New Roman" w:hAnsi="Times New Roman"/>
          <w:sz w:val="28"/>
          <w:szCs w:val="28"/>
          <w:lang w:val="ru-RU"/>
        </w:rPr>
      </w:r>
    </w:p>
    <w:p>
      <w:pPr>
        <w:pStyle w:val="1227"/>
        <w:numPr>
          <w:ilvl w:val="0"/>
          <w:numId w:val="75"/>
        </w:numPr>
        <w:ind w:left="0" w:firstLine="709"/>
        <w:jc w:val="both"/>
        <w:spacing w:line="276" w:lineRule="auto"/>
        <w:rPr>
          <w:rFonts w:ascii="Times New Roman" w:hAnsi="Times New Roman"/>
          <w:sz w:val="28"/>
          <w:szCs w:val="28"/>
          <w:lang w:val="ru-RU"/>
        </w:rPr>
      </w:pPr>
      <w:r>
        <w:rPr>
          <w:rFonts w:ascii="Times New Roman" w:hAnsi="Times New Roman"/>
          <w:sz w:val="28"/>
          <w:szCs w:val="28"/>
          <w:lang w:val="ru-RU"/>
        </w:rPr>
        <w:t xml:space="preserve">Межведомственная комиссия по реализации на территории Ивановской области Федерального закона от 06.02.2023 №10-ФЗ «О пробации в Российской Федерации»;</w:t>
      </w:r>
      <w:r>
        <w:rPr>
          <w:rFonts w:ascii="Times New Roman" w:hAnsi="Times New Roman"/>
          <w:sz w:val="28"/>
          <w:szCs w:val="28"/>
          <w:lang w:val="ru-RU"/>
        </w:rPr>
      </w:r>
      <w:r>
        <w:rPr>
          <w:rFonts w:ascii="Times New Roman" w:hAnsi="Times New Roman"/>
          <w:sz w:val="28"/>
          <w:szCs w:val="28"/>
          <w:lang w:val="ru-RU"/>
        </w:rPr>
      </w:r>
    </w:p>
    <w:p>
      <w:pPr>
        <w:pStyle w:val="1227"/>
        <w:numPr>
          <w:ilvl w:val="0"/>
          <w:numId w:val="75"/>
        </w:numPr>
        <w:ind w:left="0" w:firstLine="709"/>
        <w:jc w:val="both"/>
        <w:spacing w:line="276" w:lineRule="auto"/>
        <w:rPr>
          <w:rFonts w:ascii="Times New Roman" w:hAnsi="Times New Roman"/>
          <w:sz w:val="28"/>
          <w:szCs w:val="28"/>
          <w:lang w:val="ru-RU"/>
        </w:rPr>
      </w:pPr>
      <w:r>
        <w:rPr>
          <w:rFonts w:ascii="Times New Roman" w:hAnsi="Times New Roman"/>
          <w:sz w:val="28"/>
          <w:szCs w:val="28"/>
          <w:lang w:val="ru-RU"/>
        </w:rPr>
        <w:t xml:space="preserve">совет по содействию развитию конкуренции в Ивановской области;</w:t>
      </w:r>
      <w:r>
        <w:rPr>
          <w:rFonts w:ascii="Times New Roman" w:hAnsi="Times New Roman"/>
          <w:sz w:val="28"/>
          <w:szCs w:val="28"/>
          <w:lang w:val="ru-RU"/>
        </w:rPr>
      </w:r>
      <w:r>
        <w:rPr>
          <w:rFonts w:ascii="Times New Roman" w:hAnsi="Times New Roman"/>
          <w:sz w:val="28"/>
          <w:szCs w:val="28"/>
          <w:lang w:val="ru-RU"/>
        </w:rPr>
      </w:r>
    </w:p>
    <w:p>
      <w:pPr>
        <w:pStyle w:val="1227"/>
        <w:numPr>
          <w:ilvl w:val="0"/>
          <w:numId w:val="76"/>
        </w:numPr>
        <w:ind w:left="0" w:firstLine="709"/>
        <w:jc w:val="both"/>
        <w:spacing w:line="276" w:lineRule="auto"/>
        <w:rPr>
          <w:rFonts w:ascii="Times New Roman" w:hAnsi="Times New Roman"/>
          <w:sz w:val="28"/>
          <w:szCs w:val="28"/>
          <w:lang w:val="ru-RU"/>
        </w:rPr>
      </w:pPr>
      <w:r>
        <w:rPr>
          <w:rFonts w:ascii="Times New Roman" w:hAnsi="Times New Roman"/>
          <w:sz w:val="28"/>
          <w:szCs w:val="28"/>
          <w:lang w:val="ru-RU"/>
        </w:rPr>
        <w:t xml:space="preserve">комиссия по оценке результатов реализации социально значимых проектов социально ориентированными некоммерческими организациями, зарегистрированными и дейст</w:t>
      </w:r>
      <w:r>
        <w:rPr>
          <w:rFonts w:ascii="Times New Roman" w:hAnsi="Times New Roman"/>
          <w:sz w:val="28"/>
          <w:szCs w:val="28"/>
          <w:lang w:val="ru-RU"/>
        </w:rPr>
        <w:t xml:space="preserve">вующими на территории Ивановской области, заключившими с Департаментом внутренней политики Ивановской области соглашения о предоставлении из областного бюджета грантов в форме субсидии в соответствии со статьей 78.1 Бюджетного кодекса Российской Федерации;</w:t>
      </w:r>
      <w:r>
        <w:rPr>
          <w:rFonts w:ascii="Times New Roman" w:hAnsi="Times New Roman"/>
          <w:sz w:val="28"/>
          <w:szCs w:val="28"/>
          <w:lang w:val="ru-RU"/>
        </w:rPr>
      </w:r>
      <w:r>
        <w:rPr>
          <w:rFonts w:ascii="Times New Roman" w:hAnsi="Times New Roman"/>
          <w:sz w:val="28"/>
          <w:szCs w:val="28"/>
          <w:lang w:val="ru-RU"/>
        </w:rPr>
      </w:r>
    </w:p>
    <w:p>
      <w:pPr>
        <w:pStyle w:val="1227"/>
        <w:numPr>
          <w:ilvl w:val="0"/>
          <w:numId w:val="75"/>
        </w:numPr>
        <w:ind w:left="0" w:firstLine="709"/>
        <w:jc w:val="both"/>
        <w:spacing w:line="276" w:lineRule="auto"/>
        <w:rPr>
          <w:rFonts w:ascii="Times New Roman" w:hAnsi="Times New Roman"/>
          <w:sz w:val="28"/>
          <w:szCs w:val="28"/>
          <w:lang w:val="ru-RU"/>
        </w:rPr>
      </w:pPr>
      <w:r>
        <w:rPr>
          <w:rFonts w:ascii="Times New Roman" w:hAnsi="Times New Roman"/>
          <w:sz w:val="28"/>
          <w:szCs w:val="28"/>
          <w:lang w:val="ru-RU"/>
        </w:rPr>
        <w:t xml:space="preserve">комиссия по совершенствованию качества предоставления государственных услуг и клиентского обслуживания при Отделении Фонда пенсионного и социального страхования Российской Федерации по Ивановской области;</w:t>
      </w:r>
      <w:r>
        <w:rPr>
          <w:rFonts w:ascii="Times New Roman" w:hAnsi="Times New Roman"/>
          <w:sz w:val="28"/>
          <w:szCs w:val="28"/>
          <w:lang w:val="ru-RU"/>
        </w:rPr>
      </w:r>
      <w:r>
        <w:rPr>
          <w:rFonts w:ascii="Times New Roman" w:hAnsi="Times New Roman"/>
          <w:sz w:val="28"/>
          <w:szCs w:val="28"/>
          <w:lang w:val="ru-RU"/>
        </w:rPr>
      </w:r>
    </w:p>
    <w:p>
      <w:pPr>
        <w:pStyle w:val="1227"/>
        <w:numPr>
          <w:ilvl w:val="0"/>
          <w:numId w:val="75"/>
        </w:numPr>
        <w:ind w:left="0" w:firstLine="709"/>
        <w:jc w:val="both"/>
        <w:spacing w:line="276" w:lineRule="auto"/>
        <w:rPr>
          <w:rFonts w:ascii="Times New Roman" w:hAnsi="Times New Roman"/>
          <w:sz w:val="28"/>
          <w:szCs w:val="28"/>
          <w:lang w:val="ru-RU"/>
        </w:rPr>
      </w:pPr>
      <w:r>
        <w:rPr>
          <w:rFonts w:ascii="Times New Roman" w:hAnsi="Times New Roman"/>
          <w:sz w:val="28"/>
          <w:szCs w:val="28"/>
          <w:lang w:val="ru-RU"/>
        </w:rPr>
        <w:t xml:space="preserve">Общественный совет при Главном бюро МСЭ по Ивановской области.</w:t>
      </w:r>
      <w:r>
        <w:rPr>
          <w:rFonts w:ascii="Times New Roman" w:hAnsi="Times New Roman"/>
          <w:sz w:val="28"/>
          <w:szCs w:val="28"/>
          <w:lang w:val="ru-RU"/>
        </w:rPr>
      </w:r>
      <w:r>
        <w:rPr>
          <w:rFonts w:ascii="Times New Roman" w:hAnsi="Times New Roman"/>
          <w:sz w:val="28"/>
          <w:szCs w:val="28"/>
          <w:lang w:val="ru-RU"/>
        </w:rPr>
      </w:r>
    </w:p>
    <w:p>
      <w:pPr>
        <w:pStyle w:val="1227"/>
        <w:ind w:left="0" w:firstLine="709"/>
        <w:jc w:val="both"/>
        <w:spacing w:line="276" w:lineRule="auto"/>
        <w:rPr>
          <w:rFonts w:ascii="Times New Roman" w:hAnsi="Times New Roman"/>
          <w:sz w:val="28"/>
          <w:szCs w:val="28"/>
          <w:lang w:val="ru-RU"/>
        </w:rPr>
      </w:pPr>
      <w:r>
        <w:rPr>
          <w:rFonts w:ascii="Times New Roman" w:hAnsi="Times New Roman"/>
          <w:color w:val="000000"/>
          <w:sz w:val="28"/>
          <w:szCs w:val="28"/>
          <w:lang w:val="ru-RU"/>
        </w:rPr>
        <w:t xml:space="preserve">Также Упол</w:t>
      </w:r>
      <w:r>
        <w:rPr>
          <w:rFonts w:ascii="Times New Roman" w:hAnsi="Times New Roman"/>
          <w:color w:val="000000"/>
          <w:sz w:val="28"/>
          <w:szCs w:val="28"/>
          <w:lang w:val="ru-RU"/>
        </w:rPr>
        <w:t xml:space="preserve">номоченный является членом попечительского совета благотворительного фонда поддержки военнослужащих Ивановской области и их семей «Своих не бросаем», участвует в работе Штаба общественного наблюдения за выборами при Общественной палате Ивановской области. </w:t>
      </w:r>
      <w:r>
        <w:rPr>
          <w:rFonts w:ascii="Times New Roman" w:hAnsi="Times New Roman"/>
          <w:sz w:val="28"/>
          <w:szCs w:val="28"/>
          <w:lang w:val="ru-RU"/>
        </w:rPr>
      </w:r>
      <w:r>
        <w:rPr>
          <w:rFonts w:ascii="Times New Roman" w:hAnsi="Times New Roman"/>
          <w:sz w:val="28"/>
          <w:szCs w:val="28"/>
          <w:lang w:val="ru-RU"/>
        </w:rPr>
      </w:r>
    </w:p>
    <w:p>
      <w:pPr>
        <w:ind w:firstLine="708"/>
        <w:jc w:val="both"/>
        <w:spacing w:after="0"/>
        <w:rPr>
          <w:rFonts w:ascii="Times New Roman" w:hAnsi="Times New Roman"/>
          <w:sz w:val="28"/>
          <w:szCs w:val="28"/>
        </w:rPr>
      </w:pPr>
      <w:r>
        <w:rPr>
          <w:rFonts w:ascii="Times New Roman" w:hAnsi="Times New Roman"/>
          <w:sz w:val="28"/>
          <w:szCs w:val="28"/>
        </w:rPr>
        <w:t xml:space="preserve">Всё это позволяет региональной службе </w:t>
      </w:r>
      <w:r>
        <w:rPr>
          <w:rFonts w:ascii="Times New Roman" w:hAnsi="Times New Roman"/>
          <w:sz w:val="28"/>
          <w:szCs w:val="28"/>
        </w:rPr>
        <w:t xml:space="preserve">правозащиты</w:t>
      </w:r>
      <w:r>
        <w:rPr>
          <w:rFonts w:ascii="Times New Roman" w:hAnsi="Times New Roman"/>
          <w:sz w:val="28"/>
          <w:szCs w:val="28"/>
        </w:rPr>
        <w:t xml:space="preserve"> обладать объективной и полезной информацией, оперативно решать вопросы, волнующие заявителей, вносить предложения по совершенствованию механизмов защиты прав человека.  </w:t>
      </w:r>
      <w:r>
        <w:rPr>
          <w:rFonts w:ascii="Times New Roman" w:hAnsi="Times New Roman"/>
          <w:sz w:val="28"/>
          <w:szCs w:val="28"/>
        </w:rPr>
      </w:r>
      <w:r>
        <w:rPr>
          <w:rFonts w:ascii="Times New Roman" w:hAnsi="Times New Roman"/>
          <w:sz w:val="28"/>
          <w:szCs w:val="28"/>
        </w:rPr>
      </w:r>
    </w:p>
    <w:p>
      <w:pPr>
        <w:pStyle w:val="1226"/>
        <w:jc w:val="left"/>
        <w:spacing w:before="0"/>
        <w:rPr>
          <w:highlight w:val="none"/>
        </w:rPr>
      </w:pPr>
      <w:r>
        <w:rPr>
          <w:highlight w:val="none"/>
        </w:rPr>
      </w:r>
      <w:r>
        <w:rPr>
          <w:highlight w:val="none"/>
        </w:rPr>
      </w:r>
      <w:r>
        <w:rPr>
          <w:highlight w:val="none"/>
        </w:rPr>
      </w:r>
    </w:p>
    <w:p>
      <w:pPr>
        <w:pStyle w:val="1226"/>
        <w:jc w:val="center"/>
        <w:spacing w:before="0"/>
        <w:rPr>
          <w:highlight w:val="none"/>
        </w:rPr>
      </w:pPr>
      <w:r/>
      <w:bookmarkStart w:id="63" w:name="_Toc41"/>
      <w:r>
        <w:rPr>
          <w:rFonts w:ascii="Times New Roman" w:hAnsi="Times New Roman" w:cs="Times New Roman"/>
          <w:b/>
          <w:bCs/>
          <w:color w:val="auto"/>
          <w:sz w:val="28"/>
          <w:szCs w:val="28"/>
        </w:rPr>
        <w:t xml:space="preserve">14.1. Взаимодействие с Губернатором Ивановской области,</w:t>
      </w:r>
      <w:r>
        <w:rPr>
          <w:highlight w:val="none"/>
        </w:rPr>
      </w:r>
      <w:bookmarkEnd w:id="63"/>
      <w:r>
        <w:rPr>
          <w:highlight w:val="none"/>
        </w:rPr>
      </w:r>
      <w:r>
        <w:rPr>
          <w:highlight w:val="none"/>
        </w:rPr>
      </w:r>
    </w:p>
    <w:p>
      <w:pPr>
        <w:pStyle w:val="1226"/>
        <w:jc w:val="center"/>
        <w:spacing w:before="0"/>
        <w:rPr>
          <w:rFonts w:ascii="Times New Roman" w:hAnsi="Times New Roman" w:cs="Times New Roman"/>
          <w:b/>
          <w:bCs/>
          <w:color w:val="auto"/>
          <w:sz w:val="28"/>
          <w:szCs w:val="28"/>
        </w:rPr>
      </w:pPr>
      <w:r/>
      <w:bookmarkStart w:id="64" w:name="_Toc42"/>
      <w:r>
        <w:rPr>
          <w:rFonts w:ascii="Times New Roman" w:hAnsi="Times New Roman" w:cs="Times New Roman"/>
          <w:b/>
          <w:bCs/>
          <w:color w:val="auto"/>
          <w:sz w:val="28"/>
          <w:szCs w:val="28"/>
        </w:rPr>
        <w:t xml:space="preserve">органами власти и Ивановской областной Думой</w:t>
      </w:r>
      <w:r>
        <w:rPr>
          <w:rFonts w:ascii="Times New Roman" w:hAnsi="Times New Roman" w:cs="Times New Roman"/>
          <w:b/>
          <w:bCs/>
          <w:color w:val="auto"/>
          <w:sz w:val="28"/>
          <w:szCs w:val="28"/>
        </w:rPr>
      </w:r>
      <w:bookmarkEnd w:id="64"/>
      <w:r>
        <w:rPr>
          <w:rFonts w:ascii="Times New Roman" w:hAnsi="Times New Roman" w:cs="Times New Roman"/>
          <w:b/>
          <w:bCs/>
          <w:color w:val="auto"/>
          <w:sz w:val="28"/>
          <w:szCs w:val="28"/>
        </w:rPr>
      </w:r>
      <w:r>
        <w:rPr>
          <w:rFonts w:ascii="Times New Roman" w:hAnsi="Times New Roman" w:cs="Times New Roman"/>
          <w:b/>
          <w:bCs/>
          <w:color w:val="auto"/>
          <w:sz w:val="28"/>
          <w:szCs w:val="28"/>
        </w:rPr>
      </w:r>
    </w:p>
    <w:p>
      <w:pPr>
        <w:jc w:val="both"/>
        <w:spacing w:after="0"/>
        <w:rPr>
          <w:rFonts w:ascii="Times New Roman" w:hAnsi="Times New Roman"/>
          <w:sz w:val="28"/>
          <w:szCs w:val="28"/>
        </w:rPr>
      </w:pPr>
      <w:r>
        <w:rPr>
          <w:rFonts w:ascii="Times New Roman" w:hAnsi="Times New Roman"/>
          <w:sz w:val="28"/>
          <w:szCs w:val="28"/>
        </w:rPr>
      </w:r>
      <w:r>
        <w:rPr>
          <w:rFonts w:ascii="Times New Roman" w:hAnsi="Times New Roman"/>
          <w:sz w:val="28"/>
          <w:szCs w:val="28"/>
        </w:rPr>
      </w:r>
      <w:r>
        <w:rPr>
          <w:rFonts w:ascii="Times New Roman" w:hAnsi="Times New Roman"/>
          <w:sz w:val="28"/>
          <w:szCs w:val="28"/>
        </w:rPr>
      </w:r>
    </w:p>
    <w:p>
      <w:pPr>
        <w:jc w:val="both"/>
        <w:spacing w:after="0"/>
        <w:rPr>
          <w:rFonts w:ascii="Times New Roman" w:hAnsi="Times New Roman"/>
          <w:sz w:val="28"/>
          <w:szCs w:val="28"/>
          <w:shd w:val="clear" w:color="auto" w:fill="ffffff"/>
        </w:rPr>
      </w:pPr>
      <w:r>
        <w:rPr>
          <w:rFonts w:ascii="Times New Roman" w:hAnsi="Times New Roman"/>
          <w:sz w:val="28"/>
          <w:szCs w:val="28"/>
        </w:rPr>
        <w:tab/>
        <w:t xml:space="preserve">Рабочие встречи с  </w:t>
      </w:r>
      <w:r>
        <w:rPr>
          <w:rFonts w:ascii="Times New Roman" w:hAnsi="Times New Roman"/>
          <w:sz w:val="28"/>
          <w:szCs w:val="28"/>
          <w:shd w:val="clear" w:color="auto" w:fill="ffffff"/>
        </w:rPr>
        <w:t xml:space="preserve">высшим должностным лицом Ивановской </w:t>
      </w:r>
      <w:r>
        <w:rPr>
          <w:rFonts w:ascii="Times New Roman" w:hAnsi="Times New Roman"/>
          <w:sz w:val="28"/>
          <w:szCs w:val="28"/>
          <w:shd w:val="clear" w:color="auto" w:fill="ffffff"/>
        </w:rPr>
        <w:t xml:space="preserve">области – Губернатором Ивановской области, председателем регионального парламента, руководителями органов исполнительной власти и участие Уполномоченного в их  коллегиях, совещаниях и рабочих встречах  являются важным аспектом правозащитной деятельности.  </w:t>
      </w:r>
      <w:r>
        <w:rPr>
          <w:rFonts w:ascii="Times New Roman" w:hAnsi="Times New Roman"/>
          <w:sz w:val="28"/>
          <w:szCs w:val="28"/>
          <w:shd w:val="clear" w:color="auto" w:fill="ffffff"/>
        </w:rPr>
      </w:r>
      <w:r>
        <w:rPr>
          <w:rFonts w:ascii="Times New Roman" w:hAnsi="Times New Roman"/>
          <w:sz w:val="28"/>
          <w:szCs w:val="28"/>
          <w:shd w:val="clear" w:color="auto" w:fill="ffffff"/>
        </w:rPr>
      </w:r>
    </w:p>
    <w:p>
      <w:pPr>
        <w:ind w:firstLine="708"/>
        <w:jc w:val="both"/>
        <w:spacing w:after="0"/>
        <w:rPr>
          <w:rFonts w:ascii="Times New Roman" w:hAnsi="Times New Roman"/>
          <w:color w:val="000000"/>
          <w:sz w:val="28"/>
          <w:szCs w:val="28"/>
        </w:rPr>
      </w:pPr>
      <w:r>
        <w:rPr>
          <w:rFonts w:ascii="Times New Roman" w:hAnsi="Times New Roman"/>
          <w:color w:val="202020"/>
          <w:sz w:val="28"/>
          <w:szCs w:val="28"/>
          <w:shd w:val="clear" w:color="auto" w:fill="ffffff"/>
        </w:rPr>
        <w:t xml:space="preserve">Так, 24 июля Губернатор Ивановской об</w:t>
      </w:r>
      <w:r>
        <w:rPr>
          <w:rFonts w:ascii="Times New Roman" w:hAnsi="Times New Roman"/>
          <w:color w:val="202020"/>
          <w:sz w:val="28"/>
          <w:szCs w:val="28"/>
          <w:shd w:val="clear" w:color="auto" w:fill="ffffff"/>
        </w:rPr>
        <w:t xml:space="preserve">ласти Станислав Воскресенский обсудил с уполномоченными по защите прав в Ивановской области итоги деятельности и планы дальнейшей поддержки жителей региона. За столом собрались уполномоченные по правам человека Светлана Шмелева, по правам ребенка Светлана </w:t>
      </w:r>
      <w:r>
        <w:rPr>
          <w:rFonts w:ascii="Times New Roman" w:hAnsi="Times New Roman"/>
          <w:color w:val="202020"/>
          <w:sz w:val="28"/>
          <w:szCs w:val="28"/>
          <w:shd w:val="clear" w:color="auto" w:fill="ffffff"/>
        </w:rPr>
        <w:t xml:space="preserve">Протасевич</w:t>
      </w:r>
      <w:r>
        <w:rPr>
          <w:rFonts w:ascii="Times New Roman" w:hAnsi="Times New Roman"/>
          <w:color w:val="202020"/>
          <w:sz w:val="28"/>
          <w:szCs w:val="28"/>
          <w:shd w:val="clear" w:color="auto" w:fill="ffffff"/>
        </w:rPr>
        <w:t xml:space="preserve"> и омбудсмен по защите прав предпринимателей Александр </w:t>
      </w:r>
      <w:r>
        <w:rPr>
          <w:rFonts w:ascii="Times New Roman" w:hAnsi="Times New Roman"/>
          <w:color w:val="202020"/>
          <w:sz w:val="28"/>
          <w:szCs w:val="28"/>
          <w:shd w:val="clear" w:color="auto" w:fill="ffffff"/>
        </w:rPr>
        <w:t xml:space="preserve">Шорыгин</w:t>
      </w:r>
      <w:r>
        <w:rPr>
          <w:rFonts w:ascii="Times New Roman" w:hAnsi="Times New Roman"/>
          <w:color w:val="202020"/>
          <w:sz w:val="28"/>
          <w:szCs w:val="28"/>
          <w:shd w:val="clear" w:color="auto" w:fill="ffffff"/>
        </w:rPr>
        <w:t xml:space="preserve">. Встреча носила рабочий характер, направлена на открытое обсуждение тем, волнующих местных жителей. </w:t>
      </w:r>
      <w:r>
        <w:rPr>
          <w:rFonts w:ascii="Times New Roman" w:hAnsi="Times New Roman"/>
          <w:color w:val="000000"/>
          <w:sz w:val="28"/>
          <w:szCs w:val="28"/>
        </w:rPr>
      </w:r>
      <w:r>
        <w:rPr>
          <w:rFonts w:ascii="Times New Roman" w:hAnsi="Times New Roman"/>
          <w:color w:val="000000"/>
          <w:sz w:val="28"/>
          <w:szCs w:val="28"/>
        </w:rPr>
      </w:r>
    </w:p>
    <w:p>
      <w:pPr>
        <w:ind w:firstLine="708"/>
        <w:jc w:val="both"/>
        <w:spacing w:after="0"/>
        <w:rPr>
          <w:rFonts w:ascii="Times New Roman" w:hAnsi="Times New Roman"/>
          <w:color w:val="202020"/>
          <w:sz w:val="28"/>
          <w:szCs w:val="28"/>
          <w:shd w:val="clear" w:color="auto" w:fill="ffffff"/>
        </w:rPr>
      </w:pPr>
      <w:r>
        <w:rPr>
          <w:rFonts w:ascii="Times New Roman" w:hAnsi="Times New Roman"/>
          <w:color w:val="202020"/>
          <w:sz w:val="28"/>
          <w:szCs w:val="28"/>
          <w:shd w:val="clear" w:color="auto" w:fill="ffffff"/>
        </w:rPr>
        <w:t xml:space="preserve">В ходе делового общения Уполн</w:t>
      </w:r>
      <w:r>
        <w:rPr>
          <w:rFonts w:ascii="Times New Roman" w:hAnsi="Times New Roman"/>
          <w:color w:val="202020"/>
          <w:sz w:val="28"/>
          <w:szCs w:val="28"/>
          <w:shd w:val="clear" w:color="auto" w:fill="ffffff"/>
        </w:rPr>
        <w:t xml:space="preserve">омоченный по правам человека отметила, что многие поступающее обращения рассматриваются совместно с руководством правительства, профильными ведомствами и службами, сообществом адвокатов, нотариатом, подключая лидеров общественного мнения. «Красной нитью» в</w:t>
      </w:r>
      <w:r>
        <w:rPr>
          <w:rFonts w:ascii="Times New Roman" w:hAnsi="Times New Roman"/>
          <w:color w:val="202020"/>
          <w:sz w:val="28"/>
          <w:szCs w:val="28"/>
          <w:shd w:val="clear" w:color="auto" w:fill="ffffff"/>
        </w:rPr>
        <w:t xml:space="preserve">о время конструктивного разговора прошла тема по защите прав участников специальной военной операции и членов их семей, в том числе восстановительное лечение бойцов после возвращения с фронта. Опыт Ивановской области по реабилитации участников СВО на базе </w:t>
      </w:r>
      <w:r>
        <w:rPr>
          <w:rFonts w:ascii="Times New Roman" w:hAnsi="Times New Roman"/>
          <w:color w:val="202020"/>
          <w:sz w:val="28"/>
          <w:szCs w:val="28"/>
          <w:shd w:val="clear" w:color="auto" w:fill="ffffff"/>
        </w:rPr>
        <w:t xml:space="preserve">медицинского центра «Решма» был особо отмечен федеральным омбудсменом Татьяной </w:t>
      </w:r>
      <w:r>
        <w:rPr>
          <w:rFonts w:ascii="Times New Roman" w:hAnsi="Times New Roman"/>
          <w:color w:val="202020"/>
          <w:sz w:val="28"/>
          <w:szCs w:val="28"/>
          <w:shd w:val="clear" w:color="auto" w:fill="ffffff"/>
        </w:rPr>
        <w:t xml:space="preserve">Москальковой</w:t>
      </w:r>
      <w:r>
        <w:rPr>
          <w:rFonts w:ascii="Times New Roman" w:hAnsi="Times New Roman"/>
          <w:color w:val="202020"/>
          <w:sz w:val="28"/>
          <w:szCs w:val="28"/>
          <w:shd w:val="clear" w:color="auto" w:fill="ffffff"/>
        </w:rPr>
        <w:t xml:space="preserve">.  Значимую программу реабилитации также разработал Ивановский медицинский университет на базе клиники в Кохме.  Положительные отзывы от заявителей поступа</w:t>
      </w:r>
      <w:r>
        <w:rPr>
          <w:rFonts w:ascii="Times New Roman" w:hAnsi="Times New Roman"/>
          <w:color w:val="202020"/>
          <w:sz w:val="28"/>
          <w:szCs w:val="28"/>
          <w:shd w:val="clear" w:color="auto" w:fill="ffffff"/>
        </w:rPr>
        <w:t xml:space="preserve">ют и относительно осуществления деятельности по линии Медицинского центра в областном центре.  Главой региона отмечено: </w:t>
      </w:r>
      <w:r>
        <w:rPr>
          <w:rFonts w:ascii="Times New Roman" w:hAnsi="Times New Roman"/>
          <w:i/>
          <w:iCs/>
          <w:color w:val="202020"/>
          <w:sz w:val="28"/>
          <w:szCs w:val="28"/>
          <w:shd w:val="clear" w:color="auto" w:fill="ffffff"/>
        </w:rPr>
        <w:t xml:space="preserve">«Думаю, что мы это направление будем расширять. Для ребят все должно быть максимально удобно и комфортно. Помощь бойцам и их близким - с</w:t>
      </w:r>
      <w:r>
        <w:rPr>
          <w:rFonts w:ascii="Times New Roman" w:hAnsi="Times New Roman"/>
          <w:i/>
          <w:iCs/>
          <w:color w:val="202020"/>
          <w:sz w:val="28"/>
          <w:szCs w:val="28"/>
          <w:shd w:val="clear" w:color="auto" w:fill="ffffff"/>
        </w:rPr>
        <w:t xml:space="preserve">егодня абсолютный приоритет».</w:t>
      </w:r>
      <w:r>
        <w:rPr>
          <w:rFonts w:ascii="Times New Roman" w:hAnsi="Times New Roman"/>
          <w:color w:val="202020"/>
          <w:sz w:val="28"/>
          <w:szCs w:val="28"/>
          <w:shd w:val="clear" w:color="auto" w:fill="ffffff"/>
        </w:rPr>
        <w:t xml:space="preserve"> </w:t>
        <w:tab/>
        <w:t xml:space="preserve">Уполномоченный обратила внимание на разработанные на региональном уровне социальные меры поддержки военнослужащих и их семей,   позволяющие особой категории при необходимости оперативно решать проблемы, находиться под защитой </w:t>
      </w:r>
      <w:r>
        <w:rPr>
          <w:rFonts w:ascii="Times New Roman" w:hAnsi="Times New Roman"/>
          <w:color w:val="202020"/>
          <w:sz w:val="28"/>
          <w:szCs w:val="28"/>
          <w:shd w:val="clear" w:color="auto" w:fill="ffffff"/>
        </w:rPr>
        <w:t xml:space="preserve">государства</w:t>
      </w:r>
      <w:r>
        <w:rPr>
          <w:rFonts w:ascii="Times New Roman" w:hAnsi="Times New Roman"/>
          <w:color w:val="202020"/>
          <w:sz w:val="28"/>
          <w:szCs w:val="28"/>
          <w:shd w:val="clear" w:color="auto" w:fill="ffffff"/>
        </w:rPr>
        <w:t xml:space="preserve">. Т</w:t>
      </w:r>
      <w:r>
        <w:rPr>
          <w:rFonts w:ascii="Times New Roman" w:hAnsi="Times New Roman"/>
          <w:color w:val="202020"/>
          <w:sz w:val="28"/>
          <w:szCs w:val="28"/>
          <w:shd w:val="clear" w:color="auto" w:fill="ffffff"/>
        </w:rPr>
        <w:t xml:space="preserve">акже</w:t>
      </w:r>
      <w:r>
        <w:rPr>
          <w:rFonts w:ascii="Times New Roman" w:hAnsi="Times New Roman"/>
          <w:color w:val="202020"/>
          <w:sz w:val="28"/>
          <w:szCs w:val="28"/>
          <w:shd w:val="clear" w:color="auto" w:fill="ffffff"/>
        </w:rPr>
        <w:t xml:space="preserve">  Уп</w:t>
      </w:r>
      <w:r>
        <w:rPr>
          <w:rFonts w:ascii="Times New Roman" w:hAnsi="Times New Roman"/>
          <w:color w:val="202020"/>
          <w:sz w:val="28"/>
          <w:szCs w:val="28"/>
          <w:shd w:val="clear" w:color="auto" w:fill="ffffff"/>
        </w:rPr>
        <w:t xml:space="preserve">олномоченный подчеркнула  важность реализации в области Программы развития для участников специальной военной операции «Время первых». «Отлично, что для тех, кто служит России, кто делом доказал свою преданность Отечеству, есть подобные проекты. Данная про</w:t>
      </w:r>
      <w:r>
        <w:rPr>
          <w:rFonts w:ascii="Times New Roman" w:hAnsi="Times New Roman"/>
          <w:color w:val="202020"/>
          <w:sz w:val="28"/>
          <w:szCs w:val="28"/>
          <w:shd w:val="clear" w:color="auto" w:fill="ffffff"/>
        </w:rPr>
        <w:t xml:space="preserve">грамма предполагает обучение современным методам и технологиям управления, общей командной работе. Пополнение управленческих кадров - хорошая возможность закрепления квалифицированных специалистов здесь, у нас, на малой родине»,- обозначила правозащитник. </w:t>
      </w:r>
      <w:r>
        <w:rPr>
          <w:rFonts w:ascii="Times New Roman" w:hAnsi="Times New Roman"/>
          <w:color w:val="202020"/>
          <w:sz w:val="28"/>
          <w:szCs w:val="28"/>
          <w:shd w:val="clear" w:color="auto" w:fill="ffffff"/>
        </w:rPr>
      </w:r>
      <w:r>
        <w:rPr>
          <w:rFonts w:ascii="Times New Roman" w:hAnsi="Times New Roman"/>
          <w:color w:val="202020"/>
          <w:sz w:val="28"/>
          <w:szCs w:val="28"/>
          <w:shd w:val="clear" w:color="auto" w:fill="ffffff"/>
        </w:rPr>
      </w:r>
    </w:p>
    <w:p>
      <w:pPr>
        <w:ind w:firstLine="708"/>
        <w:jc w:val="both"/>
        <w:spacing w:after="0"/>
        <w:rPr>
          <w:rFonts w:ascii="Times New Roman" w:hAnsi="Times New Roman"/>
          <w:color w:val="202020"/>
          <w:sz w:val="28"/>
          <w:szCs w:val="28"/>
          <w:shd w:val="clear" w:color="auto" w:fill="ffffff"/>
        </w:rPr>
      </w:pPr>
      <w:r>
        <w:rPr>
          <w:rFonts w:ascii="Times New Roman" w:hAnsi="Times New Roman"/>
          <w:color w:val="202020"/>
          <w:sz w:val="28"/>
          <w:szCs w:val="28"/>
          <w:shd w:val="clear" w:color="auto" w:fill="ffffff"/>
        </w:rPr>
        <w:t xml:space="preserve">В диалоге с Главой региона затронуты и аспекты работы с главами местных органов самоуправления по сохранени</w:t>
      </w:r>
      <w:r>
        <w:rPr>
          <w:rFonts w:ascii="Times New Roman" w:hAnsi="Times New Roman"/>
          <w:color w:val="202020"/>
          <w:sz w:val="28"/>
          <w:szCs w:val="28"/>
          <w:shd w:val="clear" w:color="auto" w:fill="ffffff"/>
        </w:rPr>
        <w:t xml:space="preserve">ю ценностей прав человека, необходимости укрепления связей руководителей муниципалитетов с общественными помощниками регионального омбудсмена. Уполномоченный рассказала о реализации прав вынужденных переселенцев, где происходит плотное взаимодействие с Деп</w:t>
      </w:r>
      <w:r>
        <w:rPr>
          <w:rFonts w:ascii="Times New Roman" w:hAnsi="Times New Roman"/>
          <w:color w:val="202020"/>
          <w:sz w:val="28"/>
          <w:szCs w:val="28"/>
          <w:shd w:val="clear" w:color="auto" w:fill="ffffff"/>
        </w:rPr>
        <w:t xml:space="preserve">артаментом социальной защиты населения и службой занятости, что позволяет добиваться необходимых результатов. Также обозначены вопросы расширения мер поддержки граждан с особенностями в развитии, возможности выделения дополнительного специализированного тр</w:t>
      </w:r>
      <w:r>
        <w:rPr>
          <w:rFonts w:ascii="Times New Roman" w:hAnsi="Times New Roman"/>
          <w:color w:val="202020"/>
          <w:sz w:val="28"/>
          <w:szCs w:val="28"/>
          <w:shd w:val="clear" w:color="auto" w:fill="ffffff"/>
        </w:rPr>
        <w:t xml:space="preserve">анспорта для органов соцзащиты. В завершении совещания также была обсуждена тема участия региона в федеральных проектах правового характера, предложении кандидатур для поощрения федеральной наградой по линии Уполномоченного по правам человека в РФ Татьяны </w:t>
      </w:r>
      <w:r>
        <w:rPr>
          <w:rFonts w:ascii="Times New Roman" w:hAnsi="Times New Roman"/>
          <w:color w:val="202020"/>
          <w:sz w:val="28"/>
          <w:szCs w:val="28"/>
          <w:shd w:val="clear" w:color="auto" w:fill="ffffff"/>
        </w:rPr>
        <w:t xml:space="preserve">Москальковой</w:t>
      </w:r>
      <w:r>
        <w:rPr>
          <w:rFonts w:ascii="Times New Roman" w:hAnsi="Times New Roman"/>
          <w:color w:val="202020"/>
          <w:sz w:val="28"/>
          <w:szCs w:val="28"/>
          <w:shd w:val="clear" w:color="auto" w:fill="ffffff"/>
        </w:rPr>
        <w:t xml:space="preserve"> - «Спешите делать добро».  Следует отметить, что 12</w:t>
      </w:r>
      <w:r>
        <w:rPr>
          <w:rFonts w:ascii="Times New Roman" w:hAnsi="Times New Roman"/>
          <w:color w:val="ff0000"/>
          <w:sz w:val="28"/>
          <w:szCs w:val="28"/>
          <w:shd w:val="clear" w:color="auto" w:fill="ffffff"/>
        </w:rPr>
        <w:t xml:space="preserve"> </w:t>
      </w:r>
      <w:r>
        <w:rPr>
          <w:rFonts w:ascii="Times New Roman" w:hAnsi="Times New Roman"/>
          <w:color w:val="202020"/>
          <w:sz w:val="28"/>
          <w:szCs w:val="28"/>
          <w:shd w:val="clear" w:color="auto" w:fill="ffffff"/>
        </w:rPr>
        <w:t xml:space="preserve">представителей нашего региона при подведении итогов данного конкурса </w:t>
      </w:r>
      <w:r>
        <w:rPr>
          <w:rFonts w:ascii="Times New Roman" w:hAnsi="Times New Roman"/>
          <w:color w:val="202020"/>
          <w:sz w:val="28"/>
          <w:szCs w:val="28"/>
          <w:shd w:val="clear" w:color="auto" w:fill="ffffff"/>
        </w:rPr>
        <w:t xml:space="preserve">поощрены</w:t>
      </w:r>
      <w:r>
        <w:rPr>
          <w:rFonts w:ascii="Times New Roman" w:hAnsi="Times New Roman"/>
          <w:color w:val="202020"/>
          <w:sz w:val="28"/>
          <w:szCs w:val="28"/>
          <w:shd w:val="clear" w:color="auto" w:fill="ffffff"/>
        </w:rPr>
        <w:t xml:space="preserve"> на федеральном уровне.</w:t>
      </w:r>
      <w:r>
        <w:rPr>
          <w:rFonts w:ascii="Times New Roman" w:hAnsi="Times New Roman"/>
          <w:color w:val="202020"/>
          <w:sz w:val="28"/>
          <w:szCs w:val="28"/>
          <w:shd w:val="clear" w:color="auto" w:fill="ffffff"/>
        </w:rPr>
      </w:r>
      <w:r>
        <w:rPr>
          <w:rFonts w:ascii="Times New Roman" w:hAnsi="Times New Roman"/>
          <w:color w:val="202020"/>
          <w:sz w:val="28"/>
          <w:szCs w:val="28"/>
          <w:shd w:val="clear" w:color="auto" w:fill="ffffff"/>
        </w:rPr>
      </w:r>
    </w:p>
    <w:p>
      <w:pPr>
        <w:ind w:firstLine="709"/>
        <w:jc w:val="both"/>
        <w:spacing w:after="0"/>
        <w:shd w:val="clear" w:color="ffffff" w:fill="ffffff"/>
        <w:rPr>
          <w:rFonts w:ascii="Times New Roman" w:hAnsi="Times New Roman" w:eastAsia="Liberation Sans"/>
          <w:color w:val="000000"/>
          <w:sz w:val="28"/>
          <w:szCs w:val="28"/>
          <w:highlight w:val="white"/>
        </w:rPr>
        <w:pBdr>
          <w:top w:val="none" w:color="000000" w:sz="4" w:space="0"/>
          <w:left w:val="none" w:color="000000" w:sz="4" w:space="0"/>
          <w:bottom w:val="none" w:color="000000" w:sz="4" w:space="0"/>
          <w:right w:val="none" w:color="000000" w:sz="4" w:space="0"/>
        </w:pBdr>
      </w:pPr>
      <w:r>
        <w:rPr>
          <w:rFonts w:ascii="Times New Roman" w:hAnsi="Times New Roman" w:eastAsia="Liberation Sans"/>
          <w:color w:val="000000"/>
          <w:sz w:val="28"/>
          <w:szCs w:val="28"/>
          <w:highlight w:val="white"/>
        </w:rPr>
        <w:t xml:space="preserve">Анализируя работу по взаимодействию с депутатами Ивановской областной Думы, Уполномоченный отмечает серьезный подход  законодателей  в решении социально – экономических задач. </w:t>
      </w:r>
      <w:r>
        <w:rPr>
          <w:rFonts w:ascii="Times New Roman" w:hAnsi="Times New Roman" w:eastAsia="Liberation Sans"/>
          <w:color w:val="000000"/>
          <w:sz w:val="28"/>
          <w:szCs w:val="28"/>
          <w:highlight w:val="white"/>
        </w:rPr>
        <w:t xml:space="preserve">Сотрудничество позволяет реализовывать стратегические инициативы  и учитывать интересы жителей региона. </w:t>
      </w:r>
      <w:r>
        <w:rPr>
          <w:rFonts w:ascii="Times New Roman" w:hAnsi="Times New Roman" w:eastAsia="Liberation Sans"/>
          <w:color w:val="000000"/>
          <w:sz w:val="28"/>
          <w:szCs w:val="28"/>
          <w:highlight w:val="white"/>
        </w:rPr>
      </w:r>
      <w:r>
        <w:rPr>
          <w:rFonts w:ascii="Times New Roman" w:hAnsi="Times New Roman" w:eastAsia="Liberation Sans"/>
          <w:color w:val="000000"/>
          <w:sz w:val="28"/>
          <w:szCs w:val="28"/>
          <w:highlight w:val="white"/>
        </w:rPr>
      </w:r>
    </w:p>
    <w:p>
      <w:pPr>
        <w:ind w:firstLine="709"/>
        <w:jc w:val="both"/>
        <w:spacing w:after="0"/>
        <w:shd w:val="clear" w:color="ffffff" w:fill="ffffff"/>
        <w:rPr>
          <w:rFonts w:ascii="Times New Roman" w:hAnsi="Times New Roman"/>
          <w:sz w:val="28"/>
          <w:szCs w:val="28"/>
        </w:rPr>
        <w:pBdr>
          <w:top w:val="none" w:color="000000" w:sz="4" w:space="0"/>
          <w:left w:val="none" w:color="000000" w:sz="4" w:space="0"/>
          <w:bottom w:val="none" w:color="000000" w:sz="4" w:space="0"/>
          <w:right w:val="none" w:color="000000" w:sz="4" w:space="0"/>
        </w:pBdr>
      </w:pPr>
      <w:r>
        <w:rPr>
          <w:rFonts w:ascii="Times New Roman" w:hAnsi="Times New Roman" w:eastAsia="Liberation Sans"/>
          <w:sz w:val="28"/>
          <w:szCs w:val="28"/>
          <w:highlight w:val="white"/>
        </w:rPr>
        <w:t xml:space="preserve">Следует подчеркнуть, что  за 2025 год  законодателями был принят целый ряд законов или поправок в действующие, направленных на социальную поддержку различных категорий населения, реализацию прав, гарантированных государством.</w:t>
      </w:r>
      <w:r>
        <w:rPr>
          <w:rFonts w:ascii="Times New Roman" w:hAnsi="Times New Roman"/>
          <w:sz w:val="28"/>
          <w:szCs w:val="28"/>
        </w:rPr>
      </w:r>
      <w:r>
        <w:rPr>
          <w:rFonts w:ascii="Times New Roman" w:hAnsi="Times New Roman"/>
          <w:sz w:val="28"/>
          <w:szCs w:val="28"/>
        </w:rPr>
      </w:r>
    </w:p>
    <w:p>
      <w:pPr>
        <w:ind w:firstLine="709"/>
        <w:jc w:val="both"/>
        <w:spacing w:after="0"/>
        <w:rPr>
          <w:rFonts w:ascii="Times New Roman" w:hAnsi="Times New Roman" w:eastAsia="Liberation Sans"/>
          <w:color w:val="000000"/>
          <w:sz w:val="28"/>
          <w:szCs w:val="28"/>
          <w:highlight w:val="white"/>
        </w:rPr>
      </w:pPr>
      <w:r>
        <w:rPr>
          <w:rFonts w:ascii="Times New Roman" w:hAnsi="Times New Roman" w:eastAsia="Liberation Sans"/>
          <w:color w:val="000000"/>
          <w:sz w:val="28"/>
          <w:szCs w:val="28"/>
          <w:highlight w:val="white"/>
        </w:rPr>
        <w:t xml:space="preserve">Выполнение социальных обязательств – приоритет работы депутатского корпуса областных парламентариев. Принимаемый парламентариями бюджет региона традиционно остается социально направленным. Более 50 </w:t>
      </w:r>
      <w:r>
        <w:rPr>
          <w:rFonts w:ascii="Times New Roman" w:hAnsi="Times New Roman" w:eastAsia="Liberation Sans"/>
          <w:sz w:val="28"/>
          <w:szCs w:val="28"/>
          <w:highlight w:val="white"/>
        </w:rPr>
        <w:t xml:space="preserve">%</w:t>
      </w:r>
      <w:r>
        <w:rPr>
          <w:rFonts w:ascii="Times New Roman" w:hAnsi="Times New Roman" w:eastAsia="Liberation Sans"/>
          <w:color w:val="ff0000"/>
          <w:sz w:val="28"/>
          <w:szCs w:val="28"/>
          <w:highlight w:val="white"/>
        </w:rPr>
        <w:t xml:space="preserve"> </w:t>
      </w:r>
      <w:r>
        <w:rPr>
          <w:rFonts w:ascii="Times New Roman" w:hAnsi="Times New Roman" w:eastAsia="Liberation Sans"/>
          <w:color w:val="000000"/>
          <w:sz w:val="28"/>
          <w:szCs w:val="28"/>
          <w:highlight w:val="white"/>
        </w:rPr>
        <w:t xml:space="preserve">средств областного бюджета направляется на решение социальных вопросов. </w:t>
      </w:r>
      <w:r>
        <w:rPr>
          <w:rFonts w:ascii="Times New Roman" w:hAnsi="Times New Roman" w:eastAsia="Liberation Sans"/>
          <w:color w:val="000000"/>
          <w:sz w:val="28"/>
          <w:szCs w:val="28"/>
          <w:highlight w:val="white"/>
        </w:rPr>
      </w:r>
      <w:r>
        <w:rPr>
          <w:rFonts w:ascii="Times New Roman" w:hAnsi="Times New Roman" w:eastAsia="Liberation Sans"/>
          <w:color w:val="000000"/>
          <w:sz w:val="28"/>
          <w:szCs w:val="28"/>
          <w:highlight w:val="white"/>
        </w:rPr>
      </w:r>
    </w:p>
    <w:p>
      <w:pPr>
        <w:ind w:firstLine="709"/>
        <w:jc w:val="both"/>
        <w:spacing w:after="0"/>
        <w:rPr>
          <w:rFonts w:ascii="Times New Roman" w:hAnsi="Times New Roman"/>
          <w:sz w:val="28"/>
          <w:szCs w:val="28"/>
        </w:rPr>
      </w:pPr>
      <w:r>
        <w:rPr>
          <w:rFonts w:ascii="Times New Roman" w:hAnsi="Times New Roman" w:eastAsia="Liberation Sans"/>
          <w:color w:val="000000"/>
          <w:sz w:val="28"/>
          <w:szCs w:val="28"/>
          <w:highlight w:val="white"/>
        </w:rPr>
        <w:t xml:space="preserve">Кроме того, депутаты оперативно реагируют на все сигналы, поступающие от граждан  в ходе  совместных приемов с нашей региональной службой </w:t>
      </w:r>
      <w:r>
        <w:rPr>
          <w:rFonts w:ascii="Times New Roman" w:hAnsi="Times New Roman" w:eastAsia="Liberation Sans"/>
          <w:color w:val="000000"/>
          <w:sz w:val="28"/>
          <w:szCs w:val="28"/>
          <w:highlight w:val="white"/>
        </w:rPr>
        <w:t xml:space="preserve">правозащиты</w:t>
      </w:r>
      <w:r>
        <w:rPr>
          <w:rFonts w:ascii="Times New Roman" w:hAnsi="Times New Roman" w:eastAsia="Liberation Sans"/>
          <w:color w:val="000000"/>
          <w:sz w:val="28"/>
          <w:szCs w:val="28"/>
          <w:highlight w:val="white"/>
        </w:rPr>
        <w:t xml:space="preserve"> и личных встреч, чтобы при необходимости внести корректировки в действующее законодательство для максимально эффективной его работы.</w:t>
      </w:r>
      <w:r>
        <w:rPr>
          <w:rFonts w:ascii="Times New Roman" w:hAnsi="Times New Roman"/>
          <w:sz w:val="28"/>
          <w:szCs w:val="28"/>
        </w:rPr>
      </w:r>
      <w:r>
        <w:rPr>
          <w:rFonts w:ascii="Times New Roman" w:hAnsi="Times New Roman"/>
          <w:sz w:val="28"/>
          <w:szCs w:val="28"/>
        </w:rPr>
      </w:r>
    </w:p>
    <w:p>
      <w:pPr>
        <w:ind w:firstLine="709"/>
        <w:jc w:val="both"/>
        <w:spacing w:after="0"/>
        <w:rPr>
          <w:rFonts w:ascii="Times New Roman" w:hAnsi="Times New Roman"/>
          <w:sz w:val="28"/>
          <w:szCs w:val="28"/>
        </w:rPr>
      </w:pPr>
      <w:r>
        <w:rPr>
          <w:rFonts w:ascii="Times New Roman" w:hAnsi="Times New Roman"/>
          <w:sz w:val="28"/>
          <w:szCs w:val="28"/>
        </w:rPr>
        <w:t xml:space="preserve">Одним из самых важных и ответственных дней в работе регионального омбудсмена – это представление ежегодного доклада о деятельности за прошедший год перед депутатами Ивановской областной Думы. </w:t>
      </w:r>
      <w:r>
        <w:rPr>
          <w:rFonts w:ascii="Times New Roman" w:hAnsi="Times New Roman"/>
          <w:sz w:val="28"/>
          <w:szCs w:val="28"/>
        </w:rPr>
      </w:r>
      <w:r>
        <w:rPr>
          <w:rFonts w:ascii="Times New Roman" w:hAnsi="Times New Roman"/>
          <w:sz w:val="28"/>
          <w:szCs w:val="28"/>
        </w:rPr>
      </w:r>
    </w:p>
    <w:p>
      <w:pPr>
        <w:ind w:firstLine="708"/>
        <w:jc w:val="both"/>
        <w:spacing w:after="0"/>
        <w:rPr>
          <w:rFonts w:ascii="Times New Roman" w:hAnsi="Times New Roman"/>
          <w:sz w:val="28"/>
          <w:szCs w:val="28"/>
        </w:rPr>
      </w:pPr>
      <w:r>
        <w:rPr>
          <w:rFonts w:ascii="Times New Roman" w:hAnsi="Times New Roman"/>
          <w:sz w:val="28"/>
          <w:szCs w:val="28"/>
        </w:rPr>
        <w:t xml:space="preserve">В ходе апрельского заседания  Уполномоченный рассказала депутатам основные тезисы ежегодного доклада, что волнует жителей области, по каким вопросам и проблемам обращаются чаще всего в Службу Уполномоченного.</w:t>
      </w:r>
      <w:r>
        <w:rPr>
          <w:rFonts w:ascii="Times New Roman" w:hAnsi="Times New Roman"/>
          <w:sz w:val="28"/>
          <w:szCs w:val="28"/>
        </w:rPr>
      </w:r>
      <w:r>
        <w:rPr>
          <w:rFonts w:ascii="Times New Roman" w:hAnsi="Times New Roman"/>
          <w:sz w:val="28"/>
          <w:szCs w:val="28"/>
        </w:rPr>
      </w:r>
    </w:p>
    <w:p>
      <w:pPr>
        <w:ind w:firstLine="708"/>
        <w:jc w:val="both"/>
        <w:spacing w:after="0"/>
        <w:rPr>
          <w:rFonts w:ascii="Times New Roman" w:hAnsi="Times New Roman"/>
          <w:sz w:val="28"/>
          <w:szCs w:val="28"/>
        </w:rPr>
      </w:pPr>
      <w:r>
        <w:rPr>
          <w:rFonts w:ascii="Times New Roman" w:hAnsi="Times New Roman"/>
          <w:sz w:val="28"/>
          <w:szCs w:val="28"/>
        </w:rPr>
        <w:t xml:space="preserve">Парламентариями обращено внимание на высказанные в докладе </w:t>
      </w:r>
      <w:r>
        <w:rPr>
          <w:rFonts w:ascii="Times New Roman" w:hAnsi="Times New Roman"/>
          <w:sz w:val="28"/>
          <w:szCs w:val="28"/>
        </w:rPr>
        <w:t xml:space="preserve">рекомендации на основании выявленных нарушений прав человека на территории Ивановской области, недочетов в работе органов местного самоуправления. По итогам заседания традиционно рекомендации рассматривались профильными комитетами регионального парламента.</w:t>
      </w:r>
      <w:r>
        <w:rPr>
          <w:rFonts w:ascii="Times New Roman" w:hAnsi="Times New Roman"/>
          <w:sz w:val="28"/>
          <w:szCs w:val="28"/>
        </w:rPr>
      </w:r>
      <w:r>
        <w:rPr>
          <w:rFonts w:ascii="Times New Roman" w:hAnsi="Times New Roman"/>
          <w:sz w:val="28"/>
          <w:szCs w:val="28"/>
        </w:rPr>
      </w:r>
    </w:p>
    <w:p>
      <w:pPr>
        <w:ind w:firstLine="708"/>
        <w:jc w:val="both"/>
        <w:spacing w:after="0"/>
        <w:rPr>
          <w:rFonts w:ascii="Times New Roman" w:hAnsi="Times New Roman"/>
          <w:sz w:val="28"/>
          <w:szCs w:val="28"/>
        </w:rPr>
      </w:pPr>
      <w:r>
        <w:rPr>
          <w:rFonts w:ascii="Times New Roman" w:hAnsi="Times New Roman"/>
          <w:sz w:val="28"/>
          <w:szCs w:val="28"/>
        </w:rPr>
        <w:t xml:space="preserve">Достигнута договоренность </w:t>
      </w:r>
      <w:r>
        <w:rPr>
          <w:rFonts w:ascii="Times New Roman" w:hAnsi="Times New Roman"/>
          <w:sz w:val="28"/>
          <w:szCs w:val="28"/>
        </w:rPr>
        <w:t xml:space="preserve">о</w:t>
      </w:r>
      <w:r>
        <w:rPr>
          <w:rFonts w:ascii="Times New Roman" w:hAnsi="Times New Roman"/>
          <w:sz w:val="28"/>
          <w:szCs w:val="28"/>
        </w:rPr>
        <w:t xml:space="preserve">  что выездные Дни правовых знаний правозащитника вместе с командой специалистов на базе муниципальных образований  позволяют решить многие вопросы местных жителей.</w:t>
      </w:r>
      <w:r>
        <w:rPr>
          <w:rFonts w:ascii="Times New Roman" w:hAnsi="Times New Roman"/>
          <w:sz w:val="28"/>
          <w:szCs w:val="28"/>
        </w:rPr>
      </w:r>
      <w:r>
        <w:rPr>
          <w:rFonts w:ascii="Times New Roman" w:hAnsi="Times New Roman"/>
          <w:sz w:val="28"/>
          <w:szCs w:val="28"/>
        </w:rPr>
      </w:r>
    </w:p>
    <w:p>
      <w:pPr>
        <w:ind w:firstLine="708"/>
        <w:jc w:val="both"/>
        <w:spacing w:after="0"/>
        <w:rPr>
          <w:rFonts w:ascii="Times New Roman" w:hAnsi="Times New Roman"/>
          <w:sz w:val="28"/>
          <w:szCs w:val="28"/>
        </w:rPr>
      </w:pPr>
      <w:r>
        <w:rPr>
          <w:rFonts w:ascii="Times New Roman" w:hAnsi="Times New Roman"/>
          <w:sz w:val="28"/>
          <w:szCs w:val="28"/>
        </w:rPr>
        <w:t xml:space="preserve">Также в соответствии с Регламентом Ивановской областной Думы, Уполномоченный регулярно участвует в заседаниях регионального парламента. </w:t>
      </w:r>
      <w:r>
        <w:rPr>
          <w:rFonts w:ascii="Times New Roman" w:hAnsi="Times New Roman"/>
          <w:sz w:val="28"/>
          <w:szCs w:val="28"/>
        </w:rPr>
      </w:r>
      <w:r>
        <w:rPr>
          <w:rFonts w:ascii="Times New Roman" w:hAnsi="Times New Roman"/>
          <w:sz w:val="28"/>
          <w:szCs w:val="28"/>
        </w:rPr>
      </w:r>
    </w:p>
    <w:p>
      <w:pPr>
        <w:jc w:val="both"/>
        <w:spacing w:after="0"/>
        <w:rPr>
          <w:rFonts w:ascii="Times New Roman" w:hAnsi="Times New Roman"/>
          <w:sz w:val="28"/>
          <w:szCs w:val="28"/>
        </w:rPr>
      </w:pPr>
      <w:r>
        <w:rPr>
          <w:rFonts w:ascii="Times New Roman" w:hAnsi="Times New Roman"/>
          <w:color w:val="ff0000"/>
          <w:sz w:val="28"/>
          <w:szCs w:val="28"/>
        </w:rPr>
        <w:tab/>
      </w:r>
      <w:r>
        <w:rPr>
          <w:rFonts w:ascii="Times New Roman" w:hAnsi="Times New Roman"/>
          <w:sz w:val="28"/>
          <w:szCs w:val="28"/>
        </w:rPr>
        <w:t xml:space="preserve">В течение отчетного года Уполномоченным направлены положительные заключения на следующие проекты законов Ивановской области:</w:t>
      </w:r>
      <w:r>
        <w:rPr>
          <w:rFonts w:ascii="Times New Roman" w:hAnsi="Times New Roman"/>
          <w:sz w:val="28"/>
          <w:szCs w:val="28"/>
        </w:rPr>
      </w:r>
      <w:r>
        <w:rPr>
          <w:rFonts w:ascii="Times New Roman" w:hAnsi="Times New Roman"/>
          <w:sz w:val="28"/>
          <w:szCs w:val="28"/>
        </w:rPr>
      </w:r>
    </w:p>
    <w:p>
      <w:pPr>
        <w:pStyle w:val="1227"/>
        <w:numPr>
          <w:ilvl w:val="0"/>
          <w:numId w:val="78"/>
        </w:numPr>
        <w:ind w:left="0" w:firstLine="709"/>
        <w:jc w:val="both"/>
        <w:spacing w:line="276" w:lineRule="auto"/>
        <w:rPr>
          <w:rFonts w:ascii="Times New Roman" w:hAnsi="Times New Roman"/>
          <w:sz w:val="28"/>
          <w:szCs w:val="28"/>
          <w:lang w:val="ru-RU"/>
        </w:rPr>
      </w:pPr>
      <w:r>
        <w:rPr>
          <w:rFonts w:ascii="Times New Roman" w:hAnsi="Times New Roman"/>
          <w:color w:val="000000"/>
          <w:sz w:val="28"/>
          <w:szCs w:val="28"/>
          <w:shd w:val="clear" w:color="auto" w:fill="ffffff"/>
          <w:lang w:val="ru-RU"/>
        </w:rPr>
        <w:t xml:space="preserve"> «О внесении изменения в Закон Ивановской области «О молодежной политике в Ивановской области»;</w:t>
      </w:r>
      <w:r>
        <w:rPr>
          <w:rFonts w:ascii="Times New Roman" w:hAnsi="Times New Roman"/>
          <w:sz w:val="28"/>
          <w:szCs w:val="28"/>
          <w:lang w:val="ru-RU"/>
        </w:rPr>
      </w:r>
      <w:r>
        <w:rPr>
          <w:rFonts w:ascii="Times New Roman" w:hAnsi="Times New Roman"/>
          <w:sz w:val="28"/>
          <w:szCs w:val="28"/>
          <w:lang w:val="ru-RU"/>
        </w:rPr>
      </w:r>
    </w:p>
    <w:p>
      <w:pPr>
        <w:pStyle w:val="1227"/>
        <w:numPr>
          <w:ilvl w:val="0"/>
          <w:numId w:val="78"/>
        </w:numPr>
        <w:ind w:left="0" w:firstLine="709"/>
        <w:jc w:val="both"/>
        <w:spacing w:line="276" w:lineRule="auto"/>
        <w:rPr>
          <w:rFonts w:ascii="Times New Roman" w:hAnsi="Times New Roman"/>
          <w:color w:val="000000"/>
          <w:sz w:val="28"/>
          <w:szCs w:val="28"/>
          <w:shd w:val="clear" w:color="auto" w:fill="ffffff"/>
          <w:lang w:val="ru-RU"/>
        </w:rPr>
      </w:pPr>
      <w:r>
        <w:rPr>
          <w:rFonts w:ascii="Times New Roman" w:hAnsi="Times New Roman"/>
          <w:color w:val="000000"/>
          <w:sz w:val="28"/>
          <w:szCs w:val="28"/>
          <w:shd w:val="clear" w:color="auto" w:fill="ffffff"/>
          <w:lang w:val="ru-RU"/>
        </w:rPr>
        <w:t xml:space="preserve"> «Об установлении на территории Ивановской области квоты для приема на работу граждан, завершивших военную службу»;</w:t>
      </w:r>
      <w:r>
        <w:rPr>
          <w:rFonts w:ascii="Times New Roman" w:hAnsi="Times New Roman"/>
          <w:color w:val="000000"/>
          <w:sz w:val="28"/>
          <w:szCs w:val="28"/>
          <w:shd w:val="clear" w:color="auto" w:fill="ffffff"/>
          <w:lang w:val="ru-RU"/>
        </w:rPr>
      </w:r>
      <w:r>
        <w:rPr>
          <w:rFonts w:ascii="Times New Roman" w:hAnsi="Times New Roman"/>
          <w:color w:val="000000"/>
          <w:sz w:val="28"/>
          <w:szCs w:val="28"/>
          <w:shd w:val="clear" w:color="auto" w:fill="ffffff"/>
          <w:lang w:val="ru-RU"/>
        </w:rPr>
      </w:r>
    </w:p>
    <w:p>
      <w:pPr>
        <w:pStyle w:val="1227"/>
        <w:numPr>
          <w:ilvl w:val="0"/>
          <w:numId w:val="78"/>
        </w:numPr>
        <w:ind w:left="0" w:firstLine="709"/>
        <w:jc w:val="both"/>
        <w:spacing w:line="276" w:lineRule="auto"/>
        <w:rPr>
          <w:rFonts w:ascii="Times New Roman" w:hAnsi="Times New Roman"/>
          <w:sz w:val="28"/>
          <w:szCs w:val="28"/>
          <w:lang w:val="ru-RU"/>
        </w:rPr>
      </w:pPr>
      <w:r>
        <w:rPr>
          <w:rFonts w:ascii="Times New Roman" w:hAnsi="Times New Roman" w:eastAsia="Times New Roman"/>
          <w:color w:val="000000"/>
          <w:sz w:val="28"/>
          <w:szCs w:val="28"/>
          <w:highlight w:val="white"/>
          <w:lang w:val="ru-RU"/>
        </w:rPr>
        <w:t xml:space="preserve"> «О внесении изменений в статью 1 Закона Ивановской области «О бесплатном предоставлении земельных участков на территории Ивановской области отдельным категориям граждан за заслуги, проявленные в ходе участия в специальной военной операции»</w:t>
      </w:r>
      <w:r>
        <w:rPr>
          <w:rFonts w:ascii="Times New Roman" w:hAnsi="Times New Roman" w:eastAsia="Times New Roman"/>
          <w:color w:val="000000"/>
          <w:sz w:val="28"/>
          <w:szCs w:val="28"/>
          <w:lang w:val="ru-RU"/>
        </w:rPr>
        <w:t xml:space="preserve">.</w:t>
      </w:r>
      <w:r>
        <w:rPr>
          <w:rFonts w:ascii="Times New Roman" w:hAnsi="Times New Roman"/>
          <w:sz w:val="28"/>
          <w:szCs w:val="28"/>
          <w:lang w:val="ru-RU"/>
        </w:rPr>
      </w:r>
      <w:r>
        <w:rPr>
          <w:rFonts w:ascii="Times New Roman" w:hAnsi="Times New Roman"/>
          <w:sz w:val="28"/>
          <w:szCs w:val="28"/>
          <w:lang w:val="ru-RU"/>
        </w:rPr>
      </w:r>
    </w:p>
    <w:p>
      <w:pPr>
        <w:ind w:firstLine="708"/>
        <w:jc w:val="both"/>
        <w:spacing w:after="0"/>
        <w:shd w:val="clear" w:color="ffffff" w:fill="ffffff"/>
        <w:rPr>
          <w:rFonts w:ascii="Times New Roman" w:hAnsi="Times New Roman" w:eastAsia="Liberation Sans"/>
          <w:color w:val="000000"/>
          <w:sz w:val="28"/>
          <w:szCs w:val="28"/>
        </w:rPr>
        <w:pBdr>
          <w:top w:val="none" w:color="000000" w:sz="4" w:space="0"/>
          <w:left w:val="none" w:color="000000" w:sz="4" w:space="0"/>
          <w:bottom w:val="none" w:color="000000" w:sz="4" w:space="0"/>
          <w:right w:val="none" w:color="000000" w:sz="4" w:space="0"/>
        </w:pBdr>
      </w:pPr>
      <w:r>
        <w:rPr>
          <w:rFonts w:ascii="Times New Roman" w:hAnsi="Times New Roman" w:eastAsia="Liberation Sans"/>
          <w:color w:val="000000"/>
          <w:sz w:val="28"/>
          <w:szCs w:val="28"/>
          <w:highlight w:val="white"/>
        </w:rPr>
        <w:t xml:space="preserve">Выражаю надежду на продолжение дальнейшего эффективного сотрудничества с депутатским корпусом  по обеспечению  соблюдения конституционных прав граждан</w:t>
      </w:r>
      <w:r>
        <w:rPr>
          <w:rFonts w:ascii="Times New Roman" w:hAnsi="Times New Roman" w:eastAsia="Liberation Sans"/>
          <w:color w:val="000000"/>
          <w:sz w:val="28"/>
          <w:szCs w:val="28"/>
        </w:rPr>
        <w:t xml:space="preserve">.</w:t>
      </w:r>
      <w:r>
        <w:rPr>
          <w:rFonts w:ascii="Times New Roman" w:hAnsi="Times New Roman" w:eastAsia="Liberation Sans"/>
          <w:color w:val="000000"/>
          <w:sz w:val="28"/>
          <w:szCs w:val="28"/>
        </w:rPr>
      </w:r>
      <w:r>
        <w:rPr>
          <w:rFonts w:ascii="Times New Roman" w:hAnsi="Times New Roman" w:eastAsia="Liberation Sans"/>
          <w:color w:val="000000"/>
          <w:sz w:val="28"/>
          <w:szCs w:val="28"/>
        </w:rPr>
      </w:r>
    </w:p>
    <w:p>
      <w:pPr>
        <w:ind w:firstLine="709"/>
        <w:jc w:val="both"/>
        <w:spacing w:after="0"/>
        <w:rPr>
          <w:rFonts w:ascii="Times New Roman" w:hAnsi="Times New Roman"/>
          <w:sz w:val="28"/>
          <w:szCs w:val="28"/>
        </w:rPr>
      </w:pPr>
      <w:r>
        <w:rPr>
          <w:rFonts w:ascii="Times New Roman" w:hAnsi="Times New Roman"/>
          <w:sz w:val="28"/>
          <w:szCs w:val="28"/>
        </w:rPr>
        <w:t xml:space="preserve">На терри</w:t>
      </w:r>
      <w:r>
        <w:rPr>
          <w:rFonts w:ascii="Times New Roman" w:hAnsi="Times New Roman"/>
          <w:sz w:val="28"/>
          <w:szCs w:val="28"/>
        </w:rPr>
        <w:t xml:space="preserve">тории Ивановской области действует Комиссия по вопросам помилования, которая является коллегиальным совещательным органом, созданным для обеспечения участия органов государственной власти и общественности в рассмотрении вопросов, связанных с помилованием. </w:t>
      </w:r>
      <w:r>
        <w:rPr>
          <w:rFonts w:ascii="Times New Roman" w:hAnsi="Times New Roman" w:eastAsia="Times New Roman"/>
          <w:color w:val="000000"/>
          <w:sz w:val="28"/>
          <w:szCs w:val="28"/>
        </w:rPr>
        <w:t xml:space="preserve">Уполномоченный является заместителем председателя данной комиссии</w:t>
      </w:r>
      <w:r>
        <w:rPr>
          <w:rFonts w:ascii="Times New Roman" w:hAnsi="Times New Roman"/>
          <w:sz w:val="28"/>
          <w:szCs w:val="28"/>
        </w:rPr>
        <w:t xml:space="preserve">. </w:t>
      </w:r>
      <w:r>
        <w:rPr>
          <w:rFonts w:ascii="Times New Roman" w:hAnsi="Times New Roman"/>
          <w:sz w:val="28"/>
          <w:szCs w:val="28"/>
        </w:rPr>
      </w:r>
      <w:r>
        <w:rPr>
          <w:rFonts w:ascii="Times New Roman" w:hAnsi="Times New Roman"/>
          <w:sz w:val="28"/>
          <w:szCs w:val="28"/>
        </w:rPr>
      </w:r>
    </w:p>
    <w:p>
      <w:pPr>
        <w:ind w:firstLine="709"/>
        <w:jc w:val="both"/>
        <w:spacing w:after="0"/>
        <w:rPr>
          <w:rFonts w:ascii="Times New Roman" w:hAnsi="Times New Roman"/>
          <w:sz w:val="28"/>
          <w:szCs w:val="28"/>
        </w:rPr>
      </w:pPr>
      <w:r>
        <w:rPr>
          <w:rFonts w:ascii="Times New Roman" w:hAnsi="Times New Roman" w:eastAsia="Times New Roman"/>
          <w:sz w:val="28"/>
          <w:szCs w:val="28"/>
        </w:rPr>
        <w:t xml:space="preserve">Основными задачами комиссии являются: </w:t>
      </w:r>
      <w:r>
        <w:rPr>
          <w:rFonts w:ascii="Times New Roman" w:hAnsi="Times New Roman"/>
          <w:sz w:val="28"/>
          <w:szCs w:val="28"/>
        </w:rPr>
      </w:r>
      <w:r>
        <w:rPr>
          <w:rFonts w:ascii="Times New Roman" w:hAnsi="Times New Roman"/>
          <w:sz w:val="28"/>
          <w:szCs w:val="28"/>
        </w:rPr>
      </w:r>
    </w:p>
    <w:p>
      <w:pPr>
        <w:pStyle w:val="1227"/>
        <w:numPr>
          <w:ilvl w:val="0"/>
          <w:numId w:val="79"/>
        </w:numPr>
        <w:ind w:left="0" w:firstLine="709"/>
        <w:jc w:val="both"/>
        <w:spacing w:line="276" w:lineRule="auto"/>
        <w:rPr>
          <w:rFonts w:ascii="Times New Roman" w:hAnsi="Times New Roman"/>
          <w:sz w:val="28"/>
          <w:szCs w:val="28"/>
          <w:lang w:val="ru-RU"/>
        </w:rPr>
      </w:pPr>
      <w:r>
        <w:rPr>
          <w:rFonts w:ascii="Times New Roman" w:hAnsi="Times New Roman" w:eastAsia="Times New Roman"/>
          <w:sz w:val="28"/>
          <w:szCs w:val="28"/>
          <w:lang w:val="ru-RU"/>
        </w:rPr>
        <w:t xml:space="preserve">предварительное рассмотрение ходатайств о помиловании, поданных осужденными, находящимися на территории Ивановской области, а также поступивших от лиц, отбывших назначенное судом наказание и имеющих неснятую или непогашенную судимость; </w:t>
      </w:r>
      <w:r>
        <w:rPr>
          <w:rFonts w:ascii="Times New Roman" w:hAnsi="Times New Roman"/>
          <w:sz w:val="28"/>
          <w:szCs w:val="28"/>
          <w:lang w:val="ru-RU"/>
        </w:rPr>
      </w:r>
      <w:r>
        <w:rPr>
          <w:rFonts w:ascii="Times New Roman" w:hAnsi="Times New Roman"/>
          <w:sz w:val="28"/>
          <w:szCs w:val="28"/>
          <w:lang w:val="ru-RU"/>
        </w:rPr>
      </w:r>
    </w:p>
    <w:p>
      <w:pPr>
        <w:pStyle w:val="1227"/>
        <w:numPr>
          <w:ilvl w:val="0"/>
          <w:numId w:val="79"/>
        </w:numPr>
        <w:ind w:left="0" w:firstLine="709"/>
        <w:jc w:val="both"/>
        <w:spacing w:line="276" w:lineRule="auto"/>
        <w:rPr>
          <w:rFonts w:ascii="Times New Roman" w:hAnsi="Times New Roman"/>
          <w:sz w:val="28"/>
          <w:szCs w:val="28"/>
          <w:lang w:val="ru-RU"/>
        </w:rPr>
      </w:pPr>
      <w:r>
        <w:rPr>
          <w:rFonts w:ascii="Times New Roman" w:hAnsi="Times New Roman" w:eastAsia="Times New Roman"/>
          <w:sz w:val="28"/>
          <w:szCs w:val="28"/>
          <w:lang w:val="ru-RU"/>
        </w:rPr>
        <w:t xml:space="preserve">подготовка заключений по материалам о помиловании для дальнейшего представления Губернатору Ивановской области; </w:t>
      </w:r>
      <w:r>
        <w:rPr>
          <w:rFonts w:ascii="Times New Roman" w:hAnsi="Times New Roman"/>
          <w:sz w:val="28"/>
          <w:szCs w:val="28"/>
          <w:lang w:val="ru-RU"/>
        </w:rPr>
      </w:r>
      <w:r>
        <w:rPr>
          <w:rFonts w:ascii="Times New Roman" w:hAnsi="Times New Roman"/>
          <w:sz w:val="28"/>
          <w:szCs w:val="28"/>
          <w:lang w:val="ru-RU"/>
        </w:rPr>
      </w:r>
    </w:p>
    <w:p>
      <w:pPr>
        <w:pStyle w:val="1227"/>
        <w:numPr>
          <w:ilvl w:val="0"/>
          <w:numId w:val="79"/>
        </w:numPr>
        <w:ind w:left="0" w:firstLine="709"/>
        <w:jc w:val="both"/>
        <w:spacing w:line="276" w:lineRule="auto"/>
        <w:rPr>
          <w:rFonts w:ascii="Times New Roman" w:hAnsi="Times New Roman"/>
          <w:sz w:val="28"/>
          <w:szCs w:val="28"/>
          <w:lang w:val="ru-RU"/>
        </w:rPr>
      </w:pPr>
      <w:r>
        <w:rPr>
          <w:rFonts w:ascii="Times New Roman" w:hAnsi="Times New Roman" w:eastAsia="Times New Roman"/>
          <w:sz w:val="28"/>
          <w:szCs w:val="28"/>
          <w:lang w:val="ru-RU"/>
        </w:rPr>
        <w:t xml:space="preserve">подготовка предложений о повышении эффективности взаимодейств</w:t>
      </w:r>
      <w:r>
        <w:rPr>
          <w:rFonts w:ascii="Times New Roman" w:hAnsi="Times New Roman" w:eastAsia="Times New Roman"/>
          <w:sz w:val="28"/>
          <w:szCs w:val="28"/>
          <w:lang w:val="ru-RU"/>
        </w:rPr>
        <w:t xml:space="preserve">ия учреждений и органов уголовно-исполнительной системы, иных государственных органов, органов местного самоуправления, находящихся на территории Ивановской области, по вопросам помилования осужденных, а также социальной адаптации лиц, отбывших наказание; </w:t>
      </w:r>
      <w:r>
        <w:rPr>
          <w:rFonts w:ascii="Times New Roman" w:hAnsi="Times New Roman"/>
          <w:sz w:val="28"/>
          <w:szCs w:val="28"/>
          <w:lang w:val="ru-RU"/>
        </w:rPr>
      </w:r>
      <w:r>
        <w:rPr>
          <w:rFonts w:ascii="Times New Roman" w:hAnsi="Times New Roman"/>
          <w:sz w:val="28"/>
          <w:szCs w:val="28"/>
          <w:lang w:val="ru-RU"/>
        </w:rPr>
      </w:r>
    </w:p>
    <w:p>
      <w:pPr>
        <w:pStyle w:val="1227"/>
        <w:numPr>
          <w:ilvl w:val="0"/>
          <w:numId w:val="79"/>
        </w:numPr>
        <w:ind w:left="0" w:firstLine="709"/>
        <w:jc w:val="both"/>
        <w:spacing w:line="276" w:lineRule="auto"/>
        <w:rPr>
          <w:rFonts w:ascii="Times New Roman" w:hAnsi="Times New Roman"/>
          <w:sz w:val="28"/>
          <w:szCs w:val="28"/>
          <w:lang w:val="ru-RU"/>
        </w:rPr>
      </w:pPr>
      <w:r>
        <w:rPr>
          <w:rFonts w:ascii="Times New Roman" w:hAnsi="Times New Roman" w:eastAsia="Times New Roman"/>
          <w:sz w:val="28"/>
          <w:szCs w:val="28"/>
          <w:lang w:val="ru-RU"/>
        </w:rPr>
        <w:t xml:space="preserve">осуществление </w:t>
      </w:r>
      <w:r>
        <w:rPr>
          <w:rFonts w:ascii="Times New Roman" w:hAnsi="Times New Roman" w:eastAsia="Times New Roman"/>
          <w:sz w:val="28"/>
          <w:szCs w:val="28"/>
          <w:lang w:val="ru-RU"/>
        </w:rPr>
        <w:t xml:space="preserve">контроля за</w:t>
      </w:r>
      <w:r>
        <w:rPr>
          <w:rFonts w:ascii="Times New Roman" w:hAnsi="Times New Roman" w:eastAsia="Times New Roman"/>
          <w:sz w:val="28"/>
          <w:szCs w:val="28"/>
          <w:lang w:val="ru-RU"/>
        </w:rPr>
        <w:t xml:space="preserve"> соблюдением права лица просить о помиловании. </w:t>
      </w:r>
      <w:r>
        <w:rPr>
          <w:rFonts w:ascii="Times New Roman" w:hAnsi="Times New Roman"/>
          <w:sz w:val="28"/>
          <w:szCs w:val="28"/>
          <w:lang w:val="ru-RU"/>
        </w:rPr>
      </w:r>
      <w:r>
        <w:rPr>
          <w:rFonts w:ascii="Times New Roman" w:hAnsi="Times New Roman"/>
          <w:sz w:val="28"/>
          <w:szCs w:val="28"/>
          <w:lang w:val="ru-RU"/>
        </w:rPr>
      </w:r>
    </w:p>
    <w:p>
      <w:pPr>
        <w:ind w:firstLine="709"/>
        <w:jc w:val="both"/>
        <w:spacing w:after="0"/>
        <w:rPr>
          <w:rFonts w:ascii="Times New Roman" w:hAnsi="Times New Roman"/>
          <w:sz w:val="28"/>
          <w:szCs w:val="28"/>
        </w:rPr>
      </w:pPr>
      <w:r>
        <w:rPr>
          <w:rFonts w:ascii="Times New Roman" w:hAnsi="Times New Roman"/>
          <w:sz w:val="28"/>
          <w:szCs w:val="28"/>
        </w:rPr>
        <w:t xml:space="preserve">В 2025 году проведено </w:t>
      </w:r>
      <w:r>
        <w:rPr>
          <w:rFonts w:ascii="Times New Roman" w:hAnsi="Times New Roman"/>
          <w:color w:val="000000" w:themeColor="text1"/>
          <w:sz w:val="28"/>
          <w:szCs w:val="28"/>
        </w:rPr>
        <w:t xml:space="preserve">3</w:t>
      </w:r>
      <w:r>
        <w:rPr>
          <w:rFonts w:ascii="Times New Roman" w:hAnsi="Times New Roman"/>
          <w:sz w:val="28"/>
          <w:szCs w:val="28"/>
        </w:rPr>
        <w:t xml:space="preserve"> заседания данного коллегиального органа,  рассмотрено 7 ходатайств о помиловании, из которых по 1 принято решение о </w:t>
      </w:r>
      <w:r>
        <w:rPr>
          <w:rFonts w:ascii="Times New Roman" w:hAnsi="Times New Roman" w:eastAsia="Times New Roman"/>
          <w:sz w:val="28"/>
          <w:szCs w:val="28"/>
        </w:rPr>
        <w:t xml:space="preserve">целесообразности применения акта помилования. </w:t>
      </w:r>
      <w:r>
        <w:rPr>
          <w:rFonts w:ascii="Times New Roman" w:hAnsi="Times New Roman"/>
          <w:sz w:val="28"/>
          <w:szCs w:val="28"/>
        </w:rPr>
      </w:r>
      <w:r>
        <w:rPr>
          <w:rFonts w:ascii="Times New Roman" w:hAnsi="Times New Roman"/>
          <w:sz w:val="28"/>
          <w:szCs w:val="28"/>
        </w:rPr>
      </w:r>
    </w:p>
    <w:p>
      <w:pPr>
        <w:ind w:firstLine="709"/>
        <w:jc w:val="both"/>
        <w:spacing w:after="0"/>
        <w:rPr>
          <w:rFonts w:ascii="Times New Roman" w:hAnsi="Times New Roman"/>
          <w:sz w:val="28"/>
          <w:szCs w:val="28"/>
        </w:rPr>
      </w:pPr>
      <w:r>
        <w:rPr>
          <w:rFonts w:ascii="Times New Roman" w:hAnsi="Times New Roman" w:eastAsia="Times New Roman"/>
          <w:color w:val="000000" w:themeColor="text1"/>
          <w:sz w:val="28"/>
          <w:szCs w:val="28"/>
          <w:highlight w:val="white"/>
        </w:rPr>
        <w:t xml:space="preserve">Добавим, что исключительное право на осуществление помилования принадлежит Президенту РФ (статья 89 Конституции РФ).</w:t>
      </w:r>
      <w:r>
        <w:rPr>
          <w:rFonts w:ascii="Times New Roman" w:hAnsi="Times New Roman"/>
          <w:sz w:val="28"/>
          <w:szCs w:val="28"/>
        </w:rPr>
      </w:r>
      <w:r>
        <w:rPr>
          <w:rFonts w:ascii="Times New Roman" w:hAnsi="Times New Roman"/>
          <w:sz w:val="28"/>
          <w:szCs w:val="28"/>
        </w:rPr>
      </w:r>
    </w:p>
    <w:p>
      <w:pPr>
        <w:ind w:firstLine="709"/>
        <w:jc w:val="both"/>
        <w:spacing w:after="0"/>
        <w:rPr>
          <w:rFonts w:ascii="Times New Roman" w:hAnsi="Times New Roman"/>
          <w:sz w:val="28"/>
          <w:szCs w:val="28"/>
        </w:rPr>
      </w:pPr>
      <w:r>
        <w:rPr>
          <w:rFonts w:ascii="Times New Roman" w:hAnsi="Times New Roman"/>
          <w:sz w:val="28"/>
          <w:szCs w:val="28"/>
        </w:rPr>
        <w:t xml:space="preserve">В течение февраля-марта прошлого года Уполномоченный приняла участие в работе коллегий территориальных Управлений ФСИН, ФССП, </w:t>
      </w:r>
      <w:r>
        <w:rPr>
          <w:rFonts w:ascii="Times New Roman" w:hAnsi="Times New Roman"/>
          <w:sz w:val="28"/>
          <w:szCs w:val="28"/>
        </w:rPr>
        <w:t xml:space="preserve">Роспотребнадзора</w:t>
      </w:r>
      <w:r>
        <w:rPr>
          <w:rFonts w:ascii="Times New Roman" w:hAnsi="Times New Roman"/>
          <w:sz w:val="28"/>
          <w:szCs w:val="28"/>
        </w:rPr>
        <w:t xml:space="preserve">, </w:t>
      </w:r>
      <w:r>
        <w:rPr>
          <w:rFonts w:ascii="Times New Roman" w:hAnsi="Times New Roman"/>
          <w:sz w:val="28"/>
          <w:szCs w:val="28"/>
        </w:rPr>
        <w:t xml:space="preserve">Россельхознадзора</w:t>
      </w:r>
      <w:r>
        <w:rPr>
          <w:rFonts w:ascii="Times New Roman" w:hAnsi="Times New Roman"/>
          <w:sz w:val="28"/>
          <w:szCs w:val="28"/>
        </w:rPr>
        <w:t xml:space="preserve">, областных Департаментов соцзащиты населения, образования и науки, внутренней политики, спорта. </w:t>
      </w:r>
      <w:r>
        <w:rPr>
          <w:rFonts w:ascii="Times New Roman" w:hAnsi="Times New Roman"/>
          <w:sz w:val="28"/>
          <w:szCs w:val="28"/>
        </w:rPr>
      </w:r>
      <w:r>
        <w:rPr>
          <w:rFonts w:ascii="Times New Roman" w:hAnsi="Times New Roman"/>
          <w:sz w:val="28"/>
          <w:szCs w:val="28"/>
        </w:rPr>
      </w:r>
    </w:p>
    <w:p>
      <w:pPr>
        <w:jc w:val="both"/>
        <w:spacing w:after="0"/>
        <w:rPr>
          <w:rFonts w:ascii="Times New Roman" w:hAnsi="Times New Roman"/>
          <w:sz w:val="28"/>
          <w:szCs w:val="28"/>
          <w:highlight w:val="none"/>
        </w:rPr>
      </w:pPr>
      <w:r>
        <w:rPr>
          <w:rFonts w:ascii="Times New Roman" w:hAnsi="Times New Roman"/>
          <w:sz w:val="28"/>
          <w:szCs w:val="28"/>
        </w:rPr>
        <w:tab/>
        <w:t xml:space="preserve">Подчеркнем, что публичность и открытость деятельности органов власти позволяет гражданам реализовать свое прав на доступ к объективной информации. </w:t>
      </w:r>
      <w:r>
        <w:rPr>
          <w:rFonts w:ascii="Times New Roman" w:hAnsi="Times New Roman"/>
          <w:sz w:val="28"/>
          <w:szCs w:val="28"/>
          <w:highlight w:val="none"/>
        </w:rPr>
      </w:r>
      <w:r>
        <w:rPr>
          <w:rFonts w:ascii="Times New Roman" w:hAnsi="Times New Roman"/>
          <w:sz w:val="28"/>
          <w:szCs w:val="28"/>
          <w:highlight w:val="none"/>
        </w:rPr>
      </w:r>
    </w:p>
    <w:p>
      <w:pPr>
        <w:jc w:val="both"/>
        <w:spacing w:after="0"/>
        <w:rPr>
          <w:rFonts w:ascii="Times New Roman" w:hAnsi="Times New Roman"/>
          <w:sz w:val="28"/>
          <w:szCs w:val="28"/>
        </w:rPr>
      </w:pPr>
      <w:r>
        <w:rPr>
          <w:rFonts w:ascii="Times New Roman" w:hAnsi="Times New Roman"/>
          <w:sz w:val="28"/>
          <w:szCs w:val="28"/>
          <w:highlight w:val="none"/>
        </w:rPr>
      </w:r>
      <w:r>
        <w:rPr>
          <w:rFonts w:ascii="Times New Roman" w:hAnsi="Times New Roman"/>
          <w:sz w:val="28"/>
          <w:szCs w:val="28"/>
        </w:rPr>
      </w:r>
      <w:r>
        <w:rPr>
          <w:rFonts w:ascii="Times New Roman" w:hAnsi="Times New Roman"/>
          <w:sz w:val="28"/>
          <w:szCs w:val="28"/>
        </w:rPr>
      </w:r>
    </w:p>
    <w:p>
      <w:pPr>
        <w:pStyle w:val="1226"/>
        <w:jc w:val="center"/>
        <w:rPr>
          <w:rFonts w:ascii="Times New Roman" w:hAnsi="Times New Roman" w:cs="Times New Roman"/>
          <w:b/>
          <w:bCs/>
          <w:color w:val="auto"/>
          <w:sz w:val="28"/>
          <w:szCs w:val="28"/>
        </w:rPr>
      </w:pPr>
      <w:r/>
      <w:bookmarkStart w:id="65" w:name="_Toc43"/>
      <w:r>
        <w:rPr>
          <w:rFonts w:ascii="Times New Roman" w:hAnsi="Times New Roman" w:cs="Times New Roman"/>
          <w:b/>
          <w:bCs/>
          <w:color w:val="auto"/>
          <w:sz w:val="28"/>
          <w:szCs w:val="28"/>
        </w:rPr>
        <w:t xml:space="preserve">14.2. Сотрудничество с Уполномоченным по правам человека в Российской Федерации и правозащитниками из других субъектов страны</w:t>
      </w:r>
      <w:r>
        <w:rPr>
          <w:rFonts w:ascii="Times New Roman" w:hAnsi="Times New Roman" w:cs="Times New Roman"/>
          <w:b/>
          <w:bCs/>
          <w:color w:val="auto"/>
          <w:sz w:val="28"/>
          <w:szCs w:val="28"/>
        </w:rPr>
      </w:r>
      <w:bookmarkEnd w:id="65"/>
      <w:r>
        <w:rPr>
          <w:rFonts w:ascii="Times New Roman" w:hAnsi="Times New Roman" w:cs="Times New Roman"/>
          <w:b/>
          <w:bCs/>
          <w:color w:val="auto"/>
          <w:sz w:val="28"/>
          <w:szCs w:val="28"/>
        </w:rPr>
      </w:r>
      <w:r>
        <w:rPr>
          <w:rFonts w:ascii="Times New Roman" w:hAnsi="Times New Roman" w:cs="Times New Roman"/>
          <w:b/>
          <w:bCs/>
          <w:color w:val="auto"/>
          <w:sz w:val="28"/>
          <w:szCs w:val="28"/>
        </w:rPr>
      </w:r>
    </w:p>
    <w:p>
      <w:pPr>
        <w:pStyle w:val="1226"/>
        <w:jc w:val="center"/>
        <w:rPr>
          <w:rFonts w:ascii="Times New Roman" w:hAnsi="Times New Roman" w:cs="Times New Roman"/>
          <w:color w:val="auto"/>
          <w:sz w:val="28"/>
          <w:szCs w:val="28"/>
        </w:rPr>
      </w:pPr>
      <w:r>
        <w:rPr>
          <w:rFonts w:ascii="Times New Roman" w:hAnsi="Times New Roman" w:cs="Times New Roman"/>
          <w:color w:val="auto"/>
          <w:sz w:val="28"/>
          <w:szCs w:val="28"/>
        </w:rPr>
      </w:r>
      <w:r>
        <w:rPr>
          <w:rFonts w:ascii="Times New Roman" w:hAnsi="Times New Roman" w:cs="Times New Roman"/>
          <w:color w:val="auto"/>
          <w:sz w:val="28"/>
          <w:szCs w:val="28"/>
        </w:rPr>
      </w:r>
      <w:r>
        <w:rPr>
          <w:rFonts w:ascii="Times New Roman" w:hAnsi="Times New Roman" w:cs="Times New Roman"/>
          <w:color w:val="auto"/>
          <w:sz w:val="28"/>
          <w:szCs w:val="28"/>
        </w:rPr>
      </w:r>
    </w:p>
    <w:p>
      <w:pPr>
        <w:ind w:firstLine="567"/>
        <w:jc w:val="both"/>
        <w:spacing w:after="0"/>
        <w:rPr>
          <w:rFonts w:ascii="Times New Roman" w:hAnsi="Times New Roman"/>
          <w:sz w:val="28"/>
          <w:szCs w:val="28"/>
        </w:rPr>
      </w:pPr>
      <w:r>
        <w:rPr>
          <w:b/>
        </w:rPr>
        <w:tab/>
      </w:r>
      <w:r>
        <w:rPr>
          <w:rFonts w:ascii="Times New Roman" w:hAnsi="Times New Roman"/>
          <w:sz w:val="28"/>
          <w:szCs w:val="28"/>
        </w:rPr>
        <w:t xml:space="preserve">Рабочие встречи </w:t>
      </w:r>
      <w:r>
        <w:rPr>
          <w:rFonts w:ascii="Times New Roman" w:hAnsi="Times New Roman"/>
          <w:sz w:val="28"/>
          <w:szCs w:val="28"/>
        </w:rPr>
        <w:t xml:space="preserve">с федеральным омбудсменом, Уполномоченными других регионов, участие в заседаниях координационных советов региональных уполномоченных или межрегиональных конференциях, позволяют обсудить актуальные вопросы правозащитной повестки, решить проблемы, волнующие </w:t>
      </w:r>
      <w:r>
        <w:rPr>
          <w:rFonts w:ascii="Times New Roman" w:hAnsi="Times New Roman"/>
          <w:sz w:val="28"/>
          <w:szCs w:val="28"/>
        </w:rPr>
        <w:t xml:space="preserve">ивановцев</w:t>
      </w:r>
      <w:r>
        <w:rPr>
          <w:rFonts w:ascii="Times New Roman" w:hAnsi="Times New Roman"/>
          <w:sz w:val="28"/>
          <w:szCs w:val="28"/>
        </w:rPr>
        <w:t xml:space="preserve">, претворить в жизнь новые механизмы работы в правозащитной деятельности. </w:t>
      </w:r>
      <w:r>
        <w:rPr>
          <w:rFonts w:ascii="Times New Roman" w:hAnsi="Times New Roman"/>
          <w:sz w:val="28"/>
          <w:szCs w:val="28"/>
        </w:rPr>
      </w:r>
      <w:r>
        <w:rPr>
          <w:rFonts w:ascii="Times New Roman" w:hAnsi="Times New Roman"/>
          <w:sz w:val="28"/>
          <w:szCs w:val="28"/>
        </w:rPr>
      </w:r>
    </w:p>
    <w:p>
      <w:pPr>
        <w:ind w:firstLine="567"/>
        <w:jc w:val="both"/>
        <w:spacing w:after="0"/>
        <w:rPr>
          <w:rFonts w:ascii="Times New Roman" w:hAnsi="Times New Roman"/>
          <w:sz w:val="28"/>
          <w:szCs w:val="28"/>
        </w:rPr>
      </w:pPr>
      <w:r>
        <w:rPr>
          <w:rFonts w:ascii="Times New Roman" w:hAnsi="Times New Roman"/>
          <w:sz w:val="28"/>
          <w:szCs w:val="28"/>
        </w:rPr>
        <w:tab/>
        <w:t xml:space="preserve">Уполномоченный в течение отчетного года приняла участие во Всероссийских координационных советах под председательством федерального омбудсмена Татьяны </w:t>
      </w:r>
      <w:r>
        <w:rPr>
          <w:rFonts w:ascii="Times New Roman" w:hAnsi="Times New Roman"/>
          <w:sz w:val="28"/>
          <w:szCs w:val="28"/>
        </w:rPr>
        <w:t xml:space="preserve">Москальковой</w:t>
      </w:r>
      <w:r>
        <w:rPr>
          <w:rFonts w:ascii="Times New Roman" w:hAnsi="Times New Roman"/>
          <w:sz w:val="28"/>
          <w:szCs w:val="28"/>
        </w:rPr>
        <w:t xml:space="preserve">:</w:t>
      </w:r>
      <w:r>
        <w:rPr>
          <w:rFonts w:ascii="Times New Roman" w:hAnsi="Times New Roman"/>
          <w:sz w:val="28"/>
          <w:szCs w:val="28"/>
        </w:rPr>
      </w:r>
      <w:r>
        <w:rPr>
          <w:rFonts w:ascii="Times New Roman" w:hAnsi="Times New Roman"/>
          <w:sz w:val="28"/>
          <w:szCs w:val="28"/>
        </w:rPr>
      </w:r>
    </w:p>
    <w:p>
      <w:pPr>
        <w:pStyle w:val="1236"/>
        <w:numPr>
          <w:ilvl w:val="0"/>
          <w:numId w:val="105"/>
        </w:numPr>
        <w:ind w:left="0" w:firstLine="709"/>
        <w:jc w:val="both"/>
        <w:spacing w:before="0" w:beforeAutospacing="0" w:after="0" w:afterAutospacing="0" w:line="276" w:lineRule="auto"/>
        <w:rPr>
          <w:sz w:val="28"/>
          <w:szCs w:val="28"/>
        </w:rPr>
      </w:pPr>
      <w:r>
        <w:rPr>
          <w:sz w:val="28"/>
          <w:szCs w:val="28"/>
        </w:rPr>
        <w:t xml:space="preserve">в мае в городе Екатеринбурге по вопросу </w:t>
      </w:r>
      <w:r>
        <w:rPr>
          <w:sz w:val="28"/>
          <w:szCs w:val="28"/>
          <w:shd w:val="clear" w:color="auto" w:fill="ffffff"/>
        </w:rPr>
        <w:t xml:space="preserve">соблюдения и защиты прав участников и ветеранов боевых действий;</w:t>
      </w:r>
      <w:r>
        <w:rPr>
          <w:sz w:val="28"/>
          <w:szCs w:val="28"/>
        </w:rPr>
        <w:t xml:space="preserve"> </w:t>
      </w:r>
      <w:r>
        <w:rPr>
          <w:sz w:val="28"/>
          <w:szCs w:val="28"/>
        </w:rPr>
      </w:r>
      <w:r>
        <w:rPr>
          <w:sz w:val="28"/>
          <w:szCs w:val="28"/>
        </w:rPr>
      </w:r>
    </w:p>
    <w:p>
      <w:pPr>
        <w:pStyle w:val="1236"/>
        <w:numPr>
          <w:ilvl w:val="0"/>
          <w:numId w:val="105"/>
        </w:numPr>
        <w:ind w:left="0" w:firstLine="708"/>
        <w:jc w:val="both"/>
        <w:spacing w:before="0" w:beforeAutospacing="0" w:after="0" w:afterAutospacing="0" w:line="276" w:lineRule="auto"/>
        <w:rPr>
          <w:color w:val="000000"/>
          <w:sz w:val="28"/>
          <w:szCs w:val="28"/>
        </w:rPr>
        <w:pBdr>
          <w:top w:val="none" w:color="000000" w:sz="4" w:space="0"/>
          <w:left w:val="none" w:color="000000" w:sz="4" w:space="0"/>
          <w:bottom w:val="none" w:color="000000" w:sz="4" w:space="0"/>
          <w:right w:val="none" w:color="000000" w:sz="4" w:space="0"/>
        </w:pBdr>
      </w:pPr>
      <w:r>
        <w:rPr>
          <w:sz w:val="28"/>
          <w:szCs w:val="28"/>
        </w:rPr>
        <w:t xml:space="preserve">в сентябре в Москве по теме «Защита прав человека в местах принудительного содержания». </w:t>
      </w:r>
      <w:r>
        <w:rPr>
          <w:color w:val="000000"/>
          <w:sz w:val="28"/>
          <w:szCs w:val="28"/>
        </w:rPr>
      </w:r>
      <w:r>
        <w:rPr>
          <w:color w:val="000000"/>
          <w:sz w:val="28"/>
          <w:szCs w:val="28"/>
        </w:rPr>
      </w:r>
    </w:p>
    <w:p>
      <w:pPr>
        <w:pStyle w:val="1236"/>
        <w:ind w:firstLine="708"/>
        <w:jc w:val="both"/>
        <w:spacing w:before="0" w:beforeAutospacing="0" w:after="0" w:afterAutospacing="0" w:line="276" w:lineRule="auto"/>
        <w:rPr>
          <w:color w:val="000000"/>
          <w:sz w:val="28"/>
          <w:szCs w:val="28"/>
        </w:rPr>
        <w:pBdr>
          <w:top w:val="none" w:color="000000" w:sz="4" w:space="0"/>
          <w:left w:val="none" w:color="000000" w:sz="4" w:space="0"/>
          <w:bottom w:val="none" w:color="000000" w:sz="4" w:space="0"/>
          <w:right w:val="none" w:color="000000" w:sz="4" w:space="0"/>
        </w:pBdr>
      </w:pPr>
      <w:r>
        <w:rPr>
          <w:b/>
          <w:color w:val="000000"/>
          <w:sz w:val="28"/>
          <w:szCs w:val="28"/>
        </w:rPr>
        <w:t xml:space="preserve">Обращаем внимание органов власти нашего региона на необходимость проработки рекомендаций, высказанных по итогам проведения данных федеральных мероприятий. </w:t>
      </w:r>
      <w:r>
        <w:rPr>
          <w:color w:val="000000"/>
          <w:sz w:val="28"/>
          <w:szCs w:val="28"/>
        </w:rPr>
      </w:r>
      <w:r>
        <w:rPr>
          <w:color w:val="000000"/>
          <w:sz w:val="28"/>
          <w:szCs w:val="28"/>
        </w:rPr>
      </w:r>
    </w:p>
    <w:p>
      <w:pPr>
        <w:ind w:firstLine="708"/>
        <w:jc w:val="both"/>
        <w:spacing w:after="0"/>
        <w:rPr>
          <w:rFonts w:ascii="Times New Roman" w:hAnsi="Times New Roman" w:eastAsia="Times New Roman"/>
          <w:color w:val="000000"/>
          <w:sz w:val="28"/>
          <w:szCs w:val="28"/>
        </w:rPr>
        <w:pBdr>
          <w:top w:val="none" w:color="000000" w:sz="4" w:space="0"/>
          <w:left w:val="none" w:color="000000" w:sz="4" w:space="0"/>
          <w:bottom w:val="none" w:color="000000" w:sz="4" w:space="0"/>
          <w:right w:val="none" w:color="000000" w:sz="4" w:space="0"/>
        </w:pBdr>
      </w:pPr>
      <w:r>
        <w:rPr>
          <w:rFonts w:ascii="Times New Roman" w:hAnsi="Times New Roman" w:eastAsia="Times New Roman"/>
          <w:color w:val="000000"/>
          <w:sz w:val="28"/>
          <w:szCs w:val="28"/>
        </w:rPr>
        <w:t xml:space="preserve">В ноябре отчетного года Уполномоченный по приглашению омбудсмена города Москвы Татьяны </w:t>
      </w:r>
      <w:r>
        <w:rPr>
          <w:rFonts w:ascii="Times New Roman" w:hAnsi="Times New Roman" w:eastAsia="Times New Roman"/>
          <w:color w:val="000000"/>
          <w:sz w:val="28"/>
          <w:szCs w:val="28"/>
        </w:rPr>
        <w:t xml:space="preserve">Потяевой</w:t>
      </w:r>
      <w:r>
        <w:rPr>
          <w:rFonts w:ascii="Times New Roman" w:hAnsi="Times New Roman" w:eastAsia="Times New Roman"/>
          <w:color w:val="000000"/>
          <w:sz w:val="28"/>
          <w:szCs w:val="28"/>
        </w:rPr>
        <w:t xml:space="preserve"> приняла участие в работе межрегиональной конференции «</w:t>
      </w:r>
      <w:r>
        <w:rPr>
          <w:rFonts w:ascii="Times New Roman" w:hAnsi="Times New Roman" w:eastAsia="Times New Roman"/>
          <w:color w:val="000000"/>
          <w:sz w:val="28"/>
          <w:szCs w:val="28"/>
        </w:rPr>
        <w:t xml:space="preserve">Экосоциальные</w:t>
      </w:r>
      <w:r>
        <w:rPr>
          <w:rFonts w:ascii="Times New Roman" w:hAnsi="Times New Roman" w:eastAsia="Times New Roman"/>
          <w:color w:val="000000"/>
          <w:sz w:val="28"/>
          <w:szCs w:val="28"/>
        </w:rPr>
        <w:t xml:space="preserve"> технологии интеграции - основа </w:t>
      </w:r>
      <w:r>
        <w:rPr>
          <w:rFonts w:ascii="Times New Roman" w:hAnsi="Times New Roman" w:eastAsia="Times New Roman"/>
          <w:color w:val="000000"/>
          <w:sz w:val="28"/>
          <w:szCs w:val="28"/>
        </w:rPr>
        <w:t xml:space="preserve">соблюдения прав инвалидов». Основное назначение мероприятия: обмен опытом работы, консолидация усилий заинтересованных  служб и представителей гражданского общества, повышение качества и расширение мер социальной поддержки и интеграции людей особой группы.</w:t>
      </w:r>
      <w:r>
        <w:rPr>
          <w:rFonts w:ascii="Times New Roman" w:hAnsi="Times New Roman" w:eastAsia="Times New Roman"/>
          <w:color w:val="000000"/>
          <w:sz w:val="28"/>
          <w:szCs w:val="28"/>
        </w:rPr>
      </w:r>
      <w:r>
        <w:rPr>
          <w:rFonts w:ascii="Times New Roman" w:hAnsi="Times New Roman" w:eastAsia="Times New Roman"/>
          <w:color w:val="000000"/>
          <w:sz w:val="28"/>
          <w:szCs w:val="28"/>
        </w:rPr>
      </w:r>
    </w:p>
    <w:p>
      <w:pPr>
        <w:ind w:firstLine="708"/>
        <w:jc w:val="both"/>
        <w:spacing w:after="0"/>
        <w:rPr>
          <w:rFonts w:ascii="Times New Roman" w:hAnsi="Times New Roman" w:eastAsia="Times New Roman"/>
          <w:color w:val="000000"/>
          <w:sz w:val="28"/>
          <w:szCs w:val="28"/>
        </w:rPr>
        <w:pBdr>
          <w:top w:val="none" w:color="000000" w:sz="4" w:space="0"/>
          <w:left w:val="none" w:color="000000" w:sz="4" w:space="0"/>
          <w:bottom w:val="none" w:color="000000" w:sz="4" w:space="0"/>
          <w:right w:val="none" w:color="000000" w:sz="4" w:space="0"/>
        </w:pBdr>
      </w:pPr>
      <w:r>
        <w:rPr>
          <w:rFonts w:ascii="Times New Roman" w:hAnsi="Times New Roman" w:eastAsia="Times New Roman"/>
          <w:color w:val="000000"/>
          <w:sz w:val="28"/>
          <w:szCs w:val="28"/>
        </w:rPr>
        <w:t xml:space="preserve">В ходе мероприятия были рассмотрены вопросы, как человек с инвалидностью сегодня поддерживается в социуме, чтобы он смог получить и качественное лечение, и образование, и досуг, и трудоустроиться во взрослой жизни. </w:t>
      </w:r>
      <w:r>
        <w:rPr>
          <w:rFonts w:ascii="Times New Roman" w:hAnsi="Times New Roman" w:eastAsia="Times New Roman"/>
          <w:color w:val="000000"/>
          <w:sz w:val="28"/>
          <w:szCs w:val="28"/>
        </w:rPr>
      </w:r>
      <w:r>
        <w:rPr>
          <w:rFonts w:ascii="Times New Roman" w:hAnsi="Times New Roman" w:eastAsia="Times New Roman"/>
          <w:color w:val="000000"/>
          <w:sz w:val="28"/>
          <w:szCs w:val="28"/>
        </w:rPr>
      </w:r>
    </w:p>
    <w:p>
      <w:pPr>
        <w:ind w:firstLine="708"/>
        <w:jc w:val="both"/>
        <w:spacing w:after="0"/>
        <w:rPr>
          <w:rFonts w:ascii="Times New Roman" w:hAnsi="Times New Roman" w:eastAsia="Times New Roman"/>
          <w:sz w:val="28"/>
          <w:szCs w:val="28"/>
        </w:rPr>
        <w:pBdr>
          <w:top w:val="none" w:color="000000" w:sz="4" w:space="0"/>
          <w:left w:val="none" w:color="000000" w:sz="4" w:space="0"/>
          <w:bottom w:val="none" w:color="000000" w:sz="4" w:space="0"/>
          <w:right w:val="none" w:color="000000" w:sz="4" w:space="0"/>
        </w:pBdr>
      </w:pPr>
      <w:r>
        <w:rPr>
          <w:rFonts w:ascii="Times New Roman" w:hAnsi="Times New Roman" w:eastAsia="Times New Roman"/>
          <w:color w:val="000000"/>
          <w:sz w:val="28"/>
          <w:szCs w:val="28"/>
        </w:rPr>
        <w:t xml:space="preserve">В данной конференции вместе с правозащитниками также участвовали  руководители публичных органов власти и  общественных институтов. Следует отметить, что за последние годы в стране значительно расширяются </w:t>
      </w:r>
      <w:r>
        <w:rPr>
          <w:rFonts w:ascii="Times New Roman" w:hAnsi="Times New Roman" w:eastAsia="Times New Roman"/>
          <w:color w:val="000000"/>
          <w:sz w:val="28"/>
          <w:szCs w:val="28"/>
        </w:rPr>
        <w:t xml:space="preserve">государственные меры поддержки граждан с ограничениями здоровья.  Но однозначно требуется повышение эффективности, </w:t>
      </w:r>
      <w:r>
        <w:rPr>
          <w:rFonts w:ascii="Times New Roman" w:hAnsi="Times New Roman" w:eastAsia="Times New Roman"/>
          <w:color w:val="000000"/>
          <w:sz w:val="28"/>
          <w:szCs w:val="28"/>
        </w:rPr>
        <w:t xml:space="preserve">адресности</w:t>
      </w:r>
      <w:r>
        <w:rPr>
          <w:rFonts w:ascii="Times New Roman" w:hAnsi="Times New Roman" w:eastAsia="Times New Roman"/>
          <w:color w:val="000000"/>
          <w:sz w:val="28"/>
          <w:szCs w:val="28"/>
        </w:rPr>
        <w:t xml:space="preserve"> пре</w:t>
      </w:r>
      <w:r>
        <w:rPr>
          <w:rFonts w:ascii="Times New Roman" w:hAnsi="Times New Roman" w:eastAsia="Times New Roman"/>
          <w:color w:val="000000"/>
          <w:sz w:val="28"/>
          <w:szCs w:val="28"/>
        </w:rPr>
        <w:t xml:space="preserve">доставляемых услуг. Особое внимание на конференции было уделено вопросам оказания помощи участникам и ветеранам СВО, получившим ранения: протезирование, переобучение, вовлечение в общественную деятельность, занятия спортом, культурой, обеспечение высоко - </w:t>
      </w:r>
      <w:r>
        <w:rPr>
          <w:rFonts w:ascii="Times New Roman" w:hAnsi="Times New Roman" w:eastAsia="Times New Roman"/>
          <w:color w:val="000000"/>
          <w:sz w:val="28"/>
          <w:szCs w:val="28"/>
        </w:rPr>
        <w:t xml:space="preserve">технологичными</w:t>
      </w:r>
      <w:r>
        <w:rPr>
          <w:rFonts w:ascii="Times New Roman" w:hAnsi="Times New Roman" w:eastAsia="Times New Roman"/>
          <w:color w:val="000000"/>
          <w:sz w:val="28"/>
          <w:szCs w:val="28"/>
        </w:rPr>
        <w:t xml:space="preserve"> изделиям, адаптация жилых помещений для инвалидов, создание условий для инвалидов на обеспечение доступа к информационной сети.</w:t>
      </w:r>
      <w:r>
        <w:rPr>
          <w:rFonts w:ascii="Times New Roman" w:hAnsi="Times New Roman" w:eastAsia="Times New Roman"/>
          <w:sz w:val="28"/>
          <w:szCs w:val="28"/>
        </w:rPr>
      </w:r>
      <w:r>
        <w:rPr>
          <w:rFonts w:ascii="Times New Roman" w:hAnsi="Times New Roman" w:eastAsia="Times New Roman"/>
          <w:sz w:val="28"/>
          <w:szCs w:val="28"/>
        </w:rPr>
      </w:r>
    </w:p>
    <w:p>
      <w:pPr>
        <w:ind w:firstLine="708"/>
        <w:jc w:val="both"/>
        <w:spacing w:after="0"/>
        <w:rPr>
          <w:rFonts w:ascii="Times New Roman" w:hAnsi="Times New Roman" w:eastAsia="Times New Roman"/>
          <w:color w:val="000000"/>
          <w:sz w:val="28"/>
          <w:szCs w:val="28"/>
        </w:rPr>
        <w:pBdr>
          <w:top w:val="none" w:color="000000" w:sz="4" w:space="0"/>
          <w:left w:val="none" w:color="000000" w:sz="4" w:space="0"/>
          <w:bottom w:val="none" w:color="000000" w:sz="4" w:space="0"/>
          <w:right w:val="none" w:color="000000" w:sz="4" w:space="0"/>
        </w:pBdr>
      </w:pPr>
      <w:r>
        <w:rPr>
          <w:rFonts w:ascii="Times New Roman" w:hAnsi="Times New Roman" w:eastAsia="Times New Roman"/>
          <w:color w:val="000000"/>
          <w:sz w:val="28"/>
          <w:szCs w:val="28"/>
        </w:rPr>
        <w:t xml:space="preserve">Полезной стала доведенная информация по линии депутатского корпуса. Так, в 1 чтении  депутатами Государственной Думы Российской Федерации принят </w:t>
      </w:r>
      <w:r>
        <w:rPr>
          <w:rFonts w:ascii="Times New Roman" w:hAnsi="Times New Roman" w:eastAsia="Times New Roman"/>
          <w:color w:val="000000"/>
          <w:sz w:val="28"/>
          <w:szCs w:val="28"/>
        </w:rPr>
        <w:t xml:space="preserve">закон по</w:t>
      </w:r>
      <w:r>
        <w:rPr>
          <w:rFonts w:ascii="Times New Roman" w:hAnsi="Times New Roman" w:eastAsia="Times New Roman"/>
          <w:color w:val="000000"/>
          <w:sz w:val="28"/>
          <w:szCs w:val="28"/>
        </w:rPr>
        <w:t xml:space="preserve"> бесплатному проезду для военнослужащих и добровольцев СВО к месту прохождения военно-врачебной экспертизы. Поддержаны поправки о порядке обеспечения инвалидов собаками - проводниками, ежегодных выплатах на соде</w:t>
      </w:r>
      <w:r>
        <w:rPr>
          <w:rFonts w:ascii="Times New Roman" w:hAnsi="Times New Roman" w:eastAsia="Times New Roman"/>
          <w:color w:val="000000"/>
          <w:sz w:val="28"/>
          <w:szCs w:val="28"/>
        </w:rPr>
        <w:t xml:space="preserve">ржание и ветеринарное обслуживание, оплате кормов для собак - проводников. Для граждан с нарушением слуха предусмотрено расширение перечня ТСР: телефонные устройства  с фиксацией видеосвязи и т.д. Говорили и о доступности туриндустрии для данной категории.</w:t>
      </w:r>
      <w:r>
        <w:rPr>
          <w:rFonts w:ascii="Times New Roman" w:hAnsi="Times New Roman" w:eastAsia="Times New Roman"/>
          <w:color w:val="000000"/>
          <w:sz w:val="28"/>
          <w:szCs w:val="28"/>
        </w:rPr>
      </w:r>
      <w:r>
        <w:rPr>
          <w:rFonts w:ascii="Times New Roman" w:hAnsi="Times New Roman" w:eastAsia="Times New Roman"/>
          <w:color w:val="000000"/>
          <w:sz w:val="28"/>
          <w:szCs w:val="28"/>
        </w:rPr>
      </w:r>
    </w:p>
    <w:p>
      <w:pPr>
        <w:ind w:firstLine="708"/>
        <w:jc w:val="both"/>
        <w:spacing w:after="0"/>
        <w:rPr>
          <w:rFonts w:ascii="Times New Roman" w:hAnsi="Times New Roman" w:eastAsia="Times New Roman"/>
          <w:color w:val="000000"/>
          <w:sz w:val="28"/>
          <w:szCs w:val="28"/>
        </w:rPr>
        <w:pBdr>
          <w:top w:val="none" w:color="000000" w:sz="4" w:space="0"/>
          <w:left w:val="none" w:color="000000" w:sz="4" w:space="0"/>
          <w:bottom w:val="none" w:color="000000" w:sz="4" w:space="0"/>
          <w:right w:val="none" w:color="000000" w:sz="4" w:space="0"/>
        </w:pBdr>
      </w:pPr>
      <w:r>
        <w:rPr>
          <w:rFonts w:ascii="Times New Roman" w:hAnsi="Times New Roman" w:eastAsia="Times New Roman"/>
          <w:color w:val="000000"/>
          <w:sz w:val="28"/>
          <w:szCs w:val="28"/>
        </w:rPr>
        <w:t xml:space="preserve">Кроме того, в течение года Уполномоченный приняла участие в следующих правозащитных межрегиональных мероприятиях:</w:t>
      </w:r>
      <w:r>
        <w:rPr>
          <w:rFonts w:ascii="Times New Roman" w:hAnsi="Times New Roman" w:eastAsia="Times New Roman"/>
          <w:color w:val="000000"/>
          <w:sz w:val="28"/>
          <w:szCs w:val="28"/>
        </w:rPr>
      </w:r>
      <w:r>
        <w:rPr>
          <w:rFonts w:ascii="Times New Roman" w:hAnsi="Times New Roman" w:eastAsia="Times New Roman"/>
          <w:color w:val="000000"/>
          <w:sz w:val="28"/>
          <w:szCs w:val="28"/>
        </w:rPr>
      </w:r>
    </w:p>
    <w:p>
      <w:pPr>
        <w:pStyle w:val="1227"/>
        <w:numPr>
          <w:ilvl w:val="0"/>
          <w:numId w:val="80"/>
        </w:numPr>
        <w:ind w:left="0" w:firstLine="709"/>
        <w:jc w:val="both"/>
        <w:spacing w:line="276" w:lineRule="auto"/>
        <w:rPr>
          <w:rFonts w:ascii="Times New Roman" w:hAnsi="Times New Roman" w:eastAsia="Times New Roman"/>
          <w:color w:val="000000"/>
          <w:sz w:val="28"/>
          <w:szCs w:val="28"/>
          <w:lang w:val="ru-RU"/>
        </w:rPr>
        <w:pBdr>
          <w:top w:val="none" w:color="000000" w:sz="4" w:space="0"/>
          <w:left w:val="none" w:color="000000" w:sz="4" w:space="0"/>
          <w:bottom w:val="none" w:color="000000" w:sz="4" w:space="0"/>
          <w:right w:val="none" w:color="000000" w:sz="4" w:space="0"/>
        </w:pBdr>
      </w:pPr>
      <w:r>
        <w:rPr>
          <w:rFonts w:ascii="Times New Roman" w:hAnsi="Times New Roman"/>
          <w:sz w:val="28"/>
          <w:szCs w:val="28"/>
          <w:lang w:val="ru-RU"/>
        </w:rPr>
        <w:t xml:space="preserve">в  координационном совете уполномоченных по правам человека в субъектах РФ на тему «Внесение предложений и изменений в Федеральный закон от 18 марта 2020 № 48-ФЗ «Об уполномоченных по правам человека в су</w:t>
      </w:r>
      <w:r>
        <w:rPr>
          <w:rFonts w:ascii="Times New Roman" w:hAnsi="Times New Roman"/>
          <w:sz w:val="28"/>
          <w:szCs w:val="28"/>
          <w:lang w:val="ru-RU"/>
        </w:rPr>
        <w:t xml:space="preserve">бъектах Российской Федерации»: подведение итогов 5 лет принятия указанного закона» и конференции, посвященной 25-летию создания института уполномоченного в Республике Татарстан, на тему «Современные тенденции защиты прав человека: опыт, актуальные проблемы</w:t>
      </w:r>
      <w:r>
        <w:rPr>
          <w:rFonts w:ascii="Times New Roman" w:hAnsi="Times New Roman"/>
          <w:sz w:val="28"/>
          <w:szCs w:val="28"/>
          <w:lang w:val="ru-RU"/>
        </w:rPr>
        <w:t xml:space="preserve"> и перспективы»;</w:t>
      </w:r>
      <w:r>
        <w:rPr>
          <w:rFonts w:ascii="Times New Roman" w:hAnsi="Times New Roman" w:eastAsia="Times New Roman"/>
          <w:color w:val="000000"/>
          <w:sz w:val="28"/>
          <w:szCs w:val="28"/>
          <w:lang w:val="ru-RU"/>
        </w:rPr>
      </w:r>
      <w:r>
        <w:rPr>
          <w:rFonts w:ascii="Times New Roman" w:hAnsi="Times New Roman" w:eastAsia="Times New Roman"/>
          <w:color w:val="000000"/>
          <w:sz w:val="28"/>
          <w:szCs w:val="28"/>
          <w:lang w:val="ru-RU"/>
        </w:rPr>
      </w:r>
    </w:p>
    <w:p>
      <w:pPr>
        <w:pStyle w:val="1227"/>
        <w:numPr>
          <w:ilvl w:val="0"/>
          <w:numId w:val="80"/>
        </w:numPr>
        <w:ind w:left="0" w:firstLine="709"/>
        <w:jc w:val="both"/>
        <w:spacing w:line="276" w:lineRule="auto"/>
        <w:rPr>
          <w:rFonts w:ascii="Times New Roman" w:hAnsi="Times New Roman"/>
          <w:bCs/>
          <w:sz w:val="28"/>
          <w:szCs w:val="28"/>
          <w:lang w:val="ru-RU"/>
        </w:rPr>
      </w:pPr>
      <w:r>
        <w:rPr>
          <w:rFonts w:ascii="Times New Roman" w:hAnsi="Times New Roman"/>
          <w:sz w:val="28"/>
          <w:szCs w:val="28"/>
          <w:lang w:val="ru-RU"/>
        </w:rPr>
        <w:t xml:space="preserve"> </w:t>
      </w:r>
      <w:r>
        <w:rPr>
          <w:rFonts w:ascii="Times New Roman" w:hAnsi="Times New Roman"/>
          <w:bCs/>
          <w:sz w:val="28"/>
          <w:szCs w:val="28"/>
          <w:lang w:val="ru-RU"/>
        </w:rPr>
        <w:t xml:space="preserve">межрегиональном координационном совете уполномоченных </w:t>
      </w:r>
      <w:r>
        <w:rPr>
          <w:rFonts w:ascii="Times New Roman" w:hAnsi="Times New Roman"/>
          <w:bCs/>
          <w:sz w:val="28"/>
          <w:szCs w:val="28"/>
          <w:lang w:val="ru-RU"/>
        </w:rPr>
        <w:t xml:space="preserve">по правам человека в субъектах Российской Федерации при участии Уполномоченного по правам человека в Российской Федерации</w:t>
      </w:r>
      <w:r>
        <w:rPr>
          <w:rFonts w:ascii="Times New Roman" w:hAnsi="Times New Roman"/>
          <w:bCs/>
          <w:sz w:val="28"/>
          <w:szCs w:val="28"/>
          <w:lang w:val="ru-RU"/>
        </w:rPr>
        <w:t xml:space="preserve"> </w:t>
      </w:r>
      <w:r>
        <w:rPr>
          <w:rFonts w:ascii="Times New Roman" w:hAnsi="Times New Roman"/>
          <w:sz w:val="28"/>
          <w:szCs w:val="28"/>
          <w:lang w:val="ru-RU"/>
        </w:rPr>
        <w:t xml:space="preserve">на тему </w:t>
      </w:r>
      <w:r>
        <w:rPr>
          <w:rFonts w:ascii="Times New Roman" w:hAnsi="Times New Roman"/>
          <w:bCs/>
          <w:sz w:val="28"/>
          <w:szCs w:val="28"/>
          <w:lang w:val="ru-RU"/>
        </w:rPr>
        <w:t xml:space="preserve">«О некоторых вопросах реализации прав граждан с инвалидностью на доступную среду»</w:t>
      </w:r>
      <w:r>
        <w:rPr>
          <w:rFonts w:ascii="Times New Roman" w:hAnsi="Times New Roman"/>
          <w:sz w:val="28"/>
          <w:szCs w:val="28"/>
          <w:lang w:val="ru-RU"/>
        </w:rPr>
        <w:t xml:space="preserve">  по приглашению Уполномоченного по правам человека в Ханты-Мансийском автономном округе – </w:t>
      </w:r>
      <w:r>
        <w:rPr>
          <w:rFonts w:ascii="Times New Roman" w:hAnsi="Times New Roman"/>
          <w:sz w:val="28"/>
          <w:szCs w:val="28"/>
          <w:lang w:val="ru-RU"/>
        </w:rPr>
        <w:t xml:space="preserve">Югра</w:t>
      </w:r>
      <w:r>
        <w:rPr>
          <w:rFonts w:ascii="Times New Roman" w:hAnsi="Times New Roman"/>
          <w:bCs/>
          <w:sz w:val="28"/>
          <w:szCs w:val="28"/>
          <w:lang w:val="ru-RU"/>
        </w:rPr>
        <w:t xml:space="preserve">;</w:t>
      </w:r>
      <w:r>
        <w:rPr>
          <w:rFonts w:ascii="Times New Roman" w:hAnsi="Times New Roman"/>
          <w:bCs/>
          <w:sz w:val="28"/>
          <w:szCs w:val="28"/>
          <w:lang w:val="ru-RU"/>
        </w:rPr>
      </w:r>
      <w:r>
        <w:rPr>
          <w:rFonts w:ascii="Times New Roman" w:hAnsi="Times New Roman"/>
          <w:bCs/>
          <w:sz w:val="28"/>
          <w:szCs w:val="28"/>
          <w:lang w:val="ru-RU"/>
        </w:rPr>
      </w:r>
    </w:p>
    <w:p>
      <w:pPr>
        <w:pStyle w:val="1227"/>
        <w:numPr>
          <w:ilvl w:val="0"/>
          <w:numId w:val="80"/>
        </w:numPr>
        <w:ind w:left="0" w:firstLine="709"/>
        <w:jc w:val="both"/>
        <w:spacing w:line="276" w:lineRule="auto"/>
        <w:rPr>
          <w:rFonts w:ascii="Times New Roman" w:hAnsi="Times New Roman" w:eastAsia="Times New Roman"/>
          <w:color w:val="000000"/>
          <w:sz w:val="28"/>
          <w:szCs w:val="28"/>
          <w:lang w:val="ru-RU"/>
        </w:rPr>
        <w:pBdr>
          <w:top w:val="none" w:color="000000" w:sz="4" w:space="0"/>
          <w:left w:val="none" w:color="000000" w:sz="4" w:space="0"/>
          <w:bottom w:val="none" w:color="000000" w:sz="4" w:space="0"/>
          <w:right w:val="none" w:color="000000" w:sz="4" w:space="0"/>
        </w:pBdr>
      </w:pPr>
      <w:r>
        <w:rPr>
          <w:rFonts w:ascii="Times New Roman" w:hAnsi="Times New Roman"/>
          <w:sz w:val="28"/>
          <w:szCs w:val="28"/>
          <w:lang w:val="ru-RU"/>
        </w:rPr>
        <w:t xml:space="preserve">заседании</w:t>
      </w:r>
      <w:r>
        <w:rPr>
          <w:rFonts w:ascii="Times New Roman" w:hAnsi="Times New Roman"/>
          <w:sz w:val="28"/>
          <w:szCs w:val="28"/>
          <w:lang w:val="ru-RU"/>
        </w:rPr>
        <w:t xml:space="preserve"> Координационного совета уполномоченных по правам человека в субъектах РФ, входящих в ЦФО на тему: «Вопросы и практика деятельности уполномоченных по правам человека в субъектах Российской Федерации». </w:t>
      </w:r>
      <w:r>
        <w:rPr>
          <w:rFonts w:ascii="Times New Roman" w:hAnsi="Times New Roman" w:eastAsia="Times New Roman"/>
          <w:color w:val="000000"/>
          <w:sz w:val="28"/>
          <w:szCs w:val="28"/>
          <w:lang w:val="ru-RU"/>
        </w:rPr>
      </w:r>
      <w:r>
        <w:rPr>
          <w:rFonts w:ascii="Times New Roman" w:hAnsi="Times New Roman" w:eastAsia="Times New Roman"/>
          <w:color w:val="000000"/>
          <w:sz w:val="28"/>
          <w:szCs w:val="28"/>
          <w:lang w:val="ru-RU"/>
        </w:rPr>
      </w:r>
    </w:p>
    <w:p>
      <w:pPr>
        <w:ind w:firstLine="708"/>
        <w:jc w:val="both"/>
        <w:spacing w:after="0"/>
        <w:shd w:val="clear" w:color="ffffff" w:fill="ffffff"/>
        <w:rPr>
          <w:rFonts w:ascii="Times New Roman" w:hAnsi="Times New Roman" w:eastAsia="Times New Roman"/>
          <w:color w:val="000000"/>
          <w:sz w:val="28"/>
          <w:szCs w:val="28"/>
        </w:rPr>
        <w:pBdr>
          <w:top w:val="none" w:color="000000" w:sz="4" w:space="0"/>
          <w:left w:val="none" w:color="000000" w:sz="4" w:space="0"/>
          <w:bottom w:val="none" w:color="000000" w:sz="4" w:space="0"/>
          <w:right w:val="none" w:color="000000" w:sz="4" w:space="0"/>
        </w:pBdr>
      </w:pPr>
      <w:r>
        <w:rPr>
          <w:rFonts w:ascii="Times New Roman" w:hAnsi="Times New Roman" w:eastAsia="Times New Roman"/>
          <w:color w:val="000000"/>
          <w:sz w:val="28"/>
          <w:szCs w:val="28"/>
        </w:rPr>
        <w:t xml:space="preserve">Уполномоченный совместно</w:t>
      </w:r>
      <w:r>
        <w:rPr>
          <w:rFonts w:ascii="Times New Roman" w:hAnsi="Times New Roman" w:eastAsia="Times New Roman"/>
          <w:color w:val="000000"/>
          <w:sz w:val="28"/>
          <w:szCs w:val="28"/>
        </w:rPr>
        <w:t xml:space="preserve"> с сотрудниками аппарата приняла участие в методическом семинаре по судебной защите прав граждан, состоявшемся во Владимирском Государственном Университете имени Столетовых. Мероприятие собрало как очных участников, так и представителей регионов в формате </w:t>
      </w:r>
      <w:r>
        <w:rPr>
          <w:rFonts w:ascii="Times New Roman" w:hAnsi="Times New Roman" w:eastAsia="Times New Roman"/>
          <w:color w:val="000000"/>
          <w:sz w:val="28"/>
          <w:szCs w:val="28"/>
        </w:rPr>
        <w:t xml:space="preserve">онлайн-трансляции</w:t>
      </w:r>
      <w:r>
        <w:rPr>
          <w:rFonts w:ascii="Times New Roman" w:hAnsi="Times New Roman" w:eastAsia="Times New Roman"/>
          <w:color w:val="000000"/>
          <w:sz w:val="28"/>
          <w:szCs w:val="28"/>
        </w:rPr>
        <w:t xml:space="preserve">. В </w:t>
      </w:r>
      <w:r>
        <w:rPr>
          <w:rFonts w:ascii="Times New Roman" w:hAnsi="Times New Roman" w:eastAsia="Times New Roman"/>
          <w:color w:val="000000"/>
          <w:sz w:val="28"/>
          <w:szCs w:val="28"/>
        </w:rPr>
        <w:t xml:space="preserve">образовательном</w:t>
      </w:r>
      <w:r>
        <w:rPr>
          <w:rFonts w:ascii="Times New Roman" w:hAnsi="Times New Roman" w:eastAsia="Times New Roman"/>
          <w:color w:val="000000"/>
          <w:sz w:val="28"/>
          <w:szCs w:val="28"/>
        </w:rPr>
        <w:t xml:space="preserve"> </w:t>
      </w:r>
      <w:r>
        <w:rPr>
          <w:rFonts w:ascii="Times New Roman" w:hAnsi="Times New Roman" w:eastAsia="Times New Roman"/>
          <w:color w:val="000000"/>
          <w:sz w:val="28"/>
          <w:szCs w:val="28"/>
        </w:rPr>
        <w:t xml:space="preserve">интенсиве</w:t>
      </w:r>
      <w:r>
        <w:rPr>
          <w:rFonts w:ascii="Times New Roman" w:hAnsi="Times New Roman" w:eastAsia="Times New Roman"/>
          <w:color w:val="000000"/>
          <w:sz w:val="28"/>
          <w:szCs w:val="28"/>
        </w:rPr>
        <w:t xml:space="preserve"> приняли участие сотрудники рабочего Аппарата Уполномоченного по правам человека в РФ, региональные омбудсмены и эксперты в сфере </w:t>
      </w:r>
      <w:r>
        <w:rPr>
          <w:rFonts w:ascii="Times New Roman" w:hAnsi="Times New Roman" w:eastAsia="Times New Roman"/>
          <w:color w:val="000000"/>
          <w:sz w:val="28"/>
          <w:szCs w:val="28"/>
        </w:rPr>
        <w:t xml:space="preserve">правозащиты</w:t>
      </w:r>
      <w:r>
        <w:rPr>
          <w:rFonts w:ascii="Times New Roman" w:hAnsi="Times New Roman" w:eastAsia="Times New Roman"/>
          <w:color w:val="000000"/>
          <w:sz w:val="28"/>
          <w:szCs w:val="28"/>
        </w:rPr>
        <w:t xml:space="preserve">. </w:t>
      </w:r>
      <w:r>
        <w:rPr>
          <w:rFonts w:ascii="Times New Roman" w:hAnsi="Times New Roman" w:eastAsia="Times New Roman"/>
          <w:color w:val="000000"/>
          <w:sz w:val="28"/>
          <w:szCs w:val="28"/>
        </w:rPr>
      </w:r>
      <w:r>
        <w:rPr>
          <w:rFonts w:ascii="Times New Roman" w:hAnsi="Times New Roman" w:eastAsia="Times New Roman"/>
          <w:color w:val="000000"/>
          <w:sz w:val="28"/>
          <w:szCs w:val="28"/>
        </w:rPr>
      </w:r>
    </w:p>
    <w:p>
      <w:pPr>
        <w:ind w:firstLine="708"/>
        <w:jc w:val="both"/>
        <w:spacing w:after="0"/>
        <w:shd w:val="clear" w:color="ffffff" w:fill="ffffff"/>
        <w:rPr>
          <w:rFonts w:ascii="Times New Roman" w:hAnsi="Times New Roman" w:eastAsia="Times New Roman"/>
          <w:color w:val="000000"/>
          <w:sz w:val="28"/>
          <w:szCs w:val="28"/>
        </w:rPr>
        <w:pBdr>
          <w:top w:val="none" w:color="000000" w:sz="4" w:space="0"/>
          <w:left w:val="none" w:color="000000" w:sz="4" w:space="0"/>
          <w:bottom w:val="none" w:color="000000" w:sz="4" w:space="0"/>
          <w:right w:val="none" w:color="000000" w:sz="4" w:space="0"/>
        </w:pBdr>
      </w:pPr>
      <w:r>
        <w:rPr>
          <w:rFonts w:ascii="Times New Roman" w:hAnsi="Times New Roman" w:eastAsia="Times New Roman"/>
          <w:color w:val="000000"/>
          <w:sz w:val="28"/>
          <w:szCs w:val="28"/>
        </w:rPr>
        <w:t xml:space="preserve">Омбудсмен отметила, что такое представительство подчеркивает актуальность темы и необходимость </w:t>
      </w:r>
      <w:r>
        <w:rPr>
          <w:rFonts w:ascii="Times New Roman" w:hAnsi="Times New Roman" w:eastAsia="Times New Roman"/>
          <w:color w:val="000000"/>
          <w:sz w:val="28"/>
          <w:szCs w:val="28"/>
        </w:rPr>
        <w:t xml:space="preserve">выработки единых эффективных подходов к судебной защите прав граждан. Спикеры семинара -  заместитель руководителя аппарата Уполномоченного по правам человека в Российской Федерации, начальник Управления судебной защиты, доктор юридических наук, профессор </w:t>
      </w:r>
      <w:r>
        <w:rPr>
          <w:rFonts w:ascii="Times New Roman" w:hAnsi="Times New Roman" w:eastAsia="Times New Roman"/>
          <w:color w:val="000000"/>
          <w:sz w:val="28"/>
          <w:szCs w:val="28"/>
        </w:rPr>
        <w:t xml:space="preserve">Уммупазиль</w:t>
      </w:r>
      <w:r>
        <w:rPr>
          <w:rFonts w:ascii="Times New Roman" w:hAnsi="Times New Roman" w:eastAsia="Times New Roman"/>
          <w:color w:val="000000"/>
          <w:sz w:val="28"/>
          <w:szCs w:val="28"/>
        </w:rPr>
        <w:t xml:space="preserve"> </w:t>
      </w:r>
      <w:r>
        <w:rPr>
          <w:rFonts w:ascii="Times New Roman" w:hAnsi="Times New Roman" w:eastAsia="Times New Roman"/>
          <w:color w:val="000000"/>
          <w:sz w:val="28"/>
          <w:szCs w:val="28"/>
        </w:rPr>
        <w:t xml:space="preserve">Омарова</w:t>
      </w:r>
      <w:r>
        <w:rPr>
          <w:rFonts w:ascii="Times New Roman" w:hAnsi="Times New Roman" w:eastAsia="Times New Roman"/>
          <w:color w:val="000000"/>
          <w:sz w:val="28"/>
          <w:szCs w:val="28"/>
        </w:rPr>
        <w:t xml:space="preserve"> и главный консультант управления судебной защиты Павел Шведов поделилис</w:t>
      </w:r>
      <w:r>
        <w:rPr>
          <w:rFonts w:ascii="Times New Roman" w:hAnsi="Times New Roman" w:eastAsia="Times New Roman"/>
          <w:color w:val="000000"/>
          <w:sz w:val="28"/>
          <w:szCs w:val="28"/>
        </w:rPr>
        <w:t xml:space="preserve">ь опытом судебной защиты прав граждан. Их выступления были посвящены тонкостям и практике подготовки административных исковых заявлений. Этот инструмент является ключевым в арсенале омбудсмена, когда досудебные методы исчерпаны или не принесли результата. </w:t>
      </w:r>
      <w:r>
        <w:rPr>
          <w:rFonts w:ascii="Times New Roman" w:hAnsi="Times New Roman" w:eastAsia="Times New Roman"/>
          <w:color w:val="000000"/>
          <w:sz w:val="28"/>
          <w:szCs w:val="28"/>
        </w:rPr>
      </w:r>
      <w:r>
        <w:rPr>
          <w:rFonts w:ascii="Times New Roman" w:hAnsi="Times New Roman" w:eastAsia="Times New Roman"/>
          <w:color w:val="000000"/>
          <w:sz w:val="28"/>
          <w:szCs w:val="28"/>
        </w:rPr>
      </w:r>
    </w:p>
    <w:p>
      <w:pPr>
        <w:ind w:firstLine="708"/>
        <w:jc w:val="both"/>
        <w:spacing w:after="0"/>
        <w:shd w:val="clear" w:color="ffffff" w:fill="ffffff"/>
        <w:rPr>
          <w:rFonts w:ascii="Times New Roman" w:hAnsi="Times New Roman"/>
          <w:sz w:val="28"/>
          <w:szCs w:val="28"/>
        </w:rPr>
        <w:pBdr>
          <w:top w:val="none" w:color="000000" w:sz="4" w:space="0"/>
          <w:left w:val="none" w:color="000000" w:sz="4" w:space="0"/>
          <w:bottom w:val="none" w:color="000000" w:sz="4" w:space="0"/>
          <w:right w:val="none" w:color="000000" w:sz="4" w:space="0"/>
        </w:pBdr>
      </w:pPr>
      <w:r>
        <w:rPr>
          <w:rFonts w:ascii="Times New Roman" w:hAnsi="Times New Roman" w:eastAsia="Times New Roman"/>
          <w:color w:val="000000"/>
          <w:sz w:val="28"/>
          <w:szCs w:val="28"/>
        </w:rPr>
        <w:t xml:space="preserve">Проведенный семинар во Владимире стал значимым шагом в повышении квалификации сотрудников аппаратов уполномоченных и способствовал укреплению межрегионального взаимодействия для более эффективной защиты прав и свобод граждан России. </w:t>
      </w:r>
      <w:r>
        <w:rPr>
          <w:rFonts w:ascii="Times New Roman" w:hAnsi="Times New Roman"/>
          <w:sz w:val="28"/>
          <w:szCs w:val="28"/>
        </w:rPr>
      </w:r>
      <w:r>
        <w:rPr>
          <w:rFonts w:ascii="Times New Roman" w:hAnsi="Times New Roman"/>
          <w:sz w:val="28"/>
          <w:szCs w:val="28"/>
        </w:rPr>
      </w:r>
    </w:p>
    <w:p>
      <w:pPr>
        <w:ind w:firstLine="709"/>
        <w:jc w:val="both"/>
        <w:spacing w:after="0"/>
        <w:rPr>
          <w:rFonts w:ascii="Times New Roman" w:hAnsi="Times New Roman"/>
          <w:sz w:val="28"/>
          <w:szCs w:val="28"/>
        </w:rPr>
      </w:pPr>
      <w:r>
        <w:rPr>
          <w:rFonts w:ascii="Times New Roman" w:hAnsi="Times New Roman"/>
          <w:sz w:val="28"/>
          <w:szCs w:val="28"/>
        </w:rPr>
        <w:t xml:space="preserve">Отметим, что партнерство уполномоче</w:t>
      </w:r>
      <w:r>
        <w:rPr>
          <w:rFonts w:ascii="Times New Roman" w:hAnsi="Times New Roman"/>
          <w:sz w:val="28"/>
          <w:szCs w:val="28"/>
        </w:rPr>
        <w:t xml:space="preserve">нных по правам человека направлено на объединение усилий по повышению результативности работы в сфере защиты прав человека.  Подобные мероприятия региональных Уполномоченных по правам человека –  всегда возможность не просто обсудить острые темы в области </w:t>
      </w:r>
      <w:r>
        <w:rPr>
          <w:rFonts w:ascii="Times New Roman" w:hAnsi="Times New Roman"/>
          <w:sz w:val="28"/>
          <w:szCs w:val="28"/>
        </w:rPr>
        <w:t xml:space="preserve">правозащиты</w:t>
      </w:r>
      <w:r>
        <w:rPr>
          <w:rFonts w:ascii="Times New Roman" w:hAnsi="Times New Roman"/>
          <w:sz w:val="28"/>
          <w:szCs w:val="28"/>
        </w:rPr>
        <w:t xml:space="preserve">, но и  почерпнуть правозащитный опыт работы коллег по оказанию адресной помощи людям. </w:t>
      </w:r>
      <w:r>
        <w:rPr>
          <w:rFonts w:ascii="Times New Roman" w:hAnsi="Times New Roman"/>
          <w:sz w:val="28"/>
          <w:szCs w:val="28"/>
        </w:rPr>
      </w:r>
      <w:r>
        <w:rPr>
          <w:rFonts w:ascii="Times New Roman" w:hAnsi="Times New Roman"/>
          <w:sz w:val="28"/>
          <w:szCs w:val="28"/>
        </w:rPr>
      </w:r>
    </w:p>
    <w:p>
      <w:pPr>
        <w:ind w:firstLine="709"/>
        <w:jc w:val="both"/>
        <w:spacing w:after="0"/>
        <w:rPr>
          <w:rFonts w:ascii="Times New Roman" w:hAnsi="Times New Roman"/>
          <w:sz w:val="28"/>
          <w:szCs w:val="28"/>
        </w:rPr>
      </w:pPr>
      <w:r>
        <w:rPr>
          <w:rFonts w:ascii="Times New Roman" w:hAnsi="Times New Roman"/>
          <w:sz w:val="28"/>
          <w:szCs w:val="28"/>
        </w:rPr>
        <w:t xml:space="preserve">Обращения в адрес Уполномоченного поступают не только от </w:t>
      </w:r>
      <w:r>
        <w:rPr>
          <w:rFonts w:ascii="Times New Roman" w:hAnsi="Times New Roman"/>
          <w:sz w:val="28"/>
          <w:szCs w:val="28"/>
        </w:rPr>
        <w:t xml:space="preserve">ивановцев</w:t>
      </w:r>
      <w:r>
        <w:rPr>
          <w:rFonts w:ascii="Times New Roman" w:hAnsi="Times New Roman"/>
          <w:sz w:val="28"/>
          <w:szCs w:val="28"/>
        </w:rPr>
        <w:t xml:space="preserve">, но и от жителей иных суб</w:t>
      </w:r>
      <w:r>
        <w:rPr>
          <w:rFonts w:ascii="Times New Roman" w:hAnsi="Times New Roman"/>
          <w:sz w:val="28"/>
          <w:szCs w:val="28"/>
        </w:rPr>
        <w:t xml:space="preserve">ъектов нашей страны. Также граждане поднимают вопросы, касающиеся нарушения их прав органами власти других регионов. В 2025 году поступило 30 подобных обращений. Каждый региональный омбудсмен осуществляет свою деятельность на территории своего субъекта, в </w:t>
      </w:r>
      <w:r>
        <w:rPr>
          <w:rFonts w:ascii="Times New Roman" w:hAnsi="Times New Roman"/>
          <w:sz w:val="28"/>
          <w:szCs w:val="28"/>
        </w:rPr>
        <w:t xml:space="preserve">связи</w:t>
      </w:r>
      <w:r>
        <w:rPr>
          <w:rFonts w:ascii="Times New Roman" w:hAnsi="Times New Roman"/>
          <w:sz w:val="28"/>
          <w:szCs w:val="28"/>
        </w:rPr>
        <w:t xml:space="preserve"> с чем на помощь в решении вопросов заявителей  приходят коллеги-правозащитники из других областей.  </w:t>
      </w:r>
      <w:r>
        <w:rPr>
          <w:rFonts w:ascii="Times New Roman" w:hAnsi="Times New Roman"/>
          <w:sz w:val="28"/>
          <w:szCs w:val="28"/>
        </w:rPr>
      </w:r>
      <w:r>
        <w:rPr>
          <w:rFonts w:ascii="Times New Roman" w:hAnsi="Times New Roman"/>
          <w:sz w:val="28"/>
          <w:szCs w:val="28"/>
        </w:rPr>
      </w:r>
    </w:p>
    <w:p>
      <w:pPr>
        <w:ind w:firstLine="708"/>
        <w:jc w:val="both"/>
        <w:spacing w:after="0"/>
        <w:rPr>
          <w:rFonts w:ascii="Times New Roman" w:hAnsi="Times New Roman"/>
          <w:i/>
          <w:sz w:val="28"/>
          <w:szCs w:val="28"/>
        </w:rPr>
      </w:pPr>
      <w:r>
        <w:rPr>
          <w:rFonts w:ascii="Times New Roman" w:hAnsi="Times New Roman"/>
          <w:i/>
          <w:sz w:val="28"/>
          <w:szCs w:val="28"/>
        </w:rPr>
        <w:t xml:space="preserve">Так, в конце о</w:t>
      </w:r>
      <w:r>
        <w:rPr>
          <w:rFonts w:ascii="Times New Roman" w:hAnsi="Times New Roman"/>
          <w:i/>
          <w:sz w:val="28"/>
          <w:szCs w:val="28"/>
        </w:rPr>
        <w:t xml:space="preserve">ктября 2025 года в адрес Уполномоченного обратилась жительница города Иванова. Она была обеспокоена состоянием здоровья и условиями содержания своего сына, который находится в ФКУ СИЗО-1 УФСИН России по Тверской области. Для прояснения ситуации и оказания </w:t>
      </w:r>
      <w:r>
        <w:rPr>
          <w:rFonts w:ascii="Times New Roman" w:hAnsi="Times New Roman"/>
          <w:i/>
          <w:sz w:val="28"/>
          <w:szCs w:val="28"/>
        </w:rPr>
        <w:t xml:space="preserve">поддержки </w:t>
      </w:r>
      <w:r>
        <w:rPr>
          <w:rFonts w:ascii="Times New Roman" w:hAnsi="Times New Roman"/>
          <w:i/>
          <w:sz w:val="28"/>
          <w:szCs w:val="28"/>
        </w:rPr>
        <w:t xml:space="preserve">содержащемуся</w:t>
      </w:r>
      <w:r>
        <w:rPr>
          <w:rFonts w:ascii="Times New Roman" w:hAnsi="Times New Roman"/>
          <w:i/>
          <w:sz w:val="28"/>
          <w:szCs w:val="28"/>
        </w:rPr>
        <w:t xml:space="preserve"> под стражей мы подключили механизм межрегионального в</w:t>
      </w:r>
      <w:r>
        <w:rPr>
          <w:rFonts w:ascii="Times New Roman" w:hAnsi="Times New Roman"/>
          <w:i/>
          <w:sz w:val="28"/>
          <w:szCs w:val="28"/>
        </w:rPr>
        <w:t xml:space="preserve">заимодействия. Было направлено ходатайство Уполномоченному по правам человека в Тверской области Надежде Егоровой, которая оперативно посетила следственный изолятор в городе Твери, встретилась с сыном заявительницы и взяла ситуацию на свой личный контроль.</w:t>
      </w:r>
      <w:r>
        <w:rPr>
          <w:rFonts w:ascii="Times New Roman" w:hAnsi="Times New Roman"/>
          <w:i/>
          <w:sz w:val="28"/>
          <w:szCs w:val="28"/>
        </w:rPr>
      </w:r>
      <w:r>
        <w:rPr>
          <w:rFonts w:ascii="Times New Roman" w:hAnsi="Times New Roman"/>
          <w:i/>
          <w:sz w:val="28"/>
          <w:szCs w:val="28"/>
        </w:rPr>
      </w:r>
    </w:p>
    <w:p>
      <w:pPr>
        <w:ind w:firstLine="708"/>
        <w:jc w:val="both"/>
        <w:spacing w:after="0"/>
        <w:rPr>
          <w:rFonts w:ascii="Times New Roman" w:hAnsi="Times New Roman"/>
          <w:i/>
          <w:sz w:val="28"/>
          <w:szCs w:val="28"/>
        </w:rPr>
      </w:pPr>
      <w:r>
        <w:rPr>
          <w:rFonts w:ascii="Times New Roman" w:hAnsi="Times New Roman"/>
          <w:i/>
          <w:sz w:val="28"/>
          <w:szCs w:val="28"/>
        </w:rPr>
        <w:t xml:space="preserve">Профессиональный подход и материнское отношение Надежды Александровны к «подопечному» помогло молодому человеку справиться со стрессом, поверить в то, что он не одинок.</w:t>
      </w:r>
      <w:r>
        <w:rPr>
          <w:rFonts w:ascii="Times New Roman" w:hAnsi="Times New Roman"/>
          <w:i/>
          <w:sz w:val="28"/>
          <w:szCs w:val="28"/>
        </w:rPr>
      </w:r>
      <w:r>
        <w:rPr>
          <w:rFonts w:ascii="Times New Roman" w:hAnsi="Times New Roman"/>
          <w:i/>
          <w:sz w:val="28"/>
          <w:szCs w:val="28"/>
        </w:rPr>
      </w:r>
    </w:p>
    <w:p>
      <w:pPr>
        <w:jc w:val="both"/>
        <w:spacing w:after="0"/>
        <w:rPr>
          <w:rFonts w:ascii="Times New Roman" w:hAnsi="Times New Roman"/>
          <w:b/>
          <w:bCs/>
          <w:i/>
          <w:iCs/>
          <w:sz w:val="28"/>
          <w:szCs w:val="28"/>
          <w:highlight w:val="none"/>
        </w:rPr>
      </w:pPr>
      <w:r>
        <w:rPr>
          <w:rFonts w:ascii="Times New Roman" w:hAnsi="Times New Roman"/>
          <w:sz w:val="28"/>
          <w:szCs w:val="28"/>
        </w:rPr>
        <w:tab/>
      </w:r>
      <w:r>
        <w:rPr>
          <w:rFonts w:ascii="Times New Roman" w:hAnsi="Times New Roman"/>
          <w:b/>
          <w:i/>
          <w:iCs/>
          <w:sz w:val="28"/>
          <w:szCs w:val="28"/>
        </w:rPr>
        <w:t xml:space="preserve">Выражаю благодарность своим коллегам-правозащитникам из других регионов за конструктивное взаимодействие, помощь в решении вопросов заявителей.</w:t>
      </w:r>
      <w:r>
        <w:rPr>
          <w:rFonts w:ascii="Times New Roman" w:hAnsi="Times New Roman"/>
          <w:b/>
          <w:bCs/>
          <w:i/>
          <w:iCs/>
          <w:sz w:val="28"/>
          <w:szCs w:val="28"/>
          <w:highlight w:val="none"/>
        </w:rPr>
      </w:r>
      <w:r>
        <w:rPr>
          <w:rFonts w:ascii="Times New Roman" w:hAnsi="Times New Roman"/>
          <w:b/>
          <w:bCs/>
          <w:i/>
          <w:iCs/>
          <w:sz w:val="28"/>
          <w:szCs w:val="28"/>
          <w:highlight w:val="none"/>
        </w:rPr>
      </w:r>
    </w:p>
    <w:p>
      <w:pPr>
        <w:jc w:val="both"/>
        <w:spacing w:after="0"/>
        <w:rPr>
          <w:rFonts w:ascii="Times New Roman" w:hAnsi="Times New Roman"/>
          <w:b/>
          <w:bCs/>
          <w:i/>
          <w:sz w:val="28"/>
          <w:szCs w:val="28"/>
        </w:rPr>
      </w:pPr>
      <w:r>
        <w:rPr>
          <w:rFonts w:ascii="Times New Roman" w:hAnsi="Times New Roman"/>
          <w:b/>
          <w:i/>
          <w:iCs/>
          <w:sz w:val="28"/>
          <w:szCs w:val="28"/>
          <w:highlight w:val="none"/>
        </w:rPr>
      </w:r>
      <w:r>
        <w:rPr>
          <w:rFonts w:ascii="Times New Roman" w:hAnsi="Times New Roman"/>
          <w:b/>
          <w:bCs/>
          <w:i/>
          <w:sz w:val="28"/>
          <w:szCs w:val="28"/>
        </w:rPr>
      </w:r>
      <w:r>
        <w:rPr>
          <w:rFonts w:ascii="Times New Roman" w:hAnsi="Times New Roman"/>
          <w:b/>
          <w:bCs/>
          <w:i/>
          <w:sz w:val="28"/>
          <w:szCs w:val="28"/>
        </w:rPr>
      </w:r>
    </w:p>
    <w:p>
      <w:pPr>
        <w:pStyle w:val="1226"/>
        <w:jc w:val="left"/>
        <w:rPr>
          <w:rFonts w:ascii="Times New Roman" w:hAnsi="Times New Roman"/>
          <w:color w:val="000000" w:themeColor="text1"/>
          <w:sz w:val="28"/>
          <w:szCs w:val="28"/>
        </w:rPr>
      </w:pPr>
      <w:r>
        <w:rPr>
          <w:rFonts w:ascii="Times New Roman" w:hAnsi="Times New Roman"/>
          <w:color w:val="000000" w:themeColor="text1"/>
          <w:sz w:val="28"/>
          <w:szCs w:val="28"/>
        </w:rPr>
      </w:r>
      <w:r>
        <w:rPr>
          <w:rFonts w:ascii="Times New Roman" w:hAnsi="Times New Roman"/>
          <w:color w:val="000000" w:themeColor="text1"/>
          <w:sz w:val="28"/>
          <w:szCs w:val="28"/>
        </w:rPr>
      </w:r>
      <w:r>
        <w:rPr>
          <w:rFonts w:ascii="Times New Roman" w:hAnsi="Times New Roman"/>
          <w:color w:val="000000" w:themeColor="text1"/>
          <w:sz w:val="28"/>
          <w:szCs w:val="28"/>
        </w:rPr>
      </w:r>
    </w:p>
    <w:p>
      <w:pPr>
        <w:pStyle w:val="1226"/>
        <w:jc w:val="center"/>
        <w:spacing w:line="120" w:lineRule="auto"/>
        <w:rPr>
          <w:rFonts w:ascii="Times New Roman" w:hAnsi="Times New Roman"/>
          <w:b/>
          <w:bCs/>
          <w:color w:val="000000" w:themeColor="text1"/>
          <w:sz w:val="28"/>
          <w:szCs w:val="28"/>
        </w:rPr>
      </w:pPr>
      <w:r/>
      <w:bookmarkStart w:id="66" w:name="_Toc44"/>
      <w:r>
        <w:rPr>
          <w:rFonts w:ascii="Times New Roman" w:hAnsi="Times New Roman"/>
          <w:color w:val="000000" w:themeColor="text1"/>
          <w:sz w:val="28"/>
          <w:szCs w:val="28"/>
        </w:rPr>
        <w:t xml:space="preserve"> </w:t>
      </w:r>
      <w:r>
        <w:rPr>
          <w:rFonts w:ascii="Times New Roman" w:hAnsi="Times New Roman"/>
          <w:b/>
          <w:bCs/>
          <w:color w:val="000000" w:themeColor="text1"/>
          <w:sz w:val="28"/>
          <w:szCs w:val="28"/>
        </w:rPr>
        <w:t xml:space="preserve">14.3. Взаимодействие с Избирательной комиссией Ивановской области</w:t>
      </w:r>
      <w:r>
        <w:rPr>
          <w:rFonts w:ascii="Times New Roman" w:hAnsi="Times New Roman"/>
          <w:b/>
          <w:bCs/>
          <w:color w:val="000000" w:themeColor="text1"/>
          <w:sz w:val="28"/>
          <w:szCs w:val="28"/>
        </w:rPr>
        <w:t xml:space="preserve"> </w:t>
      </w:r>
      <w:r>
        <w:rPr>
          <w:rFonts w:ascii="Times New Roman" w:hAnsi="Times New Roman"/>
          <w:b/>
          <w:bCs/>
          <w:color w:val="000000" w:themeColor="text1"/>
          <w:sz w:val="28"/>
          <w:szCs w:val="28"/>
        </w:rPr>
      </w:r>
      <w:bookmarkEnd w:id="66"/>
      <w:r>
        <w:rPr>
          <w:rFonts w:ascii="Times New Roman" w:hAnsi="Times New Roman"/>
          <w:b/>
          <w:bCs/>
          <w:color w:val="000000" w:themeColor="text1"/>
          <w:sz w:val="28"/>
          <w:szCs w:val="28"/>
        </w:rPr>
      </w:r>
      <w:r>
        <w:rPr>
          <w:rFonts w:ascii="Times New Roman" w:hAnsi="Times New Roman"/>
          <w:b/>
          <w:bCs/>
          <w:color w:val="000000" w:themeColor="text1"/>
          <w:sz w:val="28"/>
          <w:szCs w:val="28"/>
        </w:rPr>
      </w:r>
    </w:p>
    <w:p>
      <w:pPr>
        <w:jc w:val="both"/>
        <w:spacing w:after="0"/>
        <w:rPr>
          <w:rFonts w:ascii="Times New Roman" w:hAnsi="Times New Roman"/>
          <w:b/>
          <w:bCs/>
          <w:sz w:val="28"/>
          <w:szCs w:val="28"/>
        </w:rPr>
      </w:pPr>
      <w:r>
        <w:rPr>
          <w:rFonts w:ascii="Times New Roman" w:hAnsi="Times New Roman"/>
          <w:b/>
          <w:bCs/>
          <w:sz w:val="28"/>
          <w:szCs w:val="28"/>
        </w:rPr>
      </w:r>
      <w:r>
        <w:rPr>
          <w:rFonts w:ascii="Times New Roman" w:hAnsi="Times New Roman"/>
          <w:b/>
          <w:bCs/>
          <w:sz w:val="28"/>
          <w:szCs w:val="28"/>
        </w:rPr>
      </w:r>
      <w:r>
        <w:rPr>
          <w:rFonts w:ascii="Times New Roman" w:hAnsi="Times New Roman"/>
          <w:b/>
          <w:bCs/>
          <w:sz w:val="28"/>
          <w:szCs w:val="28"/>
        </w:rPr>
      </w:r>
    </w:p>
    <w:p>
      <w:pPr>
        <w:ind w:firstLine="709"/>
        <w:jc w:val="both"/>
        <w:spacing w:after="0"/>
        <w:shd w:val="nil" w:color="auto"/>
        <w:rPr>
          <w:rFonts w:ascii="Times New Roman" w:hAnsi="Times New Roman" w:eastAsia="Times New Roman"/>
          <w:sz w:val="28"/>
          <w:szCs w:val="28"/>
        </w:rPr>
      </w:pPr>
      <w:r>
        <w:rPr>
          <w:rFonts w:ascii="Times New Roman" w:hAnsi="Times New Roman" w:eastAsia="Times New Roman"/>
          <w:sz w:val="28"/>
          <w:szCs w:val="28"/>
        </w:rPr>
        <w:t xml:space="preserve">У каждого гражданина Российской Федерации есть избирательное право, это закреплено в Конституции РФ (статья 32). Право избирать возникает у россиян с 18 лет. С этого возраста граждане получают возможность голосовать на любых выборах, </w:t>
      </w:r>
      <w:r>
        <w:rPr>
          <w:rFonts w:ascii="Times New Roman" w:hAnsi="Times New Roman" w:eastAsia="Times New Roman"/>
          <w:sz w:val="28"/>
          <w:szCs w:val="28"/>
        </w:rPr>
        <w:t xml:space="preserve">от</w:t>
      </w:r>
      <w:r>
        <w:rPr>
          <w:rFonts w:ascii="Times New Roman" w:hAnsi="Times New Roman" w:eastAsia="Times New Roman"/>
          <w:sz w:val="28"/>
          <w:szCs w:val="28"/>
        </w:rPr>
        <w:t xml:space="preserve"> муниципальных до федеральных.</w:t>
      </w:r>
      <w:r>
        <w:rPr>
          <w:rFonts w:ascii="Times New Roman" w:hAnsi="Times New Roman" w:eastAsia="Times New Roman"/>
          <w:sz w:val="28"/>
          <w:szCs w:val="28"/>
        </w:rPr>
      </w:r>
      <w:r>
        <w:rPr>
          <w:rFonts w:ascii="Times New Roman" w:hAnsi="Times New Roman" w:eastAsia="Times New Roman"/>
          <w:sz w:val="28"/>
          <w:szCs w:val="28"/>
        </w:rPr>
      </w:r>
    </w:p>
    <w:p>
      <w:pPr>
        <w:ind w:firstLine="709"/>
        <w:jc w:val="both"/>
        <w:spacing w:after="0"/>
        <w:shd w:val="nil" w:color="auto"/>
        <w:rPr>
          <w:rFonts w:ascii="Times New Roman" w:hAnsi="Times New Roman"/>
          <w:color w:val="000000" w:themeColor="text1"/>
          <w:sz w:val="28"/>
          <w:szCs w:val="28"/>
        </w:rPr>
      </w:pPr>
      <w:r>
        <w:rPr>
          <w:rFonts w:ascii="Times New Roman" w:hAnsi="Times New Roman" w:eastAsia="Times New Roman"/>
          <w:sz w:val="28"/>
          <w:szCs w:val="28"/>
        </w:rPr>
        <w:t xml:space="preserve">В 2025 году в Ивановской области состоялись выборы </w:t>
      </w:r>
      <w:r>
        <w:rPr>
          <w:rFonts w:ascii="Times New Roman" w:hAnsi="Times New Roman" w:eastAsia="Times New Roman"/>
          <w:color w:val="000000" w:themeColor="text1"/>
          <w:sz w:val="28"/>
          <w:szCs w:val="28"/>
          <w:highlight w:val="white"/>
        </w:rPr>
        <w:t xml:space="preserve">депутатов представительных органов местного самоуправления. </w:t>
      </w:r>
      <w:r>
        <w:rPr>
          <w:rFonts w:ascii="Times New Roman" w:hAnsi="Times New Roman"/>
          <w:color w:val="000000" w:themeColor="text1"/>
          <w:sz w:val="28"/>
          <w:szCs w:val="28"/>
        </w:rPr>
      </w:r>
      <w:r>
        <w:rPr>
          <w:rFonts w:ascii="Times New Roman" w:hAnsi="Times New Roman"/>
          <w:color w:val="000000" w:themeColor="text1"/>
          <w:sz w:val="28"/>
          <w:szCs w:val="28"/>
        </w:rPr>
      </w:r>
    </w:p>
    <w:p>
      <w:pPr>
        <w:ind w:firstLine="709"/>
        <w:jc w:val="both"/>
        <w:spacing w:after="0"/>
        <w:shd w:val="nil" w:color="auto"/>
        <w:rPr>
          <w:rFonts w:ascii="Times New Roman" w:hAnsi="Times New Roman"/>
          <w:sz w:val="28"/>
          <w:szCs w:val="28"/>
        </w:rPr>
      </w:pPr>
      <w:r>
        <w:rPr>
          <w:rFonts w:ascii="Times New Roman" w:hAnsi="Times New Roman" w:eastAsia="Times New Roman"/>
          <w:sz w:val="28"/>
          <w:szCs w:val="28"/>
        </w:rPr>
        <w:t xml:space="preserve">До начала проведения выборов Уполномоченный  Светлана Шмелева и председатель Избирательной комиссии Ивановской области </w:t>
      </w:r>
      <w:r>
        <w:rPr>
          <w:rFonts w:ascii="Times New Roman" w:hAnsi="Times New Roman" w:eastAsia="Times New Roman"/>
          <w:sz w:val="28"/>
          <w:szCs w:val="28"/>
        </w:rPr>
        <w:t xml:space="preserve">Анжелика</w:t>
      </w:r>
      <w:r>
        <w:rPr>
          <w:rFonts w:ascii="Times New Roman" w:hAnsi="Times New Roman" w:eastAsia="Times New Roman"/>
          <w:sz w:val="28"/>
          <w:szCs w:val="28"/>
        </w:rPr>
        <w:t xml:space="preserve"> Соловьева обсудили подготовку к Единому дню голосования в</w:t>
      </w:r>
      <w:r>
        <w:rPr>
          <w:rFonts w:ascii="Times New Roman" w:hAnsi="Times New Roman" w:eastAsia="Times New Roman"/>
          <w:sz w:val="28"/>
          <w:szCs w:val="28"/>
        </w:rPr>
        <w:t xml:space="preserve"> Ивановской области. На рабочей встрече были затронуты вопросы взаимодействия регионального избиркома и правозащитной службы УПЧ по вопросам реализации избирательных прав граждан. В ходе общения особое внимание обращено на создание условий для голосования </w:t>
      </w:r>
      <w:r>
        <w:rPr>
          <w:rFonts w:ascii="Times New Roman" w:hAnsi="Times New Roman" w:eastAsia="Times New Roman"/>
          <w:sz w:val="28"/>
          <w:szCs w:val="28"/>
        </w:rPr>
        <w:t xml:space="preserve">маломобильным</w:t>
      </w:r>
      <w:r>
        <w:rPr>
          <w:rFonts w:ascii="Times New Roman" w:hAnsi="Times New Roman" w:eastAsia="Times New Roman"/>
          <w:sz w:val="28"/>
          <w:szCs w:val="28"/>
        </w:rPr>
        <w:t xml:space="preserve"> группам населения, организацию правового просвещения молодых избирателей силами «молодежного крыла» УПЧ. </w:t>
      </w:r>
      <w:r>
        <w:rPr>
          <w:rFonts w:ascii="Times New Roman" w:hAnsi="Times New Roman"/>
          <w:sz w:val="28"/>
          <w:szCs w:val="28"/>
        </w:rPr>
      </w:r>
      <w:r>
        <w:rPr>
          <w:rFonts w:ascii="Times New Roman" w:hAnsi="Times New Roman"/>
          <w:sz w:val="28"/>
          <w:szCs w:val="28"/>
        </w:rPr>
      </w:r>
    </w:p>
    <w:p>
      <w:pPr>
        <w:ind w:firstLine="709"/>
        <w:jc w:val="both"/>
        <w:spacing w:after="0"/>
        <w:shd w:val="nil" w:color="auto"/>
        <w:rPr>
          <w:rFonts w:ascii="Times New Roman" w:hAnsi="Times New Roman"/>
          <w:sz w:val="28"/>
          <w:szCs w:val="28"/>
        </w:rPr>
      </w:pPr>
      <w:r>
        <w:rPr>
          <w:rFonts w:ascii="Times New Roman" w:hAnsi="Times New Roman"/>
          <w:color w:val="000000" w:themeColor="text1"/>
          <w:sz w:val="28"/>
          <w:szCs w:val="28"/>
        </w:rPr>
        <w:t xml:space="preserve">Уполномоченный традиционно проводила мониторинг соблюдения избирательных прав г</w:t>
      </w:r>
      <w:r>
        <w:rPr>
          <w:rFonts w:ascii="Times New Roman" w:hAnsi="Times New Roman"/>
          <w:color w:val="000000" w:themeColor="text1"/>
          <w:sz w:val="28"/>
          <w:szCs w:val="28"/>
        </w:rPr>
        <w:t xml:space="preserve">раждан в ходе избирательной кампании-2025 во взаимодействии с областной Избирательной комиссией и региональной Общественной палатой. В аппарате Уполномоченного в течение месяца до проведения выборов работала «горячая линия» по приему телефонных звонков от </w:t>
      </w:r>
      <w:r>
        <w:rPr>
          <w:rFonts w:ascii="Times New Roman" w:hAnsi="Times New Roman"/>
          <w:color w:val="000000" w:themeColor="text1"/>
          <w:sz w:val="28"/>
          <w:szCs w:val="28"/>
        </w:rPr>
        <w:t xml:space="preserve">ивановцев</w:t>
      </w:r>
      <w:r>
        <w:rPr>
          <w:rFonts w:ascii="Times New Roman" w:hAnsi="Times New Roman"/>
          <w:color w:val="000000" w:themeColor="text1"/>
          <w:sz w:val="28"/>
          <w:szCs w:val="28"/>
        </w:rPr>
        <w:t xml:space="preserve">.  Н</w:t>
      </w:r>
      <w:r>
        <w:rPr>
          <w:rFonts w:ascii="Times New Roman" w:hAnsi="Times New Roman"/>
          <w:sz w:val="28"/>
          <w:szCs w:val="28"/>
        </w:rPr>
        <w:t xml:space="preserve">арушений прав не зафиксировано. </w:t>
      </w:r>
      <w:r>
        <w:rPr>
          <w:rFonts w:ascii="Times New Roman" w:hAnsi="Times New Roman"/>
          <w:sz w:val="28"/>
          <w:szCs w:val="28"/>
        </w:rPr>
      </w:r>
      <w:r>
        <w:rPr>
          <w:rFonts w:ascii="Times New Roman" w:hAnsi="Times New Roman"/>
          <w:sz w:val="28"/>
          <w:szCs w:val="28"/>
        </w:rPr>
      </w:r>
    </w:p>
    <w:p>
      <w:pPr>
        <w:ind w:firstLine="709"/>
        <w:jc w:val="both"/>
        <w:spacing w:after="0"/>
        <w:shd w:val="nil" w:color="auto"/>
        <w:rPr>
          <w:rFonts w:ascii="Times New Roman" w:hAnsi="Times New Roman"/>
          <w:color w:val="000000" w:themeColor="text1"/>
          <w:sz w:val="28"/>
          <w:szCs w:val="28"/>
        </w:rPr>
      </w:pPr>
      <w:r>
        <w:rPr>
          <w:rFonts w:ascii="Times New Roman" w:hAnsi="Times New Roman"/>
          <w:sz w:val="28"/>
          <w:szCs w:val="28"/>
        </w:rPr>
        <w:t xml:space="preserve">В адрес службы регионального правозащитника поступили обращения информационного характера, предложения по усовер</w:t>
      </w:r>
      <w:r>
        <w:rPr>
          <w:rFonts w:ascii="Times New Roman" w:hAnsi="Times New Roman"/>
          <w:sz w:val="28"/>
          <w:szCs w:val="28"/>
        </w:rPr>
        <w:t xml:space="preserve">шенствованию предвыборной агитации. Представители серебряного возраста высказывали свои пожелания в части распространения приглашений на выборы. С жалобами на недоступность избирательных участков лица  с ограниченными возможностями здоровья не обращались. </w:t>
      </w:r>
      <w:r>
        <w:rPr>
          <w:rFonts w:ascii="Times New Roman" w:hAnsi="Times New Roman"/>
          <w:color w:val="000000" w:themeColor="text1"/>
          <w:sz w:val="28"/>
          <w:szCs w:val="28"/>
        </w:rPr>
      </w:r>
      <w:r>
        <w:rPr>
          <w:rFonts w:ascii="Times New Roman" w:hAnsi="Times New Roman"/>
          <w:color w:val="000000" w:themeColor="text1"/>
          <w:sz w:val="28"/>
          <w:szCs w:val="28"/>
        </w:rPr>
      </w:r>
    </w:p>
    <w:p>
      <w:pPr>
        <w:ind w:firstLine="709"/>
        <w:jc w:val="both"/>
        <w:spacing w:after="0"/>
        <w:rPr>
          <w:rFonts w:ascii="Times New Roman" w:hAnsi="Times New Roman"/>
          <w:sz w:val="28"/>
          <w:szCs w:val="28"/>
        </w:rPr>
      </w:pPr>
      <w:r>
        <w:rPr>
          <w:rFonts w:ascii="Times New Roman" w:hAnsi="Times New Roman"/>
          <w:sz w:val="28"/>
          <w:szCs w:val="28"/>
        </w:rPr>
        <w:t xml:space="preserve">Мониторинг реализации избирательных прав жителей Ивановской области Уполномоченным проводился совместно с общественным</w:t>
      </w:r>
      <w:r>
        <w:rPr>
          <w:rFonts w:ascii="Times New Roman" w:hAnsi="Times New Roman"/>
          <w:sz w:val="28"/>
          <w:szCs w:val="28"/>
        </w:rPr>
        <w:t xml:space="preserve">и наблюдателями, а также членами правозащитной Команды – общественными помощниками и представителями Молодежного совета. Также Уполномоченный лично посещала отдельные избирательные участки, где знакомилась с ходом работы участковых избирательных комиссий. </w:t>
      </w:r>
      <w:r>
        <w:rPr>
          <w:rFonts w:ascii="Times New Roman" w:hAnsi="Times New Roman"/>
          <w:sz w:val="28"/>
          <w:szCs w:val="28"/>
        </w:rPr>
        <w:tab/>
        <w:t xml:space="preserve">Омбудсмен на постоянной связи находилась с Уполномоченным по правам человека в РФ Татьяной </w:t>
      </w:r>
      <w:r>
        <w:rPr>
          <w:rFonts w:ascii="Times New Roman" w:hAnsi="Times New Roman"/>
          <w:sz w:val="28"/>
          <w:szCs w:val="28"/>
        </w:rPr>
        <w:t xml:space="preserve">Москальковой</w:t>
      </w:r>
      <w:r>
        <w:rPr>
          <w:rFonts w:ascii="Times New Roman" w:hAnsi="Times New Roman"/>
          <w:sz w:val="28"/>
          <w:szCs w:val="28"/>
        </w:rPr>
        <w:t xml:space="preserve"> и ее сотрудниками рабочего аппарата в целях предоставления оперативной информации о ходе голосования.  </w:t>
      </w:r>
      <w:r>
        <w:rPr>
          <w:rFonts w:ascii="Times New Roman" w:hAnsi="Times New Roman"/>
          <w:sz w:val="28"/>
          <w:szCs w:val="28"/>
        </w:rPr>
      </w:r>
      <w:r>
        <w:rPr>
          <w:rFonts w:ascii="Times New Roman" w:hAnsi="Times New Roman"/>
          <w:sz w:val="28"/>
          <w:szCs w:val="28"/>
        </w:rPr>
      </w:r>
    </w:p>
    <w:p>
      <w:pPr>
        <w:ind w:firstLine="709"/>
        <w:jc w:val="both"/>
        <w:spacing w:after="0"/>
        <w:rPr>
          <w:rFonts w:ascii="Times New Roman" w:hAnsi="Times New Roman"/>
          <w:sz w:val="28"/>
          <w:szCs w:val="28"/>
        </w:rPr>
      </w:pPr>
      <w:r>
        <w:rPr>
          <w:rFonts w:ascii="Times New Roman" w:hAnsi="Times New Roman"/>
          <w:sz w:val="28"/>
          <w:szCs w:val="28"/>
        </w:rPr>
        <w:t xml:space="preserve">Уполномоченный Светлана Шмелева, председатель областной Избирательной комиссии </w:t>
      </w:r>
      <w:r>
        <w:rPr>
          <w:rFonts w:ascii="Times New Roman" w:hAnsi="Times New Roman"/>
          <w:sz w:val="28"/>
          <w:szCs w:val="28"/>
        </w:rPr>
        <w:t xml:space="preserve">Анжелика</w:t>
      </w:r>
      <w:r>
        <w:rPr>
          <w:rFonts w:ascii="Times New Roman" w:hAnsi="Times New Roman"/>
          <w:sz w:val="28"/>
          <w:szCs w:val="28"/>
        </w:rPr>
        <w:t xml:space="preserve"> Соловьева и руководитель Общественной палаты и Штаба общественного наблюдения за выборами Дмитрий </w:t>
      </w:r>
      <w:r>
        <w:rPr>
          <w:rFonts w:ascii="Times New Roman" w:hAnsi="Times New Roman"/>
          <w:sz w:val="28"/>
          <w:szCs w:val="28"/>
        </w:rPr>
        <w:t xml:space="preserve">Тихов</w:t>
      </w:r>
      <w:r>
        <w:rPr>
          <w:rFonts w:ascii="Times New Roman" w:hAnsi="Times New Roman"/>
          <w:sz w:val="28"/>
          <w:szCs w:val="28"/>
        </w:rPr>
        <w:t xml:space="preserve"> подвели итоги избирательной кампании 2025 года в нашем регионе.</w:t>
      </w:r>
      <w:r>
        <w:rPr>
          <w:rFonts w:ascii="Times New Roman" w:hAnsi="Times New Roman"/>
          <w:sz w:val="28"/>
          <w:szCs w:val="28"/>
        </w:rPr>
      </w:r>
      <w:r>
        <w:rPr>
          <w:rFonts w:ascii="Times New Roman" w:hAnsi="Times New Roman"/>
          <w:sz w:val="28"/>
          <w:szCs w:val="28"/>
        </w:rPr>
      </w:r>
    </w:p>
    <w:p>
      <w:pPr>
        <w:ind w:firstLine="709"/>
        <w:jc w:val="both"/>
        <w:spacing w:after="0"/>
        <w:rPr>
          <w:rFonts w:ascii="Times New Roman" w:hAnsi="Times New Roman"/>
          <w:sz w:val="28"/>
          <w:szCs w:val="28"/>
        </w:rPr>
      </w:pPr>
      <w:r>
        <w:rPr>
          <w:rFonts w:ascii="Times New Roman" w:hAnsi="Times New Roman"/>
          <w:sz w:val="28"/>
          <w:szCs w:val="28"/>
        </w:rPr>
        <w:t xml:space="preserve">Явка избирателей составила 23, 39 %. Все муниципальные выборы в регионе состоялись, распределены 1 121 мандат между победителями. На выборах работало 679 участковых избирательных комиссий. В территориальные избирательные комиссии жалоб не поступило. </w:t>
      </w:r>
      <w:r>
        <w:rPr>
          <w:rFonts w:ascii="Times New Roman" w:hAnsi="Times New Roman"/>
          <w:sz w:val="28"/>
          <w:szCs w:val="28"/>
        </w:rPr>
      </w:r>
      <w:r>
        <w:rPr>
          <w:rFonts w:ascii="Times New Roman" w:hAnsi="Times New Roman"/>
          <w:sz w:val="28"/>
          <w:szCs w:val="28"/>
        </w:rPr>
      </w:r>
    </w:p>
    <w:p>
      <w:pPr>
        <w:ind w:firstLine="709"/>
        <w:jc w:val="both"/>
        <w:spacing w:after="0"/>
        <w:rPr>
          <w:rFonts w:ascii="Times New Roman" w:hAnsi="Times New Roman"/>
          <w:sz w:val="28"/>
          <w:szCs w:val="28"/>
        </w:rPr>
      </w:pPr>
      <w:r>
        <w:rPr>
          <w:rFonts w:ascii="Times New Roman" w:hAnsi="Times New Roman"/>
          <w:sz w:val="28"/>
          <w:szCs w:val="28"/>
        </w:rPr>
        <w:t xml:space="preserve">Следует отметить профессионализм представителей правоохранительных органов и сотрудников МЧС, обеспечивающих безопасность в помещениях для голосования. </w:t>
      </w:r>
      <w:r>
        <w:rPr>
          <w:rFonts w:ascii="Times New Roman" w:hAnsi="Times New Roman"/>
          <w:sz w:val="28"/>
          <w:szCs w:val="28"/>
        </w:rPr>
      </w:r>
      <w:r>
        <w:rPr>
          <w:rFonts w:ascii="Times New Roman" w:hAnsi="Times New Roman"/>
          <w:sz w:val="28"/>
          <w:szCs w:val="28"/>
        </w:rPr>
      </w:r>
    </w:p>
    <w:p>
      <w:pPr>
        <w:ind w:firstLine="709"/>
        <w:jc w:val="both"/>
        <w:spacing w:after="0"/>
        <w:rPr>
          <w:rFonts w:ascii="Times New Roman" w:hAnsi="Times New Roman"/>
          <w:bCs/>
          <w:i w:val="0"/>
          <w:iCs w:val="0"/>
          <w:sz w:val="28"/>
          <w:szCs w:val="28"/>
        </w:rPr>
      </w:pPr>
      <w:r>
        <w:rPr>
          <w:rFonts w:ascii="Times New Roman" w:hAnsi="Times New Roman"/>
          <w:i w:val="0"/>
          <w:iCs w:val="0"/>
          <w:sz w:val="28"/>
          <w:szCs w:val="28"/>
        </w:rPr>
        <w:t xml:space="preserve">С</w:t>
      </w:r>
      <w:r>
        <w:rPr>
          <w:rFonts w:ascii="Times New Roman" w:hAnsi="Times New Roman"/>
          <w:i w:val="0"/>
          <w:iCs w:val="0"/>
          <w:sz w:val="28"/>
          <w:szCs w:val="28"/>
        </w:rPr>
        <w:t xml:space="preserve"> депут</w:t>
      </w:r>
      <w:r>
        <w:rPr>
          <w:rFonts w:ascii="Times New Roman" w:hAnsi="Times New Roman"/>
          <w:i w:val="0"/>
          <w:iCs w:val="0"/>
          <w:sz w:val="28"/>
          <w:szCs w:val="28"/>
        </w:rPr>
        <w:t xml:space="preserve">атами всех уровней налажено продуктивное сотрудничество института Уполномоченного по правам человека по оказанию индивидуальной помощи лицам, нуждающимся в нашей общей поддержке, проведении совместных мероприятий по правовому просвещению. Только работа с н</w:t>
      </w:r>
      <w:r>
        <w:rPr>
          <w:rFonts w:ascii="Times New Roman" w:hAnsi="Times New Roman"/>
          <w:i w:val="0"/>
          <w:iCs w:val="0"/>
          <w:sz w:val="28"/>
          <w:szCs w:val="28"/>
        </w:rPr>
        <w:t xml:space="preserve">аселением позволяет повысить доверие к местной власти, выявить проблемные вопросы и определить пути решения наболевших тем.  Желаю всем дальнейших успехов! Выборы состоялись, а дальше – работа во благо жителей нашего региона.</w:t>
      </w:r>
      <w:r>
        <w:rPr>
          <w:rFonts w:ascii="Times New Roman" w:hAnsi="Times New Roman"/>
          <w:bCs/>
          <w:i w:val="0"/>
          <w:iCs w:val="0"/>
          <w:sz w:val="28"/>
          <w:szCs w:val="28"/>
        </w:rPr>
      </w:r>
    </w:p>
    <w:p>
      <w:pPr>
        <w:ind w:firstLine="709"/>
        <w:jc w:val="both"/>
        <w:spacing w:after="0"/>
        <w:rPr>
          <w:rFonts w:ascii="Times New Roman" w:hAnsi="Times New Roman"/>
          <w:bCs/>
          <w:i/>
          <w:sz w:val="28"/>
          <w:szCs w:val="28"/>
          <w:highlight w:val="none"/>
        </w:rPr>
      </w:pPr>
      <w:r>
        <w:rPr>
          <w:rFonts w:ascii="Times New Roman" w:hAnsi="Times New Roman"/>
          <w:i/>
          <w:iCs/>
          <w:sz w:val="28"/>
          <w:szCs w:val="28"/>
        </w:rPr>
        <w:t xml:space="preserve"> </w:t>
      </w:r>
      <w:r>
        <w:rPr>
          <w:rFonts w:ascii="Times New Roman" w:hAnsi="Times New Roman"/>
          <w:bCs/>
          <w:i/>
          <w:sz w:val="28"/>
          <w:szCs w:val="28"/>
          <w:highlight w:val="none"/>
        </w:rPr>
      </w:r>
      <w:r>
        <w:rPr>
          <w:rFonts w:ascii="Times New Roman" w:hAnsi="Times New Roman"/>
          <w:bCs/>
          <w:i/>
          <w:sz w:val="28"/>
          <w:szCs w:val="28"/>
          <w:highlight w:val="none"/>
        </w:rPr>
      </w:r>
    </w:p>
    <w:p>
      <w:pPr>
        <w:ind w:firstLine="709"/>
        <w:jc w:val="both"/>
        <w:spacing w:after="0"/>
        <w:rPr>
          <w:rFonts w:ascii="Times New Roman" w:hAnsi="Times New Roman"/>
          <w:b/>
          <w:bCs/>
          <w:i/>
          <w:sz w:val="28"/>
          <w:szCs w:val="28"/>
        </w:rPr>
      </w:pPr>
      <w:r>
        <w:rPr>
          <w:rFonts w:ascii="Times New Roman" w:hAnsi="Times New Roman"/>
          <w:i/>
          <w:iCs/>
          <w:sz w:val="28"/>
          <w:szCs w:val="28"/>
          <w:highlight w:val="none"/>
        </w:rPr>
      </w:r>
      <w:r>
        <w:rPr>
          <w:rFonts w:ascii="Times New Roman" w:hAnsi="Times New Roman"/>
          <w:b/>
          <w:bCs/>
          <w:i/>
          <w:sz w:val="28"/>
          <w:szCs w:val="28"/>
        </w:rPr>
      </w:r>
      <w:r>
        <w:rPr>
          <w:rFonts w:ascii="Times New Roman" w:hAnsi="Times New Roman"/>
          <w:b/>
          <w:bCs/>
          <w:i/>
          <w:sz w:val="28"/>
          <w:szCs w:val="28"/>
        </w:rPr>
      </w:r>
    </w:p>
    <w:p>
      <w:pPr>
        <w:pStyle w:val="1226"/>
        <w:jc w:val="center"/>
        <w:rPr>
          <w:rFonts w:ascii="Times New Roman" w:hAnsi="Times New Roman" w:cs="Times New Roman"/>
          <w:b/>
          <w:bCs/>
          <w:color w:val="auto"/>
          <w:sz w:val="28"/>
          <w:szCs w:val="28"/>
        </w:rPr>
      </w:pPr>
      <w:r/>
      <w:bookmarkStart w:id="67" w:name="_Toc45"/>
      <w:r>
        <w:rPr>
          <w:rFonts w:ascii="Times New Roman" w:hAnsi="Times New Roman" w:cs="Times New Roman"/>
          <w:b/>
          <w:bCs/>
          <w:color w:val="auto"/>
          <w:sz w:val="28"/>
          <w:szCs w:val="28"/>
        </w:rPr>
        <w:t xml:space="preserve">14.4. Соучастие в деятельности институтов гражданского общества, НКО и образовательных организаций</w:t>
      </w:r>
      <w:r>
        <w:rPr>
          <w:rFonts w:ascii="Times New Roman" w:hAnsi="Times New Roman" w:cs="Times New Roman"/>
          <w:b/>
          <w:bCs/>
          <w:color w:val="auto"/>
          <w:sz w:val="28"/>
          <w:szCs w:val="28"/>
        </w:rPr>
      </w:r>
      <w:bookmarkEnd w:id="67"/>
      <w:r>
        <w:rPr>
          <w:rFonts w:ascii="Times New Roman" w:hAnsi="Times New Roman" w:cs="Times New Roman"/>
          <w:b/>
          <w:bCs/>
          <w:color w:val="auto"/>
          <w:sz w:val="28"/>
          <w:szCs w:val="28"/>
        </w:rPr>
      </w:r>
      <w:r>
        <w:rPr>
          <w:rFonts w:ascii="Times New Roman" w:hAnsi="Times New Roman" w:cs="Times New Roman"/>
          <w:b/>
          <w:bCs/>
          <w:color w:val="auto"/>
          <w:sz w:val="28"/>
          <w:szCs w:val="28"/>
        </w:rPr>
      </w:r>
    </w:p>
    <w:p>
      <w:r/>
      <w:r/>
    </w:p>
    <w:p>
      <w:pPr>
        <w:jc w:val="both"/>
        <w:spacing w:after="0"/>
        <w:tabs>
          <w:tab w:val="left" w:pos="709" w:leader="none"/>
          <w:tab w:val="left" w:pos="851" w:leader="none"/>
        </w:tabs>
        <w:rPr>
          <w:rFonts w:ascii="Times New Roman" w:hAnsi="Times New Roman"/>
          <w:spacing w:val="-3"/>
          <w:sz w:val="28"/>
          <w:szCs w:val="28"/>
        </w:rPr>
      </w:pPr>
      <w:r>
        <w:rPr>
          <w:rFonts w:ascii="Times New Roman" w:hAnsi="Times New Roman"/>
          <w:sz w:val="28"/>
          <w:szCs w:val="28"/>
        </w:rPr>
        <w:tab/>
      </w:r>
      <w:r>
        <w:rPr>
          <w:rFonts w:ascii="Times New Roman" w:hAnsi="Times New Roman"/>
          <w:spacing w:val="-3"/>
          <w:sz w:val="28"/>
          <w:szCs w:val="28"/>
        </w:rPr>
        <w:t xml:space="preserve">В последние годы некоммерческий сектор в России ста</w:t>
      </w:r>
      <w:r>
        <w:rPr>
          <w:rFonts w:ascii="Times New Roman" w:hAnsi="Times New Roman"/>
          <w:spacing w:val="-3"/>
          <w:sz w:val="28"/>
          <w:szCs w:val="28"/>
        </w:rPr>
        <w:t xml:space="preserve">л значимым участником решения социальных задач, поэтому Уполномоченным выстроены надежные партнерские отношения с региональными НКО, которые способствуют не только защите прав человека, но и оказанию адресной помощи социально незащищенным слоям населения. </w:t>
      </w:r>
      <w:r>
        <w:rPr>
          <w:rFonts w:ascii="Times New Roman" w:hAnsi="Times New Roman"/>
          <w:spacing w:val="-3"/>
          <w:sz w:val="28"/>
          <w:szCs w:val="28"/>
        </w:rPr>
      </w:r>
      <w:r>
        <w:rPr>
          <w:rFonts w:ascii="Times New Roman" w:hAnsi="Times New Roman"/>
          <w:spacing w:val="-3"/>
          <w:sz w:val="28"/>
          <w:szCs w:val="28"/>
        </w:rPr>
      </w:r>
    </w:p>
    <w:p>
      <w:pPr>
        <w:jc w:val="both"/>
        <w:spacing w:after="0"/>
        <w:tabs>
          <w:tab w:val="left" w:pos="709" w:leader="none"/>
          <w:tab w:val="left" w:pos="851" w:leader="none"/>
        </w:tabs>
        <w:rPr>
          <w:rFonts w:ascii="Times New Roman" w:hAnsi="Times New Roman"/>
          <w:sz w:val="28"/>
          <w:szCs w:val="28"/>
        </w:rPr>
      </w:pPr>
      <w:r>
        <w:rPr>
          <w:rFonts w:ascii="Times New Roman" w:hAnsi="Times New Roman"/>
          <w:spacing w:val="-3"/>
          <w:sz w:val="28"/>
          <w:szCs w:val="28"/>
        </w:rPr>
        <w:tab/>
        <w:t xml:space="preserve">Региональный омбудсмен</w:t>
      </w:r>
      <w:r>
        <w:rPr>
          <w:rFonts w:ascii="Times New Roman" w:hAnsi="Times New Roman"/>
          <w:color w:val="ff0000"/>
          <w:spacing w:val="-3"/>
          <w:sz w:val="28"/>
          <w:szCs w:val="28"/>
        </w:rPr>
        <w:t xml:space="preserve"> </w:t>
      </w:r>
      <w:r>
        <w:rPr>
          <w:rFonts w:ascii="Times New Roman" w:hAnsi="Times New Roman"/>
          <w:spacing w:val="-3"/>
          <w:sz w:val="28"/>
          <w:szCs w:val="28"/>
        </w:rPr>
        <w:t xml:space="preserve">в связи </w:t>
      </w:r>
      <w:r>
        <w:rPr>
          <w:rFonts w:ascii="Times New Roman" w:hAnsi="Times New Roman"/>
          <w:sz w:val="28"/>
          <w:szCs w:val="28"/>
          <w:highlight w:val="white"/>
        </w:rPr>
        <w:t xml:space="preserve">социальной</w:t>
      </w:r>
      <w:r>
        <w:rPr>
          <w:rFonts w:ascii="Times New Roman" w:hAnsi="Times New Roman"/>
          <w:sz w:val="28"/>
          <w:szCs w:val="28"/>
          <w:highlight w:val="white"/>
        </w:rPr>
        <w:t xml:space="preserve"> значимости проект</w:t>
      </w:r>
      <w:r>
        <w:rPr>
          <w:rFonts w:ascii="Times New Roman" w:hAnsi="Times New Roman"/>
          <w:sz w:val="28"/>
          <w:szCs w:val="28"/>
        </w:rPr>
        <w:t xml:space="preserve">ов, разработанных ивановскими НКО, вузовским сообществом в течение года оказывала поддержку в виде рекомендательных писем и проведения тематических площадок:</w:t>
      </w:r>
      <w:r>
        <w:rPr>
          <w:rFonts w:ascii="Times New Roman" w:hAnsi="Times New Roman"/>
          <w:sz w:val="28"/>
          <w:szCs w:val="28"/>
        </w:rPr>
      </w:r>
      <w:r>
        <w:rPr>
          <w:rFonts w:ascii="Times New Roman" w:hAnsi="Times New Roman"/>
          <w:sz w:val="28"/>
          <w:szCs w:val="28"/>
        </w:rPr>
      </w:r>
    </w:p>
    <w:p>
      <w:pPr>
        <w:pStyle w:val="1227"/>
        <w:numPr>
          <w:ilvl w:val="0"/>
          <w:numId w:val="81"/>
        </w:numPr>
        <w:ind w:left="0" w:firstLine="709"/>
        <w:jc w:val="both"/>
        <w:spacing w:line="276" w:lineRule="auto"/>
        <w:tabs>
          <w:tab w:val="left" w:pos="142" w:leader="none"/>
          <w:tab w:val="left" w:pos="851" w:leader="none"/>
        </w:tabs>
        <w:rPr>
          <w:rFonts w:ascii="Times New Roman" w:hAnsi="Times New Roman"/>
          <w:spacing w:val="-3"/>
          <w:sz w:val="28"/>
          <w:szCs w:val="28"/>
          <w:lang w:val="ru-RU"/>
        </w:rPr>
      </w:pPr>
      <w:r>
        <w:rPr>
          <w:rFonts w:ascii="Times New Roman" w:hAnsi="Times New Roman"/>
          <w:sz w:val="28"/>
          <w:szCs w:val="28"/>
          <w:lang w:val="ru-RU"/>
        </w:rPr>
        <w:t xml:space="preserve">Ивановской областной общественной организацией «Общественный комитет защиты детства, семьи и нравственности «Колыбель» по проекту «Семейный центр Колыбель», основной </w:t>
      </w:r>
      <w:r>
        <w:rPr>
          <w:rFonts w:ascii="Times New Roman" w:hAnsi="Times New Roman"/>
          <w:sz w:val="28"/>
          <w:szCs w:val="28"/>
          <w:lang w:val="ru-RU"/>
        </w:rPr>
        <w:t xml:space="preserve">целью которого является совершенствование целостной инфраструктуры для оказания комплекса услуг беременным и многодетным семьям по принципу «одного окна», создание возможности для расширения перечня предоставляемых социальных услуг для указанной категории </w:t>
      </w:r>
      <w:r>
        <w:rPr>
          <w:rFonts w:ascii="Times New Roman" w:hAnsi="Times New Roman"/>
          <w:sz w:val="28"/>
          <w:szCs w:val="28"/>
          <w:lang w:val="ru-RU"/>
        </w:rPr>
        <w:t xml:space="preserve">благополучателей</w:t>
      </w:r>
      <w:r>
        <w:rPr>
          <w:rFonts w:ascii="Times New Roman" w:hAnsi="Times New Roman"/>
          <w:sz w:val="28"/>
          <w:szCs w:val="28"/>
          <w:lang w:val="ru-RU"/>
        </w:rPr>
        <w:t xml:space="preserve">;</w:t>
      </w:r>
      <w:r>
        <w:rPr>
          <w:rFonts w:ascii="Times New Roman" w:hAnsi="Times New Roman"/>
          <w:spacing w:val="-3"/>
          <w:sz w:val="28"/>
          <w:szCs w:val="28"/>
          <w:lang w:val="ru-RU"/>
        </w:rPr>
      </w:r>
      <w:r>
        <w:rPr>
          <w:rFonts w:ascii="Times New Roman" w:hAnsi="Times New Roman"/>
          <w:spacing w:val="-3"/>
          <w:sz w:val="28"/>
          <w:szCs w:val="28"/>
          <w:lang w:val="ru-RU"/>
        </w:rPr>
      </w:r>
    </w:p>
    <w:p>
      <w:pPr>
        <w:pStyle w:val="1227"/>
        <w:numPr>
          <w:ilvl w:val="0"/>
          <w:numId w:val="81"/>
        </w:numPr>
        <w:ind w:left="0" w:firstLine="709"/>
        <w:jc w:val="both"/>
        <w:spacing w:line="276" w:lineRule="auto"/>
        <w:tabs>
          <w:tab w:val="left" w:pos="142" w:leader="none"/>
          <w:tab w:val="left" w:pos="851" w:leader="none"/>
        </w:tabs>
        <w:rPr>
          <w:rFonts w:ascii="Times New Roman" w:hAnsi="Times New Roman"/>
          <w:spacing w:val="-3"/>
          <w:sz w:val="28"/>
          <w:szCs w:val="28"/>
          <w:lang w:val="ru-RU"/>
        </w:rPr>
      </w:pPr>
      <w:r>
        <w:rPr>
          <w:rFonts w:ascii="Times New Roman" w:hAnsi="Times New Roman"/>
          <w:sz w:val="28"/>
          <w:lang w:val="ru-RU"/>
        </w:rPr>
        <w:t xml:space="preserve">проектному решению общевузовского уровня «Программа укрепления семейных ценностей</w:t>
      </w:r>
      <w:r>
        <w:rPr>
          <w:rFonts w:ascii="Times New Roman" w:hAnsi="Times New Roman"/>
          <w:sz w:val="28"/>
        </w:rPr>
        <w:t xml:space="preserve"> </w:t>
      </w:r>
      <w:r>
        <w:rPr>
          <w:rFonts w:ascii="Times New Roman" w:hAnsi="Times New Roman"/>
          <w:sz w:val="28"/>
          <w:lang w:val="ru-RU"/>
        </w:rPr>
        <w:t xml:space="preserve">«Твоя семья»», представленному ФГБОУ </w:t>
      </w:r>
      <w:r>
        <w:rPr>
          <w:rFonts w:ascii="Times New Roman" w:hAnsi="Times New Roman"/>
          <w:sz w:val="28"/>
          <w:lang w:val="ru-RU"/>
        </w:rPr>
        <w:t xml:space="preserve">ВО</w:t>
      </w:r>
      <w:r>
        <w:rPr>
          <w:rFonts w:ascii="Times New Roman" w:hAnsi="Times New Roman"/>
          <w:sz w:val="28"/>
          <w:lang w:val="ru-RU"/>
        </w:rPr>
        <w:t xml:space="preserve"> «Ивановский государственный политехнический университет» для участия во Всероссийском конкурсе молодежных проектов среди образовательных организаций высшего образования;</w:t>
      </w:r>
      <w:r>
        <w:rPr>
          <w:rFonts w:ascii="Times New Roman" w:hAnsi="Times New Roman"/>
          <w:spacing w:val="-3"/>
          <w:sz w:val="28"/>
          <w:szCs w:val="28"/>
          <w:lang w:val="ru-RU"/>
        </w:rPr>
      </w:r>
      <w:r>
        <w:rPr>
          <w:rFonts w:ascii="Times New Roman" w:hAnsi="Times New Roman"/>
          <w:spacing w:val="-3"/>
          <w:sz w:val="28"/>
          <w:szCs w:val="28"/>
          <w:lang w:val="ru-RU"/>
        </w:rPr>
      </w:r>
    </w:p>
    <w:p>
      <w:pPr>
        <w:pStyle w:val="1227"/>
        <w:numPr>
          <w:ilvl w:val="0"/>
          <w:numId w:val="81"/>
        </w:numPr>
        <w:ind w:left="0" w:firstLine="709"/>
        <w:jc w:val="both"/>
        <w:spacing w:line="276" w:lineRule="auto"/>
        <w:tabs>
          <w:tab w:val="left" w:pos="142" w:leader="none"/>
          <w:tab w:val="left" w:pos="851" w:leader="none"/>
        </w:tabs>
        <w:rPr>
          <w:rFonts w:ascii="Times New Roman" w:hAnsi="Times New Roman"/>
          <w:sz w:val="28"/>
          <w:szCs w:val="28"/>
          <w:lang w:val="ru-RU"/>
        </w:rPr>
      </w:pPr>
      <w:r>
        <w:rPr>
          <w:rFonts w:ascii="Times New Roman" w:hAnsi="Times New Roman"/>
          <w:color w:val="000000"/>
          <w:sz w:val="28"/>
          <w:szCs w:val="28"/>
          <w:shd w:val="clear" w:color="auto" w:fill="ffffff"/>
          <w:lang w:val="ru-RU"/>
        </w:rPr>
        <w:t xml:space="preserve">проекту «Узелки» Ивановской региональной общественной организации инвалидов</w:t>
      </w:r>
      <w:r>
        <w:rPr>
          <w:rFonts w:ascii="Times New Roman" w:hAnsi="Times New Roman"/>
          <w:color w:val="000000"/>
          <w:sz w:val="28"/>
          <w:szCs w:val="28"/>
          <w:shd w:val="clear" w:color="auto" w:fill="ffffff"/>
          <w:lang w:val="ru-RU"/>
        </w:rPr>
        <w:t xml:space="preserve">, их родителей и опекунов «Белый Гранат», который представлял собой организацию дневного сопровождения молодых людей с инвалидностью, нацеленное на личностное развитие и включение в социум посредством расширения деятельности творческо-трудовой мастерской «</w:t>
      </w:r>
      <w:r>
        <w:rPr>
          <w:rFonts w:ascii="Times New Roman" w:hAnsi="Times New Roman"/>
          <w:color w:val="000000"/>
          <w:sz w:val="28"/>
          <w:szCs w:val="28"/>
          <w:shd w:val="clear" w:color="auto" w:fill="ffffff"/>
          <w:lang w:val="ru-RU"/>
        </w:rPr>
        <w:t xml:space="preserve">Рукодельня</w:t>
      </w:r>
      <w:r>
        <w:rPr>
          <w:rFonts w:ascii="Times New Roman" w:hAnsi="Times New Roman"/>
          <w:color w:val="000000"/>
          <w:sz w:val="28"/>
          <w:szCs w:val="28"/>
          <w:shd w:val="clear" w:color="auto" w:fill="ffffff"/>
          <w:lang w:val="ru-RU"/>
        </w:rPr>
        <w:t xml:space="preserve">», путем создания  </w:t>
      </w:r>
      <w:r>
        <w:rPr>
          <w:rFonts w:ascii="Times New Roman" w:hAnsi="Times New Roman"/>
          <w:sz w:val="28"/>
          <w:szCs w:val="28"/>
          <w:lang w:val="ru-RU"/>
        </w:rPr>
        <w:t xml:space="preserve">новой авторской линейки изделий (одежда, аксессуары) - коллекции «Узелки»;</w:t>
      </w:r>
      <w:r>
        <w:rPr>
          <w:rFonts w:ascii="Times New Roman" w:hAnsi="Times New Roman"/>
          <w:sz w:val="28"/>
          <w:szCs w:val="28"/>
          <w:lang w:val="ru-RU"/>
        </w:rPr>
      </w:r>
      <w:r>
        <w:rPr>
          <w:rFonts w:ascii="Times New Roman" w:hAnsi="Times New Roman"/>
          <w:sz w:val="28"/>
          <w:szCs w:val="28"/>
          <w:lang w:val="ru-RU"/>
        </w:rPr>
      </w:r>
    </w:p>
    <w:p>
      <w:pPr>
        <w:pStyle w:val="1227"/>
        <w:numPr>
          <w:ilvl w:val="0"/>
          <w:numId w:val="81"/>
        </w:numPr>
        <w:ind w:left="0" w:firstLine="709"/>
        <w:jc w:val="both"/>
        <w:spacing w:line="276" w:lineRule="auto"/>
        <w:tabs>
          <w:tab w:val="left" w:pos="142" w:leader="none"/>
          <w:tab w:val="left" w:pos="851" w:leader="none"/>
        </w:tabs>
        <w:rPr>
          <w:rFonts w:ascii="Times New Roman" w:hAnsi="Times New Roman"/>
          <w:sz w:val="28"/>
          <w:szCs w:val="28"/>
          <w:lang w:val="ru-RU"/>
        </w:rPr>
      </w:pPr>
      <w:r>
        <w:rPr>
          <w:rFonts w:ascii="Times New Roman" w:hAnsi="Times New Roman"/>
          <w:color w:val="000000" w:themeColor="text1"/>
          <w:sz w:val="28"/>
          <w:szCs w:val="28"/>
          <w:lang w:val="ru-RU"/>
        </w:rPr>
        <w:t xml:space="preserve">проекту: мастерская по изготовлению маскировочных сетей для людей с психическими расстройствами и расстройствами поведения от 18 лет и старше проживающих на территории г. Иванова «Вместе для </w:t>
      </w:r>
      <w:r>
        <w:rPr>
          <w:rFonts w:ascii="Times New Roman" w:hAnsi="Times New Roman"/>
          <w:color w:val="000000" w:themeColor="text1"/>
          <w:sz w:val="28"/>
          <w:szCs w:val="28"/>
          <w:lang w:val="ru-RU"/>
        </w:rPr>
        <w:t xml:space="preserve">СВОих</w:t>
      </w:r>
      <w:r>
        <w:rPr>
          <w:rFonts w:ascii="Times New Roman" w:hAnsi="Times New Roman"/>
          <w:color w:val="000000" w:themeColor="text1"/>
          <w:sz w:val="28"/>
          <w:szCs w:val="28"/>
          <w:lang w:val="ru-RU"/>
        </w:rPr>
        <w:t xml:space="preserve">», разработанному </w:t>
      </w:r>
      <w:r>
        <w:rPr>
          <w:rFonts w:ascii="Times New Roman" w:hAnsi="Times New Roman"/>
          <w:sz w:val="28"/>
          <w:szCs w:val="28"/>
          <w:lang w:val="ru-RU"/>
        </w:rPr>
        <w:t xml:space="preserve">Благотворительным фондом «Дом надежды» и  направленному на развитие добровольчества (</w:t>
      </w:r>
      <w:r>
        <w:rPr>
          <w:rFonts w:ascii="Times New Roman" w:hAnsi="Times New Roman"/>
          <w:sz w:val="28"/>
          <w:szCs w:val="28"/>
          <w:lang w:val="ru-RU"/>
        </w:rPr>
        <w:t xml:space="preserve">волонтерства</w:t>
      </w:r>
      <w:r>
        <w:rPr>
          <w:rFonts w:ascii="Times New Roman" w:hAnsi="Times New Roman"/>
          <w:sz w:val="28"/>
          <w:szCs w:val="28"/>
          <w:lang w:val="ru-RU"/>
        </w:rPr>
        <w:t xml:space="preserve">) путем создания мастерской по изготовлению маскировочных сетей для людей с </w:t>
      </w:r>
      <w:r>
        <w:rPr>
          <w:rFonts w:ascii="Times New Roman" w:hAnsi="Times New Roman"/>
          <w:sz w:val="28"/>
          <w:szCs w:val="28"/>
          <w:lang w:val="ru-RU"/>
        </w:rPr>
        <w:t xml:space="preserve">психическими расстройствами и расстройствами поведения от 18 лет и старше проживающих на</w:t>
      </w:r>
      <w:r>
        <w:rPr>
          <w:rFonts w:ascii="Times New Roman" w:hAnsi="Times New Roman"/>
          <w:sz w:val="28"/>
          <w:szCs w:val="28"/>
          <w:lang w:val="ru-RU"/>
        </w:rPr>
        <w:t xml:space="preserve"> территории </w:t>
      </w:r>
      <w:r>
        <w:rPr>
          <w:rFonts w:ascii="Times New Roman" w:hAnsi="Times New Roman"/>
          <w:sz w:val="28"/>
          <w:szCs w:val="28"/>
          <w:lang w:val="ru-RU"/>
        </w:rPr>
        <w:t xml:space="preserve">г</w:t>
      </w:r>
      <w:r>
        <w:rPr>
          <w:rFonts w:ascii="Times New Roman" w:hAnsi="Times New Roman"/>
          <w:sz w:val="28"/>
          <w:szCs w:val="28"/>
          <w:lang w:val="ru-RU"/>
        </w:rPr>
        <w:t xml:space="preserve">. Иванова;</w:t>
      </w:r>
      <w:r>
        <w:rPr>
          <w:rFonts w:ascii="Times New Roman" w:hAnsi="Times New Roman"/>
          <w:sz w:val="28"/>
          <w:szCs w:val="28"/>
          <w:lang w:val="ru-RU"/>
        </w:rPr>
      </w:r>
      <w:r>
        <w:rPr>
          <w:rFonts w:ascii="Times New Roman" w:hAnsi="Times New Roman"/>
          <w:sz w:val="28"/>
          <w:szCs w:val="28"/>
          <w:lang w:val="ru-RU"/>
        </w:rPr>
      </w:r>
    </w:p>
    <w:p>
      <w:pPr>
        <w:pStyle w:val="1227"/>
        <w:numPr>
          <w:ilvl w:val="0"/>
          <w:numId w:val="81"/>
        </w:numPr>
        <w:ind w:left="0" w:firstLine="709"/>
        <w:jc w:val="both"/>
        <w:spacing w:line="276" w:lineRule="auto"/>
        <w:tabs>
          <w:tab w:val="left" w:pos="142" w:leader="none"/>
          <w:tab w:val="left" w:pos="851" w:leader="none"/>
        </w:tabs>
        <w:rPr>
          <w:rFonts w:ascii="Times New Roman" w:hAnsi="Times New Roman"/>
          <w:sz w:val="28"/>
          <w:szCs w:val="28"/>
          <w:lang w:val="ru-RU"/>
        </w:rPr>
      </w:pPr>
      <w:r>
        <w:rPr>
          <w:rFonts w:ascii="Times New Roman" w:hAnsi="Times New Roman"/>
          <w:sz w:val="28"/>
          <w:szCs w:val="28"/>
          <w:lang w:val="ru-RU"/>
        </w:rPr>
        <w:t xml:space="preserve">  </w:t>
      </w:r>
      <w:r>
        <w:rPr>
          <w:rFonts w:ascii="Times New Roman" w:hAnsi="Times New Roman"/>
          <w:color w:val="000000" w:themeColor="text1"/>
          <w:sz w:val="28"/>
          <w:szCs w:val="28"/>
          <w:lang w:val="ru-RU"/>
        </w:rPr>
        <w:t xml:space="preserve">проекту Благотворительного фонда «Своих не бросаем»: творческое сообщество ветеранов СВО и членов их семей «От первого лица», </w:t>
      </w:r>
      <w:r>
        <w:rPr>
          <w:rFonts w:ascii="Times New Roman" w:hAnsi="Times New Roman"/>
          <w:sz w:val="28"/>
          <w:szCs w:val="28"/>
          <w:lang w:val="ru-RU"/>
        </w:rPr>
        <w:t xml:space="preserve">способствующему объединению творческих ветеранов СВО и членов их семей, проживающих на территории </w:t>
      </w:r>
      <w:r>
        <w:rPr>
          <w:rFonts w:ascii="Times New Roman" w:hAnsi="Times New Roman"/>
          <w:sz w:val="28"/>
          <w:szCs w:val="28"/>
          <w:lang w:val="ru-RU"/>
        </w:rPr>
        <w:t xml:space="preserve">г</w:t>
      </w:r>
      <w:r>
        <w:rPr>
          <w:rFonts w:ascii="Times New Roman" w:hAnsi="Times New Roman"/>
          <w:sz w:val="28"/>
          <w:szCs w:val="28"/>
          <w:lang w:val="ru-RU"/>
        </w:rPr>
        <w:t xml:space="preserve">. Иваново и Ивановской области, для совместной общественной деятельности и воспитания подрастающего поколения;</w:t>
      </w:r>
      <w:r>
        <w:rPr>
          <w:rFonts w:ascii="Times New Roman" w:hAnsi="Times New Roman"/>
          <w:sz w:val="28"/>
          <w:szCs w:val="28"/>
          <w:lang w:val="ru-RU"/>
        </w:rPr>
      </w:r>
      <w:r>
        <w:rPr>
          <w:rFonts w:ascii="Times New Roman" w:hAnsi="Times New Roman"/>
          <w:sz w:val="28"/>
          <w:szCs w:val="28"/>
          <w:lang w:val="ru-RU"/>
        </w:rPr>
      </w:r>
    </w:p>
    <w:p>
      <w:pPr>
        <w:pStyle w:val="1253"/>
        <w:numPr>
          <w:ilvl w:val="0"/>
          <w:numId w:val="81"/>
        </w:numPr>
        <w:ind w:left="0" w:firstLine="709"/>
        <w:jc w:val="both"/>
        <w:spacing w:line="276" w:lineRule="auto"/>
        <w:rPr>
          <w:sz w:val="28"/>
          <w:szCs w:val="28"/>
        </w:rPr>
      </w:pPr>
      <w:r>
        <w:rPr>
          <w:color w:val="000000" w:themeColor="text1"/>
          <w:sz w:val="28"/>
          <w:szCs w:val="28"/>
        </w:rPr>
        <w:t xml:space="preserve">проекту: </w:t>
      </w:r>
      <w:r>
        <w:rPr>
          <w:color w:val="000000" w:themeColor="text1"/>
          <w:sz w:val="28"/>
          <w:szCs w:val="28"/>
        </w:rPr>
        <w:t xml:space="preserve">«</w:t>
      </w:r>
      <w:r>
        <w:rPr>
          <w:color w:val="000000" w:themeColor="text1"/>
          <w:sz w:val="28"/>
          <w:szCs w:val="28"/>
        </w:rPr>
        <w:t xml:space="preserve">Следж-хоккей</w:t>
      </w:r>
      <w:r>
        <w:rPr>
          <w:color w:val="000000" w:themeColor="text1"/>
          <w:sz w:val="28"/>
          <w:szCs w:val="28"/>
        </w:rPr>
        <w:t xml:space="preserve"> для наших», разработанному </w:t>
      </w:r>
      <w:r>
        <w:rPr>
          <w:sz w:val="28"/>
          <w:szCs w:val="28"/>
        </w:rPr>
        <w:t xml:space="preserve">Ивановской областной общественной организации </w:t>
      </w:r>
      <w:r>
        <w:rPr>
          <w:color w:val="000000" w:themeColor="text1"/>
          <w:sz w:val="28"/>
          <w:szCs w:val="28"/>
        </w:rPr>
        <w:t xml:space="preserve">«Ассоциация ветеранов специальной военной операции Ивановской области», который </w:t>
      </w:r>
      <w:r>
        <w:rPr>
          <w:sz w:val="28"/>
          <w:szCs w:val="28"/>
        </w:rPr>
        <w:t xml:space="preserve">направлен на поддержку ветеранов СВО, которые получили серьезные травмы и нуждаются в комплексной реабилитации;</w:t>
      </w:r>
      <w:r>
        <w:rPr>
          <w:sz w:val="28"/>
          <w:szCs w:val="28"/>
        </w:rPr>
      </w:r>
      <w:r>
        <w:rPr>
          <w:sz w:val="28"/>
          <w:szCs w:val="28"/>
        </w:rPr>
      </w:r>
    </w:p>
    <w:p>
      <w:pPr>
        <w:pStyle w:val="1227"/>
        <w:numPr>
          <w:ilvl w:val="0"/>
          <w:numId w:val="81"/>
        </w:numPr>
        <w:ind w:left="0" w:firstLine="709"/>
        <w:jc w:val="both"/>
        <w:spacing w:line="276" w:lineRule="auto"/>
        <w:tabs>
          <w:tab w:val="left" w:pos="142" w:leader="none"/>
          <w:tab w:val="left" w:pos="851" w:leader="none"/>
        </w:tabs>
        <w:rPr>
          <w:rFonts w:ascii="Times New Roman" w:hAnsi="Times New Roman"/>
          <w:sz w:val="28"/>
          <w:szCs w:val="28"/>
          <w:lang w:val="ru-RU"/>
        </w:rPr>
      </w:pPr>
      <w:r>
        <w:rPr>
          <w:rFonts w:ascii="Times New Roman" w:hAnsi="Times New Roman"/>
          <w:sz w:val="28"/>
          <w:szCs w:val="28"/>
          <w:lang w:val="ru-RU"/>
        </w:rPr>
        <w:t xml:space="preserve">проекту «Молодые инвалиды - малой родине»  Ивановской областной общественной организации молодых инвалидов и их родителей «Грани», целью которого являлось снижение остроты отдельных проблем и развитию такой востребованной </w:t>
      </w:r>
      <w:r>
        <w:rPr>
          <w:rFonts w:ascii="Times New Roman" w:hAnsi="Times New Roman"/>
          <w:sz w:val="28"/>
          <w:szCs w:val="28"/>
          <w:lang w:val="ru-RU"/>
        </w:rPr>
        <w:t xml:space="preserve">стационарозамещающей</w:t>
      </w:r>
      <w:r>
        <w:rPr>
          <w:rFonts w:ascii="Times New Roman" w:hAnsi="Times New Roman"/>
          <w:sz w:val="28"/>
          <w:szCs w:val="28"/>
          <w:lang w:val="ru-RU"/>
        </w:rPr>
        <w:t xml:space="preserve"> формы жизнеустройства инвалидов, как сопровождаемое проживание;</w:t>
      </w:r>
      <w:r>
        <w:rPr>
          <w:rFonts w:ascii="Times New Roman" w:hAnsi="Times New Roman"/>
          <w:sz w:val="28"/>
          <w:szCs w:val="28"/>
          <w:lang w:val="ru-RU"/>
        </w:rPr>
      </w:r>
      <w:r>
        <w:rPr>
          <w:rFonts w:ascii="Times New Roman" w:hAnsi="Times New Roman"/>
          <w:sz w:val="28"/>
          <w:szCs w:val="28"/>
          <w:lang w:val="ru-RU"/>
        </w:rPr>
      </w:r>
    </w:p>
    <w:p>
      <w:pPr>
        <w:pStyle w:val="1227"/>
        <w:numPr>
          <w:ilvl w:val="0"/>
          <w:numId w:val="81"/>
        </w:numPr>
        <w:ind w:left="0" w:firstLine="709"/>
        <w:jc w:val="both"/>
        <w:spacing w:line="276" w:lineRule="auto"/>
        <w:tabs>
          <w:tab w:val="left" w:pos="142" w:leader="none"/>
          <w:tab w:val="left" w:pos="851" w:leader="none"/>
        </w:tabs>
        <w:rPr>
          <w:rFonts w:ascii="Times New Roman" w:hAnsi="Times New Roman"/>
          <w:sz w:val="28"/>
          <w:szCs w:val="28"/>
          <w:lang w:val="ru-RU"/>
        </w:rPr>
      </w:pPr>
      <w:r>
        <w:rPr>
          <w:rFonts w:ascii="Times New Roman" w:hAnsi="Times New Roman"/>
          <w:sz w:val="28"/>
          <w:szCs w:val="28"/>
          <w:lang w:val="ru-RU"/>
        </w:rPr>
        <w:t xml:space="preserve">проекту Ивановской областной общественной организации содействия развитию молодежи и семьи «</w:t>
      </w:r>
      <w:r>
        <w:rPr>
          <w:rFonts w:ascii="Times New Roman" w:hAnsi="Times New Roman"/>
          <w:sz w:val="28"/>
          <w:szCs w:val="28"/>
          <w:lang w:val="ru-RU"/>
        </w:rPr>
        <w:t xml:space="preserve">ИМКА-Иваново</w:t>
      </w:r>
      <w:r>
        <w:rPr>
          <w:rFonts w:ascii="Times New Roman" w:hAnsi="Times New Roman"/>
          <w:sz w:val="28"/>
          <w:szCs w:val="28"/>
          <w:lang w:val="ru-RU"/>
        </w:rPr>
        <w:t xml:space="preserve">» «Семья: быть рядом, быть вместе!», участвующему в</w:t>
      </w:r>
      <w:r>
        <w:rPr>
          <w:rFonts w:ascii="Times New Roman" w:hAnsi="Times New Roman"/>
          <w:bCs/>
          <w:sz w:val="28"/>
          <w:szCs w:val="28"/>
          <w:lang w:val="ru-RU"/>
        </w:rPr>
        <w:t xml:space="preserve"> </w:t>
      </w:r>
      <w:r>
        <w:rPr>
          <w:rFonts w:ascii="Times New Roman" w:hAnsi="Times New Roman"/>
          <w:sz w:val="28"/>
          <w:szCs w:val="28"/>
          <w:lang w:val="ru-RU"/>
        </w:rPr>
        <w:t xml:space="preserve">первом конкурсе на предоставление грантов Президента Российской Федерации на развитие гражданского общества в 2026 году.</w:t>
      </w:r>
      <w:r>
        <w:rPr>
          <w:rFonts w:ascii="Times New Roman" w:hAnsi="Times New Roman"/>
          <w:sz w:val="28"/>
          <w:szCs w:val="28"/>
          <w:lang w:val="ru-RU"/>
        </w:rPr>
      </w:r>
      <w:r>
        <w:rPr>
          <w:rFonts w:ascii="Times New Roman" w:hAnsi="Times New Roman"/>
          <w:sz w:val="28"/>
          <w:szCs w:val="28"/>
          <w:lang w:val="ru-RU"/>
        </w:rPr>
      </w:r>
    </w:p>
    <w:p>
      <w:pPr>
        <w:pStyle w:val="1227"/>
        <w:ind w:left="0"/>
        <w:jc w:val="both"/>
        <w:spacing w:line="276" w:lineRule="auto"/>
        <w:tabs>
          <w:tab w:val="left" w:pos="142" w:leader="none"/>
          <w:tab w:val="left" w:pos="709" w:leader="none"/>
          <w:tab w:val="left" w:pos="851" w:leader="none"/>
        </w:tabs>
        <w:rPr>
          <w:rFonts w:ascii="Times New Roman" w:hAnsi="Times New Roman"/>
          <w:sz w:val="28"/>
          <w:szCs w:val="28"/>
          <w:lang w:val="ru-RU"/>
        </w:rPr>
      </w:pPr>
      <w:r>
        <w:rPr>
          <w:rFonts w:ascii="Times New Roman" w:hAnsi="Times New Roman"/>
          <w:color w:val="ff0000"/>
          <w:sz w:val="28"/>
          <w:szCs w:val="28"/>
          <w:lang w:val="ru-RU"/>
        </w:rPr>
        <w:tab/>
      </w:r>
      <w:r>
        <w:rPr>
          <w:rFonts w:ascii="Times New Roman" w:hAnsi="Times New Roman"/>
          <w:color w:val="ff0000"/>
          <w:sz w:val="28"/>
          <w:szCs w:val="28"/>
          <w:lang w:val="ru-RU"/>
        </w:rPr>
        <w:tab/>
      </w:r>
      <w:r>
        <w:rPr>
          <w:rFonts w:ascii="Times New Roman" w:hAnsi="Times New Roman"/>
          <w:sz w:val="28"/>
          <w:szCs w:val="28"/>
          <w:lang w:val="ru-RU"/>
        </w:rPr>
        <w:t xml:space="preserve">По информации областного Департамента внутренней политики в 2025 году в конкурсе грантов Ивановской области поддержку получили 54 некоммерческие организации (общая сумма поддержки - 40,0 млн</w:t>
      </w:r>
      <w:r>
        <w:rPr>
          <w:rFonts w:ascii="Times New Roman" w:hAnsi="Times New Roman"/>
          <w:sz w:val="28"/>
          <w:szCs w:val="28"/>
          <w:lang w:val="ru-RU"/>
        </w:rPr>
        <w:t xml:space="preserve">.р</w:t>
      </w:r>
      <w:r>
        <w:rPr>
          <w:rFonts w:ascii="Times New Roman" w:hAnsi="Times New Roman"/>
          <w:sz w:val="28"/>
          <w:szCs w:val="28"/>
          <w:lang w:val="ru-RU"/>
        </w:rPr>
        <w:t xml:space="preserve">уб.). </w:t>
      </w:r>
      <w:r>
        <w:rPr>
          <w:rFonts w:ascii="Times New Roman" w:hAnsi="Times New Roman"/>
          <w:sz w:val="28"/>
          <w:szCs w:val="28"/>
          <w:lang w:val="ru-RU"/>
        </w:rPr>
      </w:r>
      <w:r>
        <w:rPr>
          <w:rFonts w:ascii="Times New Roman" w:hAnsi="Times New Roman"/>
          <w:sz w:val="28"/>
          <w:szCs w:val="28"/>
          <w:lang w:val="ru-RU"/>
        </w:rPr>
      </w:r>
    </w:p>
    <w:p>
      <w:pPr>
        <w:pStyle w:val="1227"/>
        <w:ind w:left="0"/>
        <w:jc w:val="both"/>
        <w:spacing w:line="276" w:lineRule="auto"/>
        <w:tabs>
          <w:tab w:val="left" w:pos="142" w:leader="none"/>
          <w:tab w:val="left" w:pos="709" w:leader="none"/>
          <w:tab w:val="left" w:pos="851" w:leader="none"/>
        </w:tabs>
        <w:rPr>
          <w:rFonts w:ascii="Times New Roman" w:hAnsi="Times New Roman"/>
          <w:sz w:val="28"/>
          <w:szCs w:val="28"/>
          <w:lang w:val="ru-RU"/>
        </w:rPr>
      </w:pPr>
      <w:r>
        <w:rPr>
          <w:rFonts w:ascii="Times New Roman" w:hAnsi="Times New Roman"/>
          <w:sz w:val="28"/>
          <w:szCs w:val="28"/>
          <w:lang w:val="ru-RU"/>
        </w:rPr>
        <w:tab/>
      </w:r>
      <w:r>
        <w:rPr>
          <w:rFonts w:ascii="Times New Roman" w:hAnsi="Times New Roman"/>
          <w:sz w:val="28"/>
          <w:szCs w:val="28"/>
          <w:lang w:val="ru-RU"/>
        </w:rPr>
        <w:tab/>
        <w:t xml:space="preserve">В рамках данного конкурса гранты получили НКО, деятельность которых направлена на оказание поддержки участникам специальной военной операции и членов их семей. Также в число победителей конкурса вошли также НКО, чья </w:t>
      </w:r>
      <w:r>
        <w:rPr>
          <w:rFonts w:ascii="Times New Roman" w:hAnsi="Times New Roman"/>
          <w:sz w:val="28"/>
          <w:szCs w:val="28"/>
          <w:lang w:val="ru-RU"/>
        </w:rPr>
        <w:t xml:space="preserve">деятельность направлена на развитие навыков управления БПЛА, на развитие молодежного движения и молодежных организаций на территории Ивановской области, на организацию спортивных и культурных мероприятий, а также на поддержку многодетных семей и инвалидов.</w:t>
      </w:r>
      <w:r>
        <w:rPr>
          <w:rFonts w:ascii="Times New Roman" w:hAnsi="Times New Roman"/>
          <w:sz w:val="28"/>
          <w:szCs w:val="28"/>
          <w:lang w:val="ru-RU"/>
        </w:rPr>
      </w:r>
      <w:r>
        <w:rPr>
          <w:rFonts w:ascii="Times New Roman" w:hAnsi="Times New Roman"/>
          <w:sz w:val="28"/>
          <w:szCs w:val="28"/>
          <w:lang w:val="ru-RU"/>
        </w:rPr>
      </w:r>
    </w:p>
    <w:p>
      <w:pPr>
        <w:pStyle w:val="1236"/>
        <w:ind w:firstLine="709"/>
        <w:jc w:val="both"/>
        <w:spacing w:before="0" w:beforeAutospacing="0" w:after="0" w:afterAutospacing="0" w:line="276" w:lineRule="auto"/>
        <w:shd w:val="clear" w:color="auto" w:fill="ffffff"/>
        <w:rPr>
          <w:color w:val="000000"/>
          <w:sz w:val="28"/>
          <w:szCs w:val="28"/>
        </w:rPr>
      </w:pPr>
      <w:r>
        <w:rPr>
          <w:color w:val="000000"/>
          <w:sz w:val="28"/>
          <w:szCs w:val="28"/>
        </w:rPr>
        <w:t xml:space="preserve">«С душой подходить к каждому человеку, к каждой семье», - данное высказывание Президента России Владимира Путина «красной нитью» прошло в ходе проведения юбилейной Всероссийской экспертной </w:t>
      </w:r>
      <w:r>
        <w:rPr>
          <w:color w:val="000000"/>
          <w:sz w:val="28"/>
          <w:szCs w:val="28"/>
        </w:rPr>
        <w:t xml:space="preserve">конференции, посвящённой 10-летию деятельности Ассоциации организаций по защите семьи в январе отчетного года.</w:t>
      </w:r>
      <w:r>
        <w:rPr>
          <w:color w:val="000000"/>
          <w:sz w:val="28"/>
          <w:szCs w:val="28"/>
        </w:rPr>
      </w:r>
      <w:r>
        <w:rPr>
          <w:color w:val="000000"/>
          <w:sz w:val="28"/>
          <w:szCs w:val="28"/>
        </w:rPr>
      </w:r>
    </w:p>
    <w:p>
      <w:pPr>
        <w:pStyle w:val="1236"/>
        <w:ind w:firstLine="709"/>
        <w:jc w:val="both"/>
        <w:spacing w:before="0" w:beforeAutospacing="0" w:after="0" w:afterAutospacing="0" w:line="276" w:lineRule="auto"/>
        <w:shd w:val="clear" w:color="auto" w:fill="ffffff"/>
        <w:rPr>
          <w:color w:val="000000"/>
          <w:sz w:val="28"/>
          <w:szCs w:val="28"/>
        </w:rPr>
      </w:pPr>
      <w:r>
        <w:rPr>
          <w:color w:val="000000"/>
          <w:sz w:val="28"/>
          <w:szCs w:val="28"/>
        </w:rPr>
        <w:t xml:space="preserve"> По приглашению руководства Ассоциации У</w:t>
      </w:r>
      <w:r>
        <w:rPr>
          <w:color w:val="000000"/>
          <w:sz w:val="28"/>
          <w:szCs w:val="28"/>
        </w:rPr>
        <w:t xml:space="preserve">полномоченный приняла участие в столь значимом мероприятии. В неформальном общении участники обсудили актуальные вопросы в области семейной политики, обменялись опытом между представителями государственных структур, общественности и экспертного сообщества.</w:t>
      </w:r>
      <w:r>
        <w:rPr>
          <w:color w:val="000000"/>
          <w:sz w:val="28"/>
          <w:szCs w:val="28"/>
        </w:rPr>
      </w:r>
      <w:r>
        <w:rPr>
          <w:color w:val="000000"/>
          <w:sz w:val="28"/>
          <w:szCs w:val="28"/>
        </w:rPr>
      </w:r>
    </w:p>
    <w:p>
      <w:pPr>
        <w:pStyle w:val="1236"/>
        <w:ind w:firstLine="709"/>
        <w:jc w:val="both"/>
        <w:spacing w:before="0" w:beforeAutospacing="0" w:after="0" w:afterAutospacing="0" w:line="276" w:lineRule="auto"/>
        <w:shd w:val="clear" w:color="auto" w:fill="ffffff"/>
        <w:rPr>
          <w:color w:val="000000"/>
          <w:sz w:val="28"/>
          <w:szCs w:val="28"/>
        </w:rPr>
      </w:pPr>
      <w:r>
        <w:rPr>
          <w:color w:val="000000"/>
          <w:sz w:val="28"/>
          <w:szCs w:val="28"/>
        </w:rPr>
        <w:t xml:space="preserve">Так, в своем приветствии к участникам председатель Ассоциации Мария Филина отметила центральные направления деятельности организации, направленные на помощь защитникам Отечества и их семьям, продвижение положительного образа многодетной </w:t>
      </w:r>
      <w:r>
        <w:rPr>
          <w:color w:val="000000"/>
          <w:sz w:val="28"/>
          <w:szCs w:val="28"/>
        </w:rPr>
        <w:t xml:space="preserve">многопоколенной</w:t>
      </w:r>
      <w:r>
        <w:rPr>
          <w:color w:val="000000"/>
          <w:sz w:val="28"/>
          <w:szCs w:val="28"/>
        </w:rPr>
        <w:t xml:space="preserve"> семьи. Отдельное внимание было уделено подготовке общественных и законодательных инициатив по поддержке студенческой и молодой семьи.</w:t>
      </w:r>
      <w:r>
        <w:rPr>
          <w:color w:val="000000"/>
          <w:sz w:val="28"/>
          <w:szCs w:val="28"/>
        </w:rPr>
      </w:r>
      <w:r>
        <w:rPr>
          <w:color w:val="000000"/>
          <w:sz w:val="28"/>
          <w:szCs w:val="28"/>
        </w:rPr>
      </w:r>
    </w:p>
    <w:p>
      <w:pPr>
        <w:pStyle w:val="1236"/>
        <w:ind w:firstLine="709"/>
        <w:jc w:val="both"/>
        <w:spacing w:before="0" w:beforeAutospacing="0" w:after="0" w:afterAutospacing="0" w:line="276" w:lineRule="auto"/>
        <w:shd w:val="clear" w:color="auto" w:fill="ffffff"/>
        <w:rPr>
          <w:color w:val="000000"/>
          <w:sz w:val="28"/>
          <w:szCs w:val="28"/>
        </w:rPr>
      </w:pPr>
      <w:r>
        <w:rPr>
          <w:color w:val="000000"/>
          <w:sz w:val="28"/>
          <w:szCs w:val="28"/>
        </w:rPr>
        <w:t xml:space="preserve"> Регион</w:t>
      </w:r>
      <w:r>
        <w:rPr>
          <w:color w:val="000000"/>
          <w:sz w:val="28"/>
          <w:szCs w:val="28"/>
        </w:rPr>
        <w:t xml:space="preserve">альным омбудсменом особое внимание обращено на развитие сотрудничества, что важно для формирования эффективных решений в семейном воспитании, повышения демографии, оказания адресной помощи родителям особенных детей. Вместе с правозащитником в открытом диал</w:t>
      </w:r>
      <w:r>
        <w:rPr>
          <w:color w:val="000000"/>
          <w:sz w:val="28"/>
          <w:szCs w:val="28"/>
        </w:rPr>
        <w:t xml:space="preserve">оге участвовали лидеры Ивановской общественной организации «Колыбель». Руководитель «Колыбели» и соучредитель Ассоциации организаций по защите семьи Елена Язева была отмечена Благодарственным письмом вице-спикера Государственной Думы ФС РФ Анны Кузнецовой.</w:t>
      </w:r>
      <w:r>
        <w:rPr>
          <w:color w:val="000000"/>
          <w:sz w:val="28"/>
          <w:szCs w:val="28"/>
        </w:rPr>
      </w:r>
      <w:r>
        <w:rPr>
          <w:color w:val="000000"/>
          <w:sz w:val="28"/>
          <w:szCs w:val="28"/>
        </w:rPr>
      </w:r>
    </w:p>
    <w:p>
      <w:pPr>
        <w:pStyle w:val="1236"/>
        <w:ind w:firstLine="709"/>
        <w:jc w:val="both"/>
        <w:spacing w:before="0" w:beforeAutospacing="0" w:after="0" w:afterAutospacing="0" w:line="276" w:lineRule="auto"/>
        <w:shd w:val="clear" w:color="auto" w:fill="ffffff"/>
        <w:rPr>
          <w:color w:val="000000"/>
          <w:sz w:val="28"/>
          <w:szCs w:val="28"/>
        </w:rPr>
      </w:pPr>
      <w:r>
        <w:rPr>
          <w:color w:val="000000"/>
          <w:sz w:val="28"/>
          <w:szCs w:val="28"/>
        </w:rPr>
        <w:t xml:space="preserve">В марте 20</w:t>
      </w:r>
      <w:r>
        <w:rPr>
          <w:color w:val="000000"/>
          <w:sz w:val="28"/>
          <w:szCs w:val="28"/>
        </w:rPr>
        <w:t xml:space="preserve">25 года в Ивановской области состоялся региональный этап II Всероссийского муниципального форума «Малая Родина – сила России!», на который прибыли представители местного самоуправления из более 70 регионов России, региональных и федеральных органов власти.</w:t>
      </w:r>
      <w:r>
        <w:rPr>
          <w:color w:val="000000"/>
          <w:sz w:val="28"/>
          <w:szCs w:val="28"/>
        </w:rPr>
        <w:t xml:space="preserve"> Уполномоченный и ее общественные помощники из муниципалитетов также приняли участие в данном важном мероприятии. </w:t>
      </w:r>
      <w:r>
        <w:rPr>
          <w:color w:val="000000"/>
          <w:sz w:val="28"/>
          <w:szCs w:val="28"/>
        </w:rPr>
      </w:r>
      <w:r>
        <w:rPr>
          <w:color w:val="000000"/>
          <w:sz w:val="28"/>
          <w:szCs w:val="28"/>
        </w:rPr>
      </w:r>
    </w:p>
    <w:p>
      <w:pPr>
        <w:pStyle w:val="1236"/>
        <w:ind w:firstLine="709"/>
        <w:jc w:val="both"/>
        <w:spacing w:before="0" w:beforeAutospacing="0" w:after="0" w:afterAutospacing="0" w:line="276" w:lineRule="auto"/>
        <w:shd w:val="clear" w:color="auto" w:fill="ffffff"/>
        <w:rPr>
          <w:color w:val="000000"/>
          <w:sz w:val="28"/>
          <w:szCs w:val="28"/>
        </w:rPr>
      </w:pPr>
      <w:r>
        <w:rPr>
          <w:color w:val="000000"/>
          <w:sz w:val="28"/>
          <w:szCs w:val="28"/>
        </w:rPr>
        <w:t xml:space="preserve">Ученые, эксперты, технологи, руководители органов местного самоуправления, общественные деятели обсудили важную тему - «Воспитание новых поколений: от малых городов к большому будущему».</w:t>
      </w:r>
      <w:r>
        <w:rPr>
          <w:color w:val="000000"/>
          <w:sz w:val="28"/>
          <w:szCs w:val="28"/>
        </w:rPr>
      </w:r>
      <w:r>
        <w:rPr>
          <w:color w:val="000000"/>
          <w:sz w:val="28"/>
          <w:szCs w:val="28"/>
        </w:rPr>
      </w:r>
    </w:p>
    <w:p>
      <w:pPr>
        <w:pStyle w:val="1236"/>
        <w:ind w:firstLine="709"/>
        <w:jc w:val="both"/>
        <w:spacing w:before="0" w:beforeAutospacing="0" w:after="0" w:afterAutospacing="0" w:line="276" w:lineRule="auto"/>
        <w:shd w:val="clear" w:color="auto" w:fill="ffffff"/>
        <w:rPr>
          <w:color w:val="000000"/>
          <w:sz w:val="28"/>
          <w:szCs w:val="28"/>
        </w:rPr>
      </w:pPr>
      <w:r>
        <w:rPr>
          <w:color w:val="000000"/>
          <w:sz w:val="28"/>
          <w:szCs w:val="28"/>
        </w:rPr>
        <w:t xml:space="preserve">Ивановская область была выбрана не случайно – губернатор нашего региона Станислав Воскресенский уделяет большое внимание развитию малых городов.</w:t>
      </w:r>
      <w:r>
        <w:rPr>
          <w:color w:val="000000"/>
          <w:sz w:val="28"/>
          <w:szCs w:val="28"/>
        </w:rPr>
      </w:r>
      <w:r>
        <w:rPr>
          <w:color w:val="000000"/>
          <w:sz w:val="28"/>
          <w:szCs w:val="28"/>
        </w:rPr>
      </w:r>
    </w:p>
    <w:p>
      <w:pPr>
        <w:pStyle w:val="1236"/>
        <w:ind w:firstLine="709"/>
        <w:jc w:val="both"/>
        <w:spacing w:before="0" w:beforeAutospacing="0" w:after="0" w:afterAutospacing="0" w:line="276" w:lineRule="auto"/>
        <w:shd w:val="clear" w:color="auto" w:fill="ffffff"/>
        <w:rPr>
          <w:color w:val="000000"/>
          <w:sz w:val="28"/>
          <w:szCs w:val="28"/>
        </w:rPr>
      </w:pPr>
      <w:r>
        <w:rPr>
          <w:color w:val="000000"/>
          <w:sz w:val="28"/>
          <w:szCs w:val="28"/>
        </w:rPr>
        <w:t xml:space="preserve">Красной линией были обозначены приоритетные направления развития малых городо</w:t>
      </w:r>
      <w:r>
        <w:rPr>
          <w:color w:val="000000"/>
          <w:sz w:val="28"/>
          <w:szCs w:val="28"/>
        </w:rPr>
        <w:t xml:space="preserve">в, определены современные подходы к воспитанию молодого поколения. Состоялась уникальная площадка представителей разных поколений, объединенных желанием сохранить связующую нить между славными страницами истории, помочь молодым в жизненном самоопределении.</w:t>
      </w:r>
      <w:r>
        <w:rPr>
          <w:color w:val="000000"/>
          <w:sz w:val="28"/>
          <w:szCs w:val="28"/>
        </w:rPr>
      </w:r>
      <w:r>
        <w:rPr>
          <w:color w:val="000000"/>
          <w:sz w:val="28"/>
          <w:szCs w:val="28"/>
        </w:rPr>
      </w:r>
    </w:p>
    <w:p>
      <w:pPr>
        <w:pStyle w:val="1236"/>
        <w:ind w:firstLine="709"/>
        <w:jc w:val="both"/>
        <w:spacing w:before="0" w:beforeAutospacing="0" w:after="0" w:afterAutospacing="0" w:line="276" w:lineRule="auto"/>
        <w:shd w:val="clear" w:color="auto" w:fill="ffffff"/>
        <w:rPr>
          <w:color w:val="000000"/>
          <w:sz w:val="28"/>
          <w:szCs w:val="28"/>
        </w:rPr>
      </w:pPr>
      <w:r>
        <w:rPr>
          <w:color w:val="000000"/>
          <w:sz w:val="28"/>
          <w:szCs w:val="28"/>
        </w:rPr>
        <w:t xml:space="preserve">Региональный омбудсмен приняла участие в работе круглого стола «Роль общественных формирований в становлении и развитии института пробации в Ивановской области». Актуальные вопросы реализации </w:t>
      </w:r>
      <w:r>
        <w:rPr>
          <w:color w:val="000000"/>
          <w:sz w:val="28"/>
          <w:szCs w:val="28"/>
        </w:rPr>
        <w:t xml:space="preserve">Федерального закона от 06.02.2023 «О пробации в Российской Федерации» обсуждались совместно с первым заместителем председателя Комиссии Общественной палаты Российской Федерации по безопасности и взаимодействию с ОНК А.В.Воронцовым, с ивановскими коллегами.</w:t>
      </w:r>
      <w:r>
        <w:rPr>
          <w:color w:val="000000"/>
          <w:sz w:val="28"/>
          <w:szCs w:val="28"/>
        </w:rPr>
      </w:r>
      <w:r>
        <w:rPr>
          <w:color w:val="000000"/>
          <w:sz w:val="28"/>
          <w:szCs w:val="28"/>
        </w:rPr>
      </w:r>
    </w:p>
    <w:p>
      <w:pPr>
        <w:pStyle w:val="1236"/>
        <w:ind w:firstLine="709"/>
        <w:jc w:val="both"/>
        <w:spacing w:before="0" w:beforeAutospacing="0" w:after="0" w:afterAutospacing="0" w:line="276" w:lineRule="auto"/>
        <w:shd w:val="clear" w:color="auto" w:fill="ffffff"/>
        <w:rPr>
          <w:color w:val="000000"/>
          <w:sz w:val="28"/>
          <w:szCs w:val="28"/>
        </w:rPr>
      </w:pPr>
      <w:r>
        <w:rPr>
          <w:color w:val="000000"/>
          <w:sz w:val="28"/>
          <w:szCs w:val="28"/>
        </w:rPr>
        <w:t xml:space="preserve">В ходе проведения круглого стол</w:t>
      </w:r>
      <w:r>
        <w:rPr>
          <w:color w:val="000000"/>
          <w:sz w:val="28"/>
          <w:szCs w:val="28"/>
        </w:rPr>
        <w:t xml:space="preserve">а были рассмотрены вопросы работы института пробации для осужденных на территории нашей страны, внедрения полезных региональных практик. Дополнительные резервы в достижении положительных результатов заложены также и в привлечении НКО и общественных фондов.</w:t>
      </w:r>
      <w:r>
        <w:rPr>
          <w:color w:val="000000"/>
          <w:sz w:val="28"/>
          <w:szCs w:val="28"/>
        </w:rPr>
      </w:r>
      <w:r>
        <w:rPr>
          <w:color w:val="000000"/>
          <w:sz w:val="28"/>
          <w:szCs w:val="28"/>
        </w:rPr>
      </w:r>
    </w:p>
    <w:p>
      <w:pPr>
        <w:pStyle w:val="1236"/>
        <w:ind w:firstLine="709"/>
        <w:jc w:val="both"/>
        <w:spacing w:before="0" w:beforeAutospacing="0" w:after="0" w:afterAutospacing="0" w:line="276" w:lineRule="auto"/>
        <w:shd w:val="clear" w:color="auto" w:fill="ffffff"/>
        <w:rPr>
          <w:color w:val="000000"/>
          <w:sz w:val="28"/>
          <w:szCs w:val="28"/>
        </w:rPr>
      </w:pPr>
      <w:r>
        <w:rPr>
          <w:color w:val="000000"/>
          <w:sz w:val="28"/>
          <w:szCs w:val="28"/>
        </w:rPr>
        <w:t xml:space="preserve">Особое внимание было уделено качеству оказания юридической поддержки, психологической помощи, решению проблем трудовой занятости и жилищным вопросам.</w:t>
      </w:r>
      <w:r>
        <w:rPr>
          <w:color w:val="000000"/>
          <w:sz w:val="28"/>
          <w:szCs w:val="28"/>
        </w:rPr>
      </w:r>
      <w:r>
        <w:rPr>
          <w:color w:val="000000"/>
          <w:sz w:val="28"/>
          <w:szCs w:val="28"/>
        </w:rPr>
      </w:r>
    </w:p>
    <w:p>
      <w:pPr>
        <w:pStyle w:val="1236"/>
        <w:ind w:firstLine="708"/>
        <w:jc w:val="both"/>
        <w:spacing w:before="0" w:beforeAutospacing="0" w:after="0" w:afterAutospacing="0" w:line="276" w:lineRule="auto"/>
        <w:shd w:val="clear" w:color="auto" w:fill="ffffff"/>
        <w:rPr>
          <w:color w:val="000000"/>
          <w:sz w:val="28"/>
          <w:szCs w:val="28"/>
        </w:rPr>
      </w:pPr>
      <w:r>
        <w:rPr>
          <w:color w:val="000000"/>
          <w:sz w:val="28"/>
          <w:szCs w:val="28"/>
        </w:rPr>
        <w:t xml:space="preserve">Правозащитник в ходе обсуждения вопроса отметила, что необходимо своевременно информировать осужденных о программах проба</w:t>
      </w:r>
      <w:r>
        <w:rPr>
          <w:color w:val="000000"/>
          <w:sz w:val="28"/>
          <w:szCs w:val="28"/>
        </w:rPr>
        <w:t xml:space="preserve">ции, требуется системный подход в организации воспитательной работы и социальной адаптации лиц, желающих изменить свою жизнь к лучшему. Также важно усилить работу с работодателями, в том числе и по расширению мер поддержки социально ответственного бизнеса.</w:t>
      </w:r>
      <w:r>
        <w:rPr>
          <w:color w:val="000000"/>
          <w:sz w:val="28"/>
          <w:szCs w:val="28"/>
        </w:rPr>
      </w:r>
      <w:r>
        <w:rPr>
          <w:color w:val="000000"/>
          <w:sz w:val="28"/>
          <w:szCs w:val="28"/>
        </w:rPr>
      </w:r>
    </w:p>
    <w:p>
      <w:pPr>
        <w:ind w:firstLine="709"/>
        <w:jc w:val="both"/>
        <w:spacing w:after="0" w:line="288" w:lineRule="auto"/>
        <w:shd w:val="clear" w:color="ffffff" w:fill="ffffff"/>
        <w:rPr>
          <w:rFonts w:ascii="Times New Roman" w:hAnsi="Times New Roman"/>
          <w:color w:val="000000"/>
          <w:sz w:val="28"/>
          <w:szCs w:val="28"/>
        </w:rPr>
        <w:pBdr>
          <w:top w:val="none" w:color="000000" w:sz="4" w:space="0"/>
          <w:left w:val="none" w:color="000000" w:sz="4" w:space="0"/>
          <w:bottom w:val="none" w:color="000000" w:sz="4" w:space="0"/>
          <w:right w:val="none" w:color="000000" w:sz="4" w:space="0"/>
        </w:pBdr>
      </w:pPr>
      <w:r>
        <w:rPr>
          <w:rFonts w:ascii="Times New Roman" w:hAnsi="Times New Roman" w:eastAsia="Times New Roman"/>
          <w:color w:val="000000"/>
          <w:sz w:val="28"/>
          <w:szCs w:val="28"/>
        </w:rPr>
        <w:t xml:space="preserve">От того, как на государственном и муниципальном </w:t>
      </w:r>
      <w:r>
        <w:rPr>
          <w:rFonts w:ascii="Times New Roman" w:hAnsi="Times New Roman" w:eastAsia="Times New Roman"/>
          <w:color w:val="000000"/>
          <w:sz w:val="28"/>
          <w:szCs w:val="28"/>
        </w:rPr>
        <w:t xml:space="preserve">уровнях</w:t>
      </w:r>
      <w:r>
        <w:rPr>
          <w:rFonts w:ascii="Times New Roman" w:hAnsi="Times New Roman" w:eastAsia="Times New Roman"/>
          <w:color w:val="000000"/>
          <w:sz w:val="28"/>
          <w:szCs w:val="28"/>
        </w:rPr>
        <w:t xml:space="preserve"> поддержива</w:t>
      </w:r>
      <w:r>
        <w:rPr>
          <w:rFonts w:ascii="Times New Roman" w:hAnsi="Times New Roman" w:eastAsia="Times New Roman"/>
          <w:color w:val="000000"/>
          <w:sz w:val="28"/>
          <w:szCs w:val="28"/>
        </w:rPr>
        <w:t xml:space="preserve">ются НКО, зависит не только наш сегодняшний день, но и будущее. В настоящее время по линии государства развивается поддержка общественных организаций, которые не просто принимают участие в полезных делах, но и системно работают по повышению качества жизни.</w:t>
      </w:r>
      <w:r>
        <w:rPr>
          <w:rFonts w:ascii="Times New Roman" w:hAnsi="Times New Roman"/>
          <w:color w:val="000000"/>
          <w:sz w:val="28"/>
          <w:szCs w:val="28"/>
        </w:rPr>
      </w:r>
      <w:r>
        <w:rPr>
          <w:rFonts w:ascii="Times New Roman" w:hAnsi="Times New Roman"/>
          <w:color w:val="000000"/>
          <w:sz w:val="28"/>
          <w:szCs w:val="28"/>
        </w:rPr>
      </w:r>
    </w:p>
    <w:p>
      <w:pPr>
        <w:ind w:firstLine="709"/>
        <w:jc w:val="both"/>
        <w:spacing w:after="0" w:line="288" w:lineRule="auto"/>
        <w:shd w:val="clear" w:color="ffffff" w:fill="ffffff"/>
        <w:rPr>
          <w:rFonts w:ascii="Times New Roman" w:hAnsi="Times New Roman"/>
          <w:sz w:val="28"/>
          <w:szCs w:val="28"/>
        </w:rPr>
        <w:pBdr>
          <w:top w:val="none" w:color="000000" w:sz="4" w:space="0"/>
          <w:left w:val="none" w:color="000000" w:sz="4" w:space="0"/>
          <w:bottom w:val="none" w:color="000000" w:sz="4" w:space="0"/>
          <w:right w:val="none" w:color="000000" w:sz="4" w:space="0"/>
        </w:pBdr>
      </w:pPr>
      <w:r>
        <w:rPr>
          <w:rFonts w:ascii="Times New Roman" w:hAnsi="Times New Roman" w:eastAsia="Times New Roman"/>
          <w:b/>
          <w:color w:val="000000"/>
          <w:sz w:val="28"/>
          <w:szCs w:val="28"/>
        </w:rPr>
        <w:t xml:space="preserve">Общественники — это та часть общества, которая делает ставку на поддержку особо незащищенных категорий населения, развитие общественных инициатив.</w:t>
      </w:r>
      <w:r>
        <w:rPr>
          <w:rFonts w:ascii="Times New Roman" w:hAnsi="Times New Roman" w:eastAsia="Times New Roman"/>
          <w:color w:val="000000"/>
          <w:sz w:val="28"/>
          <w:szCs w:val="28"/>
        </w:rPr>
        <w:t xml:space="preserve"> Именно с такими лидерами, неравнодушными, болеющими душой за всё, что происходит вокруг, региональный омбудсмен встретилась на расширенном заседании регионального Союза женщин России, состоявшемся на базе городского округа Тейково.</w:t>
      </w:r>
      <w:r>
        <w:rPr>
          <w:rFonts w:ascii="Times New Roman" w:hAnsi="Times New Roman"/>
          <w:sz w:val="28"/>
          <w:szCs w:val="28"/>
        </w:rPr>
      </w:r>
      <w:r>
        <w:rPr>
          <w:rFonts w:ascii="Times New Roman" w:hAnsi="Times New Roman"/>
          <w:sz w:val="28"/>
          <w:szCs w:val="28"/>
        </w:rPr>
      </w:r>
    </w:p>
    <w:p>
      <w:pPr>
        <w:ind w:firstLine="709"/>
        <w:jc w:val="both"/>
        <w:spacing w:after="0" w:line="288" w:lineRule="auto"/>
        <w:shd w:val="clear" w:color="ffffff" w:fill="ffffff"/>
        <w:rPr>
          <w:rFonts w:ascii="Times New Roman" w:hAnsi="Times New Roman"/>
          <w:sz w:val="28"/>
          <w:szCs w:val="28"/>
        </w:rPr>
        <w:pBdr>
          <w:top w:val="none" w:color="000000" w:sz="4" w:space="0"/>
          <w:left w:val="none" w:color="000000" w:sz="4" w:space="0"/>
          <w:bottom w:val="none" w:color="000000" w:sz="4" w:space="0"/>
          <w:right w:val="none" w:color="000000" w:sz="4" w:space="0"/>
        </w:pBdr>
      </w:pPr>
      <w:r>
        <w:rPr>
          <w:rFonts w:ascii="Times New Roman" w:hAnsi="Times New Roman" w:eastAsia="Times New Roman"/>
          <w:color w:val="000000"/>
          <w:sz w:val="28"/>
          <w:szCs w:val="28"/>
        </w:rPr>
        <w:t xml:space="preserve">На тематической встрече затронули темы жизнедеятельности организации, ознакомились с копилкой полезных дел женского движения. </w:t>
      </w:r>
      <w:r>
        <w:rPr>
          <w:rFonts w:ascii="Times New Roman" w:hAnsi="Times New Roman"/>
          <w:sz w:val="28"/>
          <w:szCs w:val="28"/>
        </w:rPr>
      </w:r>
      <w:r>
        <w:rPr>
          <w:rFonts w:ascii="Times New Roman" w:hAnsi="Times New Roman"/>
          <w:sz w:val="28"/>
          <w:szCs w:val="28"/>
        </w:rPr>
      </w:r>
    </w:p>
    <w:p>
      <w:pPr>
        <w:ind w:firstLine="709"/>
        <w:jc w:val="both"/>
        <w:spacing w:after="0" w:line="288" w:lineRule="auto"/>
        <w:shd w:val="clear" w:color="ffffff" w:fill="ffffff"/>
        <w:rPr>
          <w:rFonts w:ascii="Times New Roman" w:hAnsi="Times New Roman"/>
          <w:sz w:val="28"/>
          <w:szCs w:val="28"/>
        </w:rPr>
        <w:pBdr>
          <w:top w:val="none" w:color="000000" w:sz="4" w:space="0"/>
          <w:left w:val="none" w:color="000000" w:sz="4" w:space="0"/>
          <w:bottom w:val="none" w:color="000000" w:sz="4" w:space="0"/>
          <w:right w:val="none" w:color="000000" w:sz="4" w:space="0"/>
        </w:pBdr>
      </w:pPr>
      <w:r>
        <w:rPr>
          <w:rFonts w:ascii="Times New Roman" w:hAnsi="Times New Roman" w:eastAsia="Times New Roman"/>
          <w:color w:val="000000"/>
          <w:sz w:val="28"/>
          <w:szCs w:val="28"/>
        </w:rPr>
        <w:t xml:space="preserve">Особое внимание уделено подведению итогов акции «Посылка солдату».</w:t>
      </w:r>
      <w:r>
        <w:rPr>
          <w:rFonts w:ascii="Times New Roman" w:hAnsi="Times New Roman"/>
          <w:sz w:val="28"/>
          <w:szCs w:val="28"/>
        </w:rPr>
      </w:r>
      <w:r>
        <w:rPr>
          <w:rFonts w:ascii="Times New Roman" w:hAnsi="Times New Roman"/>
          <w:sz w:val="28"/>
          <w:szCs w:val="28"/>
        </w:rPr>
      </w:r>
    </w:p>
    <w:p>
      <w:pPr>
        <w:ind w:firstLine="709"/>
        <w:jc w:val="both"/>
        <w:spacing w:after="0" w:line="288" w:lineRule="auto"/>
        <w:shd w:val="clear" w:color="ffffff" w:fill="ffffff"/>
        <w:rPr>
          <w:rFonts w:ascii="Times New Roman" w:hAnsi="Times New Roman"/>
          <w:sz w:val="28"/>
          <w:szCs w:val="28"/>
        </w:rPr>
        <w:pBdr>
          <w:top w:val="none" w:color="000000" w:sz="4" w:space="0"/>
          <w:left w:val="none" w:color="000000" w:sz="4" w:space="0"/>
          <w:bottom w:val="none" w:color="000000" w:sz="4" w:space="0"/>
          <w:right w:val="none" w:color="000000" w:sz="4" w:space="0"/>
        </w:pBdr>
      </w:pPr>
      <w:r>
        <w:rPr>
          <w:rFonts w:ascii="Times New Roman" w:hAnsi="Times New Roman" w:eastAsia="Times New Roman"/>
          <w:color w:val="000000"/>
          <w:sz w:val="28"/>
          <w:szCs w:val="28"/>
        </w:rPr>
        <w:t xml:space="preserve">Следует отметить, что женский союз стал для многих в данной общественной организации общим домом и делом жизни.</w:t>
      </w:r>
      <w:r>
        <w:rPr>
          <w:rFonts w:ascii="Times New Roman" w:hAnsi="Times New Roman"/>
          <w:sz w:val="28"/>
          <w:szCs w:val="28"/>
        </w:rPr>
      </w:r>
      <w:r>
        <w:rPr>
          <w:rFonts w:ascii="Times New Roman" w:hAnsi="Times New Roman"/>
          <w:sz w:val="28"/>
          <w:szCs w:val="28"/>
        </w:rPr>
      </w:r>
    </w:p>
    <w:p>
      <w:pPr>
        <w:ind w:firstLine="709"/>
        <w:jc w:val="both"/>
        <w:spacing w:after="0" w:line="288" w:lineRule="auto"/>
        <w:shd w:val="clear" w:color="ffffff" w:fill="ffffff"/>
        <w:rPr>
          <w:rFonts w:ascii="Times New Roman" w:hAnsi="Times New Roman"/>
          <w:sz w:val="28"/>
          <w:szCs w:val="28"/>
        </w:rPr>
        <w:pBdr>
          <w:top w:val="none" w:color="000000" w:sz="4" w:space="0"/>
          <w:left w:val="none" w:color="000000" w:sz="4" w:space="0"/>
          <w:bottom w:val="none" w:color="000000" w:sz="4" w:space="0"/>
          <w:right w:val="none" w:color="000000" w:sz="4" w:space="0"/>
        </w:pBdr>
      </w:pPr>
      <w:r>
        <w:rPr>
          <w:rFonts w:ascii="Times New Roman" w:hAnsi="Times New Roman" w:eastAsia="Times New Roman"/>
          <w:color w:val="000000"/>
          <w:sz w:val="28"/>
          <w:szCs w:val="28"/>
        </w:rPr>
        <w:t xml:space="preserve">В живом общении, при посещении доблестной ракетной дивизии и старейшего текстильного предприятия  обсудили ситуации, в которых важно понимат</w:t>
      </w:r>
      <w:r>
        <w:rPr>
          <w:rFonts w:ascii="Times New Roman" w:hAnsi="Times New Roman" w:eastAsia="Times New Roman"/>
          <w:color w:val="000000"/>
          <w:sz w:val="28"/>
          <w:szCs w:val="28"/>
        </w:rPr>
        <w:t xml:space="preserve">ь свои права, знать, куда можно обратиться за предупреждением или восстановлением своих прав. Уполномоченный встретилась с Командой, объединенной едиными целями - нести свет и творить добро, быть там, где особенно тяжело. И ивановские женщины - общественни</w:t>
      </w:r>
      <w:r>
        <w:rPr>
          <w:rFonts w:ascii="Times New Roman" w:hAnsi="Times New Roman" w:eastAsia="Times New Roman"/>
          <w:color w:val="000000"/>
          <w:sz w:val="28"/>
          <w:szCs w:val="28"/>
        </w:rPr>
        <w:t xml:space="preserve">цы каждый день это подтверждают. Все, кого объединила организация, имеют опыт в отстаивании своих позиций, учатся принимать верные решения, получают реальный юридический опыт, отслеживают работу государственных механизмов, просто знают, что они не одиноки.</w:t>
      </w:r>
      <w:r>
        <w:rPr>
          <w:rFonts w:ascii="Times New Roman" w:hAnsi="Times New Roman"/>
          <w:sz w:val="28"/>
          <w:szCs w:val="28"/>
        </w:rPr>
      </w:r>
      <w:r>
        <w:rPr>
          <w:rFonts w:ascii="Times New Roman" w:hAnsi="Times New Roman"/>
          <w:sz w:val="28"/>
          <w:szCs w:val="28"/>
        </w:rPr>
      </w:r>
    </w:p>
    <w:p>
      <w:pPr>
        <w:ind w:firstLine="709"/>
        <w:jc w:val="both"/>
        <w:spacing w:after="0"/>
        <w:shd w:val="clear" w:color="ffffff" w:fill="ffffff"/>
        <w:rPr>
          <w:rFonts w:ascii="Times New Roman" w:hAnsi="Times New Roman"/>
          <w:sz w:val="28"/>
          <w:szCs w:val="28"/>
        </w:rPr>
        <w:pBdr>
          <w:top w:val="none" w:color="000000" w:sz="4" w:space="0"/>
          <w:left w:val="none" w:color="000000" w:sz="4" w:space="0"/>
          <w:bottom w:val="none" w:color="000000" w:sz="4" w:space="0"/>
          <w:right w:val="none" w:color="000000" w:sz="4" w:space="0"/>
        </w:pBdr>
      </w:pPr>
      <w:r>
        <w:rPr>
          <w:rFonts w:ascii="Times New Roman" w:hAnsi="Times New Roman" w:eastAsia="Times New Roman"/>
          <w:color w:val="000000"/>
          <w:sz w:val="28"/>
          <w:szCs w:val="28"/>
        </w:rPr>
        <w:t xml:space="preserve">При подведении итогов рабочей поездки Уполномоченный поблагодарила депутатов Ивановской областной Думы Ирину Сидорину, председателя комитета по бюджету, члена коми</w:t>
      </w:r>
      <w:r>
        <w:rPr>
          <w:rFonts w:ascii="Times New Roman" w:hAnsi="Times New Roman" w:eastAsia="Times New Roman"/>
          <w:color w:val="000000"/>
          <w:sz w:val="28"/>
          <w:szCs w:val="28"/>
        </w:rPr>
        <w:t xml:space="preserve">тета по жилищной политике и жилищно-коммунальному хозяйству, Ольгу Гусеву, заместителя председателя комитета по бюджету, члена комитета по экономике, промышленности и сельскому хозяйству, члена комитета по государственному строительству, законности и МСУ, </w:t>
      </w:r>
      <w:r>
        <w:rPr>
          <w:rFonts w:ascii="Times New Roman" w:hAnsi="Times New Roman" w:eastAsia="Times New Roman"/>
          <w:color w:val="000000"/>
          <w:sz w:val="28"/>
          <w:szCs w:val="28"/>
        </w:rPr>
        <w:t xml:space="preserve">Ботову</w:t>
      </w:r>
      <w:r>
        <w:rPr>
          <w:rFonts w:ascii="Times New Roman" w:hAnsi="Times New Roman" w:eastAsia="Times New Roman"/>
          <w:color w:val="000000"/>
          <w:sz w:val="28"/>
          <w:szCs w:val="28"/>
        </w:rPr>
        <w:t xml:space="preserve"> Оксану, руководителя регионального отделения «Союз женщин России» за приглашение к обсуждению</w:t>
      </w:r>
      <w:r>
        <w:rPr>
          <w:rFonts w:ascii="Times New Roman" w:hAnsi="Times New Roman" w:eastAsia="Times New Roman"/>
          <w:color w:val="000000"/>
          <w:sz w:val="28"/>
          <w:szCs w:val="28"/>
        </w:rPr>
        <w:t xml:space="preserve"> актуальных вопросов правозащитной повестки и их участие в сохранении ценностей прав человека, реальную помощь защитникам Отечества, умение быть там, где особенно нужны женская поддержка, содействие в разрешении сложных проблем.</w:t>
      </w:r>
      <w:r>
        <w:rPr>
          <w:rFonts w:ascii="Times New Roman" w:hAnsi="Times New Roman"/>
          <w:sz w:val="28"/>
          <w:szCs w:val="28"/>
        </w:rPr>
      </w:r>
      <w:r>
        <w:rPr>
          <w:rFonts w:ascii="Times New Roman" w:hAnsi="Times New Roman"/>
          <w:sz w:val="28"/>
          <w:szCs w:val="28"/>
        </w:rPr>
      </w:r>
    </w:p>
    <w:p>
      <w:pPr>
        <w:ind w:firstLine="709"/>
        <w:jc w:val="both"/>
        <w:spacing w:after="0"/>
        <w:rPr>
          <w:rFonts w:ascii="Times New Roman" w:hAnsi="Times New Roman"/>
          <w:sz w:val="28"/>
          <w:szCs w:val="28"/>
        </w:rPr>
      </w:pPr>
      <w:r>
        <w:rPr>
          <w:rFonts w:ascii="Times New Roman" w:hAnsi="Times New Roman"/>
          <w:sz w:val="28"/>
          <w:szCs w:val="28"/>
        </w:rPr>
        <w:t xml:space="preserve">В сентябре, региональный правозащитник приняла участие в межрегиональном форуме «ЗА женщин». Одной из ключевых тем, межрегионального форума «ЗА женщин», стала семейная политика.</w:t>
      </w:r>
      <w:r>
        <w:rPr>
          <w:rFonts w:ascii="Times New Roman" w:hAnsi="Times New Roman"/>
          <w:sz w:val="28"/>
          <w:szCs w:val="28"/>
        </w:rPr>
      </w:r>
      <w:r>
        <w:rPr>
          <w:rFonts w:ascii="Times New Roman" w:hAnsi="Times New Roman"/>
          <w:sz w:val="28"/>
          <w:szCs w:val="28"/>
        </w:rPr>
      </w:r>
    </w:p>
    <w:p>
      <w:pPr>
        <w:ind w:firstLine="709"/>
        <w:jc w:val="both"/>
        <w:spacing w:after="0"/>
        <w:rPr>
          <w:rFonts w:ascii="Times New Roman" w:hAnsi="Times New Roman"/>
          <w:sz w:val="28"/>
          <w:szCs w:val="28"/>
        </w:rPr>
      </w:pPr>
      <w:r>
        <w:rPr>
          <w:rFonts w:ascii="Times New Roman" w:hAnsi="Times New Roman"/>
          <w:sz w:val="28"/>
          <w:szCs w:val="28"/>
        </w:rPr>
        <w:t xml:space="preserve">Участниц форума поприветс</w:t>
      </w:r>
      <w:r>
        <w:rPr>
          <w:rFonts w:ascii="Times New Roman" w:hAnsi="Times New Roman"/>
          <w:sz w:val="28"/>
          <w:szCs w:val="28"/>
        </w:rPr>
        <w:t xml:space="preserve">твовал Губернатор Станислав Воскресенский. Он рассказал, что в Ивановской области к семейной политике подходят комплексно, и поддержка охватывает все этапы – от планирования беременности и рождения ребенка до момента, когда он начнет самостоятельную жизнь.</w:t>
      </w:r>
      <w:r>
        <w:rPr>
          <w:rFonts w:ascii="Times New Roman" w:hAnsi="Times New Roman"/>
          <w:sz w:val="28"/>
          <w:szCs w:val="28"/>
        </w:rPr>
      </w:r>
      <w:r>
        <w:rPr>
          <w:rFonts w:ascii="Times New Roman" w:hAnsi="Times New Roman"/>
          <w:sz w:val="28"/>
          <w:szCs w:val="28"/>
        </w:rPr>
      </w:r>
    </w:p>
    <w:p>
      <w:pPr>
        <w:ind w:firstLine="709"/>
        <w:jc w:val="both"/>
        <w:spacing w:after="0"/>
        <w:rPr>
          <w:rFonts w:ascii="Times New Roman" w:hAnsi="Times New Roman"/>
          <w:sz w:val="28"/>
          <w:szCs w:val="28"/>
        </w:rPr>
      </w:pPr>
      <w:r>
        <w:rPr>
          <w:rFonts w:ascii="Times New Roman" w:hAnsi="Times New Roman"/>
          <w:sz w:val="28"/>
          <w:szCs w:val="28"/>
        </w:rPr>
        <w:t xml:space="preserve">К участницам также обратились сенатор Совета Федерации Дарья Лантратова, депутат Госдумы Наталия Полуянова и председатель </w:t>
      </w:r>
      <w:r>
        <w:rPr>
          <w:rFonts w:ascii="Times New Roman" w:hAnsi="Times New Roman"/>
          <w:sz w:val="28"/>
          <w:szCs w:val="28"/>
        </w:rPr>
        <w:t xml:space="preserve">облдумы</w:t>
      </w:r>
      <w:r>
        <w:rPr>
          <w:rFonts w:ascii="Times New Roman" w:hAnsi="Times New Roman"/>
          <w:sz w:val="28"/>
          <w:szCs w:val="28"/>
        </w:rPr>
        <w:t xml:space="preserve"> Марина Дмитриева. Они подчеркнули, что совместная работа помогает</w:t>
      </w:r>
      <w:r>
        <w:rPr>
          <w:rFonts w:ascii="Times New Roman" w:hAnsi="Times New Roman"/>
          <w:sz w:val="28"/>
          <w:szCs w:val="28"/>
        </w:rPr>
        <w:t xml:space="preserve"> вырабатывать важные решения для таких сфер, как демография, кадровое обеспечение, социальная политика и здравоохранение, поддержка участников СВО и их семей. Форум, объединивший свыше 350 участниц, прошел в рамках проекта «Женское движение Единой России».</w:t>
      </w:r>
      <w:r>
        <w:rPr>
          <w:rFonts w:ascii="Times New Roman" w:hAnsi="Times New Roman"/>
          <w:sz w:val="28"/>
          <w:szCs w:val="28"/>
        </w:rPr>
      </w:r>
      <w:r>
        <w:rPr>
          <w:rFonts w:ascii="Times New Roman" w:hAnsi="Times New Roman"/>
          <w:sz w:val="28"/>
          <w:szCs w:val="28"/>
        </w:rPr>
      </w:r>
    </w:p>
    <w:p>
      <w:pPr>
        <w:ind w:firstLine="709"/>
        <w:jc w:val="both"/>
        <w:spacing w:after="0"/>
        <w:rPr>
          <w:rFonts w:ascii="Times New Roman" w:hAnsi="Times New Roman"/>
          <w:sz w:val="28"/>
          <w:szCs w:val="28"/>
        </w:rPr>
      </w:pPr>
      <w:r>
        <w:rPr>
          <w:rFonts w:ascii="Times New Roman" w:hAnsi="Times New Roman"/>
          <w:sz w:val="28"/>
          <w:szCs w:val="28"/>
        </w:rPr>
        <w:t xml:space="preserve">В целях информирования населения о возможности налаживания конструктивного сотрудничества и получения адресной помощи </w:t>
      </w:r>
      <w:r>
        <w:rPr>
          <w:rFonts w:ascii="Times New Roman" w:hAnsi="Times New Roman" w:eastAsia="Times New Roman"/>
          <w:color w:val="000000"/>
          <w:sz w:val="28"/>
          <w:szCs w:val="28"/>
          <w:lang w:eastAsia="ru-RU"/>
        </w:rPr>
        <w:t xml:space="preserve">публикуем список действующих правозащитных организаций, зарегистрированных на территории Ивановской области:</w:t>
      </w:r>
      <w:r>
        <w:rPr>
          <w:rFonts w:ascii="Times New Roman" w:hAnsi="Times New Roman"/>
          <w:sz w:val="28"/>
          <w:szCs w:val="28"/>
        </w:rPr>
      </w:r>
      <w:r>
        <w:rPr>
          <w:rFonts w:ascii="Times New Roman" w:hAnsi="Times New Roman"/>
          <w:sz w:val="28"/>
          <w:szCs w:val="28"/>
        </w:rPr>
      </w:r>
    </w:p>
    <w:p>
      <w:pPr>
        <w:pStyle w:val="1227"/>
        <w:numPr>
          <w:ilvl w:val="0"/>
          <w:numId w:val="84"/>
        </w:numPr>
        <w:ind w:left="0" w:firstLine="709"/>
        <w:jc w:val="both"/>
        <w:spacing w:line="276" w:lineRule="auto"/>
        <w:rPr>
          <w:rFonts w:ascii="Times New Roman" w:hAnsi="Times New Roman" w:eastAsia="Times New Roman"/>
          <w:sz w:val="28"/>
          <w:szCs w:val="28"/>
          <w:lang w:val="ru-RU" w:eastAsia="ru-RU"/>
        </w:rPr>
      </w:pPr>
      <w:r>
        <w:rPr>
          <w:rFonts w:ascii="Times New Roman" w:hAnsi="Times New Roman" w:eastAsia="Times New Roman"/>
          <w:color w:val="000000"/>
          <w:sz w:val="28"/>
          <w:szCs w:val="28"/>
          <w:lang w:val="ru-RU" w:eastAsia="ru-RU"/>
        </w:rPr>
        <w:t xml:space="preserve">Ивановская областная общественная организация по защите прав и интересов специалистов со средним медицинским образованием;</w:t>
      </w:r>
      <w:r>
        <w:rPr>
          <w:rFonts w:ascii="Times New Roman" w:hAnsi="Times New Roman" w:eastAsia="Times New Roman"/>
          <w:sz w:val="28"/>
          <w:szCs w:val="28"/>
          <w:lang w:eastAsia="ru-RU"/>
        </w:rPr>
        <w:t xml:space="preserve"> </w:t>
      </w:r>
      <w:r>
        <w:rPr>
          <w:rFonts w:ascii="Times New Roman" w:hAnsi="Times New Roman" w:eastAsia="Times New Roman"/>
          <w:sz w:val="28"/>
          <w:szCs w:val="28"/>
          <w:lang w:val="ru-RU" w:eastAsia="ru-RU"/>
        </w:rPr>
      </w:r>
      <w:r>
        <w:rPr>
          <w:rFonts w:ascii="Times New Roman" w:hAnsi="Times New Roman" w:eastAsia="Times New Roman"/>
          <w:sz w:val="28"/>
          <w:szCs w:val="28"/>
          <w:lang w:val="ru-RU" w:eastAsia="ru-RU"/>
        </w:rPr>
      </w:r>
    </w:p>
    <w:p>
      <w:pPr>
        <w:pStyle w:val="1227"/>
        <w:numPr>
          <w:ilvl w:val="0"/>
          <w:numId w:val="84"/>
        </w:numPr>
        <w:ind w:left="0" w:firstLine="709"/>
        <w:jc w:val="both"/>
        <w:spacing w:line="276" w:lineRule="auto"/>
        <w:rPr>
          <w:rFonts w:ascii="Times New Roman" w:hAnsi="Times New Roman" w:eastAsia="Times New Roman"/>
          <w:sz w:val="28"/>
          <w:szCs w:val="28"/>
          <w:lang w:val="ru-RU" w:eastAsia="ru-RU"/>
        </w:rPr>
      </w:pPr>
      <w:r>
        <w:rPr>
          <w:rFonts w:ascii="Times New Roman" w:hAnsi="Times New Roman" w:eastAsia="Times New Roman"/>
          <w:color w:val="000000"/>
          <w:sz w:val="28"/>
          <w:szCs w:val="28"/>
          <w:lang w:val="ru-RU" w:eastAsia="ru-RU"/>
        </w:rPr>
        <w:t xml:space="preserve">Общественная организация «Ивановское областное общество прав человека»;</w:t>
      </w:r>
      <w:r>
        <w:rPr>
          <w:rFonts w:ascii="Times New Roman" w:hAnsi="Times New Roman" w:eastAsia="Times New Roman"/>
          <w:sz w:val="28"/>
          <w:szCs w:val="28"/>
          <w:lang w:eastAsia="ru-RU"/>
        </w:rPr>
        <w:t xml:space="preserve"> </w:t>
      </w:r>
      <w:r>
        <w:rPr>
          <w:rFonts w:ascii="Times New Roman" w:hAnsi="Times New Roman" w:eastAsia="Times New Roman"/>
          <w:sz w:val="28"/>
          <w:szCs w:val="28"/>
          <w:lang w:val="ru-RU" w:eastAsia="ru-RU"/>
        </w:rPr>
      </w:r>
      <w:r>
        <w:rPr>
          <w:rFonts w:ascii="Times New Roman" w:hAnsi="Times New Roman" w:eastAsia="Times New Roman"/>
          <w:sz w:val="28"/>
          <w:szCs w:val="28"/>
          <w:lang w:val="ru-RU" w:eastAsia="ru-RU"/>
        </w:rPr>
      </w:r>
    </w:p>
    <w:p>
      <w:pPr>
        <w:pStyle w:val="1227"/>
        <w:numPr>
          <w:ilvl w:val="0"/>
          <w:numId w:val="84"/>
        </w:numPr>
        <w:ind w:left="0" w:firstLine="709"/>
        <w:jc w:val="both"/>
        <w:spacing w:line="276" w:lineRule="auto"/>
        <w:rPr>
          <w:rFonts w:ascii="Times New Roman" w:hAnsi="Times New Roman" w:eastAsia="Times New Roman"/>
          <w:color w:val="000000"/>
          <w:sz w:val="28"/>
          <w:szCs w:val="28"/>
          <w:lang w:val="ru-RU" w:eastAsia="ru-RU"/>
        </w:rPr>
      </w:pPr>
      <w:r>
        <w:rPr>
          <w:rFonts w:ascii="Times New Roman" w:hAnsi="Times New Roman" w:eastAsia="Times New Roman"/>
          <w:color w:val="000000"/>
          <w:sz w:val="28"/>
          <w:szCs w:val="28"/>
          <w:lang w:val="ru-RU" w:eastAsia="ru-RU"/>
        </w:rPr>
        <w:t xml:space="preserve">Ивановская региональная общественная организация «Общество защиты прав потребителей»;</w:t>
      </w:r>
      <w:r>
        <w:rPr>
          <w:rFonts w:ascii="Times New Roman" w:hAnsi="Times New Roman" w:eastAsia="Times New Roman"/>
          <w:color w:val="000000"/>
          <w:sz w:val="28"/>
          <w:szCs w:val="28"/>
          <w:lang w:val="ru-RU" w:eastAsia="ru-RU"/>
        </w:rPr>
      </w:r>
      <w:r>
        <w:rPr>
          <w:rFonts w:ascii="Times New Roman" w:hAnsi="Times New Roman" w:eastAsia="Times New Roman"/>
          <w:color w:val="000000"/>
          <w:sz w:val="28"/>
          <w:szCs w:val="28"/>
          <w:lang w:val="ru-RU" w:eastAsia="ru-RU"/>
        </w:rPr>
      </w:r>
    </w:p>
    <w:p>
      <w:pPr>
        <w:pStyle w:val="1227"/>
        <w:numPr>
          <w:ilvl w:val="0"/>
          <w:numId w:val="84"/>
        </w:numPr>
        <w:ind w:left="0" w:firstLine="709"/>
        <w:jc w:val="both"/>
        <w:spacing w:line="276" w:lineRule="auto"/>
        <w:rPr>
          <w:rFonts w:ascii="Times New Roman" w:hAnsi="Times New Roman" w:eastAsia="Times New Roman"/>
          <w:color w:val="000000"/>
          <w:sz w:val="28"/>
          <w:szCs w:val="28"/>
          <w:lang w:val="ru-RU" w:eastAsia="ru-RU"/>
        </w:rPr>
      </w:pPr>
      <w:r>
        <w:rPr>
          <w:rFonts w:ascii="Times New Roman" w:hAnsi="Times New Roman" w:eastAsia="Times New Roman"/>
          <w:color w:val="000000"/>
          <w:sz w:val="28"/>
          <w:szCs w:val="28"/>
          <w:lang w:val="ru-RU" w:eastAsia="ru-RU"/>
        </w:rPr>
        <w:t xml:space="preserve">Ивановская региональная общественная организация «Совет граждан по вопросам жилищно-коммунального хозяйства</w:t>
      </w:r>
      <w:r>
        <w:rPr>
          <w:rFonts w:ascii="Times New Roman" w:hAnsi="Times New Roman" w:eastAsia="Times New Roman"/>
          <w:color w:val="000000"/>
          <w:sz w:val="28"/>
          <w:szCs w:val="28"/>
          <w:lang w:eastAsia="ru-RU"/>
        </w:rPr>
        <w:t xml:space="preserve"> </w:t>
      </w:r>
      <w:r>
        <w:rPr>
          <w:rFonts w:ascii="Times New Roman" w:hAnsi="Times New Roman" w:eastAsia="Times New Roman"/>
          <w:color w:val="000000"/>
          <w:sz w:val="28"/>
          <w:szCs w:val="28"/>
          <w:lang w:val="ru-RU" w:eastAsia="ru-RU"/>
        </w:rPr>
        <w:t xml:space="preserve"> благоустройства Ивановской области»; </w:t>
      </w:r>
      <w:r>
        <w:rPr>
          <w:rFonts w:ascii="Times New Roman" w:hAnsi="Times New Roman" w:eastAsia="Times New Roman"/>
          <w:color w:val="000000"/>
          <w:sz w:val="28"/>
          <w:szCs w:val="28"/>
          <w:lang w:val="ru-RU" w:eastAsia="ru-RU"/>
        </w:rPr>
      </w:r>
      <w:r>
        <w:rPr>
          <w:rFonts w:ascii="Times New Roman" w:hAnsi="Times New Roman" w:eastAsia="Times New Roman"/>
          <w:color w:val="000000"/>
          <w:sz w:val="28"/>
          <w:szCs w:val="28"/>
          <w:lang w:val="ru-RU" w:eastAsia="ru-RU"/>
        </w:rPr>
      </w:r>
    </w:p>
    <w:p>
      <w:pPr>
        <w:pStyle w:val="1227"/>
        <w:numPr>
          <w:ilvl w:val="0"/>
          <w:numId w:val="84"/>
        </w:numPr>
        <w:ind w:left="0" w:firstLine="709"/>
        <w:jc w:val="both"/>
        <w:spacing w:line="276" w:lineRule="auto"/>
        <w:rPr>
          <w:rFonts w:ascii="Times New Roman" w:hAnsi="Times New Roman" w:eastAsia="Times New Roman"/>
          <w:color w:val="000000"/>
          <w:sz w:val="28"/>
          <w:szCs w:val="28"/>
          <w:lang w:val="ru-RU" w:eastAsia="ru-RU"/>
        </w:rPr>
      </w:pPr>
      <w:r>
        <w:rPr>
          <w:rFonts w:ascii="Times New Roman" w:hAnsi="Times New Roman" w:eastAsia="Times New Roman"/>
          <w:color w:val="000000"/>
          <w:sz w:val="28"/>
          <w:szCs w:val="28"/>
          <w:lang w:val="ru-RU" w:eastAsia="ru-RU"/>
        </w:rPr>
        <w:t xml:space="preserve">Ивановская областная общественная организация «Центр общественного контроля в сфере жилищно-коммунальных услуг»;</w:t>
      </w:r>
      <w:r>
        <w:rPr>
          <w:rFonts w:ascii="Times New Roman" w:hAnsi="Times New Roman" w:eastAsia="Times New Roman"/>
          <w:color w:val="000000"/>
          <w:sz w:val="28"/>
          <w:szCs w:val="28"/>
          <w:lang w:val="ru-RU" w:eastAsia="ru-RU"/>
        </w:rPr>
      </w:r>
      <w:r>
        <w:rPr>
          <w:rFonts w:ascii="Times New Roman" w:hAnsi="Times New Roman" w:eastAsia="Times New Roman"/>
          <w:color w:val="000000"/>
          <w:sz w:val="28"/>
          <w:szCs w:val="28"/>
          <w:lang w:val="ru-RU" w:eastAsia="ru-RU"/>
        </w:rPr>
      </w:r>
    </w:p>
    <w:p>
      <w:pPr>
        <w:pStyle w:val="1227"/>
        <w:numPr>
          <w:ilvl w:val="0"/>
          <w:numId w:val="84"/>
        </w:numPr>
        <w:ind w:left="0" w:firstLine="709"/>
        <w:jc w:val="both"/>
        <w:spacing w:line="276" w:lineRule="auto"/>
        <w:rPr>
          <w:rFonts w:ascii="Times New Roman" w:hAnsi="Times New Roman" w:eastAsia="Times New Roman"/>
          <w:color w:val="000000"/>
          <w:sz w:val="28"/>
          <w:szCs w:val="28"/>
          <w:lang w:val="ru-RU" w:eastAsia="ru-RU"/>
        </w:rPr>
      </w:pPr>
      <w:r>
        <w:rPr>
          <w:rFonts w:ascii="Times New Roman" w:hAnsi="Times New Roman" w:eastAsia="Times New Roman"/>
          <w:color w:val="000000"/>
          <w:sz w:val="28"/>
          <w:szCs w:val="28"/>
          <w:lang w:val="ru-RU" w:eastAsia="ru-RU"/>
        </w:rPr>
        <w:t xml:space="preserve">Ивановская региональная общественная организация «Общество защиты прав потребителей - собственников жилья»; </w:t>
      </w:r>
      <w:r>
        <w:rPr>
          <w:rFonts w:ascii="Times New Roman" w:hAnsi="Times New Roman" w:eastAsia="Times New Roman"/>
          <w:color w:val="000000"/>
          <w:sz w:val="28"/>
          <w:szCs w:val="28"/>
          <w:lang w:val="ru-RU" w:eastAsia="ru-RU"/>
        </w:rPr>
      </w:r>
      <w:r>
        <w:rPr>
          <w:rFonts w:ascii="Times New Roman" w:hAnsi="Times New Roman" w:eastAsia="Times New Roman"/>
          <w:color w:val="000000"/>
          <w:sz w:val="28"/>
          <w:szCs w:val="28"/>
          <w:lang w:val="ru-RU" w:eastAsia="ru-RU"/>
        </w:rPr>
      </w:r>
    </w:p>
    <w:p>
      <w:pPr>
        <w:pStyle w:val="1227"/>
        <w:numPr>
          <w:ilvl w:val="0"/>
          <w:numId w:val="84"/>
        </w:numPr>
        <w:ind w:left="0" w:firstLine="709"/>
        <w:jc w:val="both"/>
        <w:spacing w:line="276" w:lineRule="auto"/>
        <w:rPr>
          <w:rFonts w:ascii="Times New Roman" w:hAnsi="Times New Roman" w:eastAsia="Times New Roman"/>
          <w:color w:val="000000"/>
          <w:sz w:val="28"/>
          <w:szCs w:val="28"/>
          <w:lang w:val="ru-RU" w:eastAsia="ru-RU"/>
        </w:rPr>
      </w:pPr>
      <w:r>
        <w:rPr>
          <w:rFonts w:ascii="Times New Roman" w:hAnsi="Times New Roman" w:eastAsia="Times New Roman"/>
          <w:color w:val="000000"/>
          <w:sz w:val="28"/>
          <w:szCs w:val="28"/>
          <w:lang w:val="ru-RU" w:eastAsia="ru-RU"/>
        </w:rPr>
        <w:t xml:space="preserve">Ивановская региональная общественная организация защиты прав потребителей в сфере банковских и страховых услуг «ПАРТНЕР»;</w:t>
      </w:r>
      <w:r>
        <w:rPr>
          <w:rFonts w:ascii="Times New Roman" w:hAnsi="Times New Roman" w:eastAsia="Times New Roman"/>
          <w:color w:val="000000"/>
          <w:sz w:val="28"/>
          <w:szCs w:val="28"/>
          <w:lang w:val="ru-RU" w:eastAsia="ru-RU"/>
        </w:rPr>
      </w:r>
      <w:r>
        <w:rPr>
          <w:rFonts w:ascii="Times New Roman" w:hAnsi="Times New Roman" w:eastAsia="Times New Roman"/>
          <w:color w:val="000000"/>
          <w:sz w:val="28"/>
          <w:szCs w:val="28"/>
          <w:lang w:val="ru-RU" w:eastAsia="ru-RU"/>
        </w:rPr>
      </w:r>
    </w:p>
    <w:p>
      <w:pPr>
        <w:pStyle w:val="1227"/>
        <w:numPr>
          <w:ilvl w:val="0"/>
          <w:numId w:val="84"/>
        </w:numPr>
        <w:ind w:left="0" w:firstLine="709"/>
        <w:jc w:val="both"/>
        <w:spacing w:line="276" w:lineRule="auto"/>
        <w:rPr>
          <w:rFonts w:ascii="Times New Roman" w:hAnsi="Times New Roman" w:eastAsia="Times New Roman"/>
          <w:color w:val="000000"/>
          <w:sz w:val="28"/>
          <w:szCs w:val="28"/>
          <w:lang w:val="ru-RU" w:eastAsia="ru-RU"/>
        </w:rPr>
      </w:pPr>
      <w:r>
        <w:rPr>
          <w:rFonts w:ascii="Times New Roman" w:hAnsi="Times New Roman" w:eastAsia="Times New Roman"/>
          <w:color w:val="000000"/>
          <w:sz w:val="28"/>
          <w:szCs w:val="28"/>
          <w:lang w:val="ru-RU" w:eastAsia="ru-RU"/>
        </w:rPr>
        <w:t xml:space="preserve">Ивановская региональная общественная организация активных собственников жилья «ЖКХ-Контроль»;</w:t>
      </w:r>
      <w:r>
        <w:rPr>
          <w:rFonts w:ascii="Times New Roman" w:hAnsi="Times New Roman" w:eastAsia="Times New Roman"/>
          <w:color w:val="000000"/>
          <w:sz w:val="28"/>
          <w:szCs w:val="28"/>
          <w:lang w:val="ru-RU" w:eastAsia="ru-RU"/>
        </w:rPr>
      </w:r>
      <w:r>
        <w:rPr>
          <w:rFonts w:ascii="Times New Roman" w:hAnsi="Times New Roman" w:eastAsia="Times New Roman"/>
          <w:color w:val="000000"/>
          <w:sz w:val="28"/>
          <w:szCs w:val="28"/>
          <w:lang w:val="ru-RU" w:eastAsia="ru-RU"/>
        </w:rPr>
      </w:r>
    </w:p>
    <w:p>
      <w:pPr>
        <w:pStyle w:val="1227"/>
        <w:numPr>
          <w:ilvl w:val="0"/>
          <w:numId w:val="84"/>
        </w:numPr>
        <w:ind w:left="0" w:firstLine="709"/>
        <w:jc w:val="both"/>
        <w:spacing w:line="276" w:lineRule="auto"/>
        <w:rPr>
          <w:rFonts w:ascii="Times New Roman" w:hAnsi="Times New Roman" w:eastAsia="Times New Roman"/>
          <w:color w:val="000000"/>
          <w:sz w:val="28"/>
          <w:szCs w:val="28"/>
          <w:lang w:val="ru-RU" w:eastAsia="ru-RU"/>
        </w:rPr>
      </w:pPr>
      <w:r>
        <w:rPr>
          <w:rFonts w:ascii="Times New Roman" w:hAnsi="Times New Roman" w:eastAsia="Times New Roman"/>
          <w:color w:val="000000"/>
          <w:sz w:val="28"/>
          <w:szCs w:val="28"/>
          <w:lang w:val="ru-RU" w:eastAsia="ru-RU"/>
        </w:rPr>
        <w:t xml:space="preserve">Ивановская региональная общественная организация «Объединение по контролю в сфере государственных и муниципальных закупок «</w:t>
      </w:r>
      <w:r>
        <w:rPr>
          <w:rFonts w:ascii="Times New Roman" w:hAnsi="Times New Roman" w:eastAsia="Times New Roman"/>
          <w:color w:val="000000"/>
          <w:sz w:val="28"/>
          <w:szCs w:val="28"/>
          <w:lang w:val="ru-RU" w:eastAsia="ru-RU"/>
        </w:rPr>
        <w:t xml:space="preserve">Атропос</w:t>
      </w:r>
      <w:r>
        <w:rPr>
          <w:rFonts w:ascii="Times New Roman" w:hAnsi="Times New Roman" w:eastAsia="Times New Roman"/>
          <w:color w:val="000000"/>
          <w:sz w:val="28"/>
          <w:szCs w:val="28"/>
          <w:lang w:val="ru-RU" w:eastAsia="ru-RU"/>
        </w:rPr>
        <w:t xml:space="preserve">»; </w:t>
      </w:r>
      <w:r>
        <w:rPr>
          <w:rFonts w:ascii="Times New Roman" w:hAnsi="Times New Roman" w:eastAsia="Times New Roman"/>
          <w:color w:val="000000"/>
          <w:sz w:val="28"/>
          <w:szCs w:val="28"/>
          <w:lang w:val="ru-RU" w:eastAsia="ru-RU"/>
        </w:rPr>
      </w:r>
      <w:r>
        <w:rPr>
          <w:rFonts w:ascii="Times New Roman" w:hAnsi="Times New Roman" w:eastAsia="Times New Roman"/>
          <w:color w:val="000000"/>
          <w:sz w:val="28"/>
          <w:szCs w:val="28"/>
          <w:lang w:val="ru-RU" w:eastAsia="ru-RU"/>
        </w:rPr>
      </w:r>
    </w:p>
    <w:p>
      <w:pPr>
        <w:pStyle w:val="1227"/>
        <w:numPr>
          <w:ilvl w:val="0"/>
          <w:numId w:val="84"/>
        </w:numPr>
        <w:ind w:left="0" w:firstLine="709"/>
        <w:jc w:val="both"/>
        <w:spacing w:line="276" w:lineRule="auto"/>
        <w:rPr>
          <w:rFonts w:ascii="Times New Roman" w:hAnsi="Times New Roman" w:eastAsia="Times New Roman"/>
          <w:color w:val="000000"/>
          <w:sz w:val="28"/>
          <w:szCs w:val="28"/>
          <w:lang w:val="ru-RU" w:eastAsia="ru-RU"/>
        </w:rPr>
      </w:pPr>
      <w:r>
        <w:rPr>
          <w:rFonts w:ascii="Times New Roman" w:hAnsi="Times New Roman" w:eastAsia="Times New Roman"/>
          <w:color w:val="000000"/>
          <w:sz w:val="28"/>
          <w:szCs w:val="28"/>
          <w:lang w:val="ru-RU" w:eastAsia="ru-RU"/>
        </w:rPr>
        <w:t xml:space="preserve">Ивановская региональная общественная организация защиты прав потребителей «Союз потребителей Ивановской области»; </w:t>
      </w:r>
      <w:r>
        <w:rPr>
          <w:rFonts w:ascii="Times New Roman" w:hAnsi="Times New Roman" w:eastAsia="Times New Roman"/>
          <w:color w:val="000000"/>
          <w:sz w:val="28"/>
          <w:szCs w:val="28"/>
          <w:lang w:val="ru-RU" w:eastAsia="ru-RU"/>
        </w:rPr>
      </w:r>
      <w:r>
        <w:rPr>
          <w:rFonts w:ascii="Times New Roman" w:hAnsi="Times New Roman" w:eastAsia="Times New Roman"/>
          <w:color w:val="000000"/>
          <w:sz w:val="28"/>
          <w:szCs w:val="28"/>
          <w:lang w:val="ru-RU" w:eastAsia="ru-RU"/>
        </w:rPr>
      </w:r>
    </w:p>
    <w:p>
      <w:pPr>
        <w:pStyle w:val="1227"/>
        <w:numPr>
          <w:ilvl w:val="0"/>
          <w:numId w:val="84"/>
        </w:numPr>
        <w:ind w:left="0" w:firstLine="709"/>
        <w:jc w:val="both"/>
        <w:spacing w:line="276" w:lineRule="auto"/>
        <w:rPr>
          <w:rFonts w:ascii="Times New Roman" w:hAnsi="Times New Roman" w:eastAsia="Times New Roman"/>
          <w:color w:val="000000"/>
          <w:sz w:val="28"/>
          <w:szCs w:val="28"/>
          <w:lang w:val="ru-RU" w:eastAsia="ru-RU"/>
        </w:rPr>
      </w:pPr>
      <w:r>
        <w:rPr>
          <w:rFonts w:ascii="Times New Roman" w:hAnsi="Times New Roman" w:eastAsia="Times New Roman"/>
          <w:color w:val="000000"/>
          <w:sz w:val="28"/>
          <w:szCs w:val="28"/>
          <w:lang w:val="ru-RU" w:eastAsia="ru-RU"/>
        </w:rPr>
        <w:t xml:space="preserve">Общественное правозащитное движение </w:t>
      </w:r>
      <w:r>
        <w:rPr>
          <w:rFonts w:ascii="Times New Roman" w:hAnsi="Times New Roman" w:eastAsia="Times New Roman"/>
          <w:color w:val="000000"/>
          <w:sz w:val="28"/>
          <w:szCs w:val="28"/>
          <w:lang w:val="ru-RU" w:eastAsia="ru-RU"/>
        </w:rPr>
        <w:t xml:space="preserve">Наволокского</w:t>
      </w:r>
      <w:r>
        <w:rPr>
          <w:rFonts w:ascii="Times New Roman" w:hAnsi="Times New Roman" w:eastAsia="Times New Roman"/>
          <w:color w:val="000000"/>
          <w:sz w:val="28"/>
          <w:szCs w:val="28"/>
          <w:lang w:val="ru-RU" w:eastAsia="ru-RU"/>
        </w:rPr>
        <w:t xml:space="preserve"> городского поселения Кинешемского муниципального района Ивановской области «За </w:t>
      </w:r>
      <w:r>
        <w:rPr>
          <w:rFonts w:ascii="Times New Roman" w:hAnsi="Times New Roman" w:eastAsia="Times New Roman"/>
          <w:color w:val="000000"/>
          <w:sz w:val="28"/>
          <w:szCs w:val="28"/>
          <w:lang w:val="ru-RU" w:eastAsia="ru-RU"/>
        </w:rPr>
        <w:t xml:space="preserve">Наволокский</w:t>
      </w:r>
      <w:r>
        <w:rPr>
          <w:rFonts w:ascii="Times New Roman" w:hAnsi="Times New Roman" w:eastAsia="Times New Roman"/>
          <w:color w:val="000000"/>
          <w:sz w:val="28"/>
          <w:szCs w:val="28"/>
          <w:lang w:val="ru-RU" w:eastAsia="ru-RU"/>
        </w:rPr>
        <w:t xml:space="preserve"> край»;</w:t>
      </w:r>
      <w:r>
        <w:rPr>
          <w:rFonts w:ascii="Times New Roman" w:hAnsi="Times New Roman" w:eastAsia="Times New Roman"/>
          <w:color w:val="000000"/>
          <w:sz w:val="28"/>
          <w:szCs w:val="28"/>
          <w:lang w:val="ru-RU" w:eastAsia="ru-RU"/>
        </w:rPr>
      </w:r>
      <w:r>
        <w:rPr>
          <w:rFonts w:ascii="Times New Roman" w:hAnsi="Times New Roman" w:eastAsia="Times New Roman"/>
          <w:color w:val="000000"/>
          <w:sz w:val="28"/>
          <w:szCs w:val="28"/>
          <w:lang w:val="ru-RU" w:eastAsia="ru-RU"/>
        </w:rPr>
      </w:r>
    </w:p>
    <w:p>
      <w:pPr>
        <w:pStyle w:val="1227"/>
        <w:numPr>
          <w:ilvl w:val="0"/>
          <w:numId w:val="84"/>
        </w:numPr>
        <w:ind w:left="0" w:firstLine="709"/>
        <w:jc w:val="both"/>
        <w:spacing w:line="276" w:lineRule="auto"/>
        <w:rPr>
          <w:rFonts w:ascii="Times New Roman" w:hAnsi="Times New Roman" w:eastAsia="Times New Roman"/>
          <w:color w:val="000000"/>
          <w:sz w:val="28"/>
          <w:szCs w:val="28"/>
          <w:lang w:val="ru-RU" w:eastAsia="ru-RU"/>
        </w:rPr>
      </w:pPr>
      <w:r>
        <w:rPr>
          <w:rFonts w:ascii="Times New Roman" w:hAnsi="Times New Roman" w:eastAsia="Times New Roman"/>
          <w:color w:val="000000"/>
          <w:sz w:val="28"/>
          <w:szCs w:val="28"/>
          <w:lang w:val="ru-RU" w:eastAsia="ru-RU"/>
        </w:rPr>
        <w:t xml:space="preserve">Ивановское региональное отделение Общероссийской общественной организации «Общенациональный правозащитный союз «Человек и Закон»;</w:t>
      </w:r>
      <w:r>
        <w:rPr>
          <w:rFonts w:ascii="Times New Roman" w:hAnsi="Times New Roman" w:eastAsia="Times New Roman"/>
          <w:color w:val="000000"/>
          <w:sz w:val="28"/>
          <w:szCs w:val="28"/>
          <w:lang w:val="ru-RU" w:eastAsia="ru-RU"/>
        </w:rPr>
      </w:r>
      <w:r>
        <w:rPr>
          <w:rFonts w:ascii="Times New Roman" w:hAnsi="Times New Roman" w:eastAsia="Times New Roman"/>
          <w:color w:val="000000"/>
          <w:sz w:val="28"/>
          <w:szCs w:val="28"/>
          <w:lang w:val="ru-RU" w:eastAsia="ru-RU"/>
        </w:rPr>
      </w:r>
    </w:p>
    <w:p>
      <w:pPr>
        <w:pStyle w:val="1227"/>
        <w:numPr>
          <w:ilvl w:val="0"/>
          <w:numId w:val="84"/>
        </w:numPr>
        <w:ind w:left="0" w:firstLine="709"/>
        <w:jc w:val="both"/>
        <w:spacing w:line="276" w:lineRule="auto"/>
        <w:rPr>
          <w:rFonts w:ascii="Times New Roman" w:hAnsi="Times New Roman" w:eastAsia="Times New Roman"/>
          <w:color w:val="000000"/>
          <w:sz w:val="28"/>
          <w:szCs w:val="28"/>
          <w:lang w:val="ru-RU" w:eastAsia="ru-RU"/>
        </w:rPr>
      </w:pPr>
      <w:r>
        <w:rPr>
          <w:rFonts w:ascii="Times New Roman" w:hAnsi="Times New Roman" w:eastAsia="Times New Roman"/>
          <w:color w:val="000000"/>
          <w:sz w:val="28"/>
          <w:szCs w:val="28"/>
          <w:lang w:val="ru-RU" w:eastAsia="ru-RU"/>
        </w:rPr>
        <w:t xml:space="preserve">Региональное отделение Общероссийского общественного движения в защиту прав и интересов потребителей «Объединение потребителей России» в Ивановской области;</w:t>
      </w:r>
      <w:r>
        <w:rPr>
          <w:rFonts w:ascii="Times New Roman" w:hAnsi="Times New Roman" w:eastAsia="Times New Roman"/>
          <w:color w:val="000000"/>
          <w:sz w:val="28"/>
          <w:szCs w:val="28"/>
          <w:lang w:val="ru-RU" w:eastAsia="ru-RU"/>
        </w:rPr>
      </w:r>
      <w:r>
        <w:rPr>
          <w:rFonts w:ascii="Times New Roman" w:hAnsi="Times New Roman" w:eastAsia="Times New Roman"/>
          <w:color w:val="000000"/>
          <w:sz w:val="28"/>
          <w:szCs w:val="28"/>
          <w:lang w:val="ru-RU" w:eastAsia="ru-RU"/>
        </w:rPr>
      </w:r>
    </w:p>
    <w:p>
      <w:pPr>
        <w:pStyle w:val="1227"/>
        <w:numPr>
          <w:ilvl w:val="0"/>
          <w:numId w:val="84"/>
        </w:numPr>
        <w:ind w:left="0" w:firstLine="709"/>
        <w:jc w:val="both"/>
        <w:spacing w:line="276" w:lineRule="auto"/>
        <w:rPr>
          <w:rFonts w:ascii="Times New Roman" w:hAnsi="Times New Roman" w:eastAsia="Times New Roman"/>
          <w:color w:val="000000"/>
          <w:sz w:val="28"/>
          <w:szCs w:val="28"/>
          <w:lang w:val="ru-RU" w:eastAsia="ru-RU"/>
        </w:rPr>
      </w:pPr>
      <w:r>
        <w:rPr>
          <w:rFonts w:ascii="Times New Roman" w:hAnsi="Times New Roman" w:eastAsia="Times New Roman"/>
          <w:color w:val="000000"/>
          <w:sz w:val="28"/>
          <w:szCs w:val="28"/>
          <w:lang w:val="ru-RU" w:eastAsia="ru-RU"/>
        </w:rPr>
        <w:t xml:space="preserve">Региональное отделение Общероссийской общественной организации «Всероссийский комитет по разрешению экономических конфликтов и защите прав граждан» по Ивановской области;</w:t>
      </w:r>
      <w:r>
        <w:rPr>
          <w:rFonts w:ascii="Times New Roman" w:hAnsi="Times New Roman" w:eastAsia="Times New Roman"/>
          <w:color w:val="000000"/>
          <w:sz w:val="28"/>
          <w:szCs w:val="28"/>
          <w:lang w:val="ru-RU" w:eastAsia="ru-RU"/>
        </w:rPr>
      </w:r>
      <w:r>
        <w:rPr>
          <w:rFonts w:ascii="Times New Roman" w:hAnsi="Times New Roman" w:eastAsia="Times New Roman"/>
          <w:color w:val="000000"/>
          <w:sz w:val="28"/>
          <w:szCs w:val="28"/>
          <w:lang w:val="ru-RU" w:eastAsia="ru-RU"/>
        </w:rPr>
      </w:r>
    </w:p>
    <w:p>
      <w:pPr>
        <w:pStyle w:val="1227"/>
        <w:numPr>
          <w:ilvl w:val="0"/>
          <w:numId w:val="84"/>
        </w:numPr>
        <w:ind w:left="0" w:firstLine="709"/>
        <w:jc w:val="both"/>
        <w:spacing w:line="276" w:lineRule="auto"/>
        <w:rPr>
          <w:rFonts w:ascii="Times New Roman" w:hAnsi="Times New Roman" w:eastAsia="Times New Roman"/>
          <w:color w:val="000000"/>
          <w:sz w:val="28"/>
          <w:szCs w:val="28"/>
          <w:lang w:val="ru-RU" w:eastAsia="ru-RU"/>
        </w:rPr>
      </w:pPr>
      <w:r>
        <w:rPr>
          <w:rFonts w:ascii="Times New Roman" w:hAnsi="Times New Roman" w:eastAsia="Times New Roman"/>
          <w:color w:val="000000"/>
          <w:sz w:val="28"/>
          <w:szCs w:val="28"/>
          <w:lang w:val="ru-RU" w:eastAsia="ru-RU"/>
        </w:rPr>
        <w:t xml:space="preserve">Ивановская региональная общественная организация «Общество защиты прав потребителей - собственников недвижимости».</w:t>
      </w:r>
      <w:r>
        <w:rPr>
          <w:rFonts w:ascii="Times New Roman" w:hAnsi="Times New Roman" w:eastAsia="Times New Roman"/>
          <w:color w:val="000000"/>
          <w:sz w:val="28"/>
          <w:szCs w:val="28"/>
          <w:lang w:val="ru-RU" w:eastAsia="ru-RU"/>
        </w:rPr>
      </w:r>
      <w:r>
        <w:rPr>
          <w:rFonts w:ascii="Times New Roman" w:hAnsi="Times New Roman" w:eastAsia="Times New Roman"/>
          <w:color w:val="000000"/>
          <w:sz w:val="28"/>
          <w:szCs w:val="28"/>
          <w:lang w:val="ru-RU" w:eastAsia="ru-RU"/>
        </w:rPr>
      </w:r>
    </w:p>
    <w:p>
      <w:pPr>
        <w:ind w:firstLine="709"/>
        <w:jc w:val="both"/>
        <w:spacing w:after="0"/>
        <w:shd w:val="clear" w:color="ffffff" w:fill="ffffff"/>
        <w:rPr>
          <w:rFonts w:ascii="Times New Roman" w:hAnsi="Times New Roman" w:eastAsia="Liberation Sans"/>
          <w:color w:val="ff0000"/>
          <w:sz w:val="28"/>
          <w:szCs w:val="28"/>
          <w:highlight w:val="white"/>
        </w:rPr>
        <w:pBdr>
          <w:top w:val="none" w:color="000000" w:sz="4" w:space="0"/>
          <w:left w:val="none" w:color="000000" w:sz="4" w:space="0"/>
          <w:bottom w:val="none" w:color="000000" w:sz="4" w:space="0"/>
          <w:right w:val="none" w:color="000000" w:sz="4" w:space="0"/>
        </w:pBdr>
      </w:pPr>
      <w:r>
        <w:rPr>
          <w:rFonts w:ascii="Times New Roman" w:hAnsi="Times New Roman" w:eastAsia="Liberation Sans"/>
          <w:sz w:val="28"/>
          <w:szCs w:val="28"/>
          <w:highlight w:val="white"/>
        </w:rPr>
        <w:t xml:space="preserve">  Правозащитник отмечает актуальность принятия</w:t>
      </w:r>
      <w:r>
        <w:rPr>
          <w:rFonts w:ascii="Times New Roman" w:hAnsi="Times New Roman" w:eastAsia="Liberation Sans"/>
          <w:sz w:val="28"/>
          <w:szCs w:val="28"/>
          <w:highlight w:val="white"/>
        </w:rPr>
        <w:t xml:space="preserve"> федерального законопроекта о господдержке социально ориентированных НКО. </w:t>
      </w:r>
      <w:r>
        <w:rPr>
          <w:rFonts w:ascii="Times New Roman" w:hAnsi="Times New Roman" w:eastAsia="Liberation Sans"/>
          <w:sz w:val="28"/>
          <w:szCs w:val="28"/>
          <w:highlight w:val="white"/>
        </w:rPr>
        <w:t xml:space="preserve">Данный документ разработан для приведения регионального законодательства в соответствие с федеральным законом № 7-ФЗ «О некоммерческих организациях».</w:t>
      </w:r>
      <w:r>
        <w:rPr>
          <w:rFonts w:ascii="Times New Roman" w:hAnsi="Times New Roman" w:eastAsia="Liberation Sans"/>
          <w:color w:val="ff0000"/>
          <w:sz w:val="28"/>
          <w:szCs w:val="28"/>
          <w:highlight w:val="white"/>
        </w:rPr>
      </w:r>
      <w:r>
        <w:rPr>
          <w:rFonts w:ascii="Times New Roman" w:hAnsi="Times New Roman" w:eastAsia="Liberation Sans"/>
          <w:color w:val="ff0000"/>
          <w:sz w:val="28"/>
          <w:szCs w:val="28"/>
          <w:highlight w:val="white"/>
        </w:rPr>
      </w:r>
    </w:p>
    <w:p>
      <w:pPr>
        <w:ind w:firstLine="709"/>
        <w:jc w:val="both"/>
        <w:spacing w:after="0"/>
        <w:shd w:val="clear" w:color="ffffff" w:fill="ffffff"/>
        <w:rPr>
          <w:rFonts w:ascii="Times New Roman" w:hAnsi="Times New Roman" w:eastAsia="Liberation Sans"/>
          <w:sz w:val="28"/>
          <w:szCs w:val="28"/>
          <w:highlight w:val="white"/>
        </w:rPr>
        <w:pBdr>
          <w:top w:val="none" w:color="000000" w:sz="4" w:space="0"/>
          <w:left w:val="none" w:color="000000" w:sz="4" w:space="0"/>
          <w:bottom w:val="none" w:color="000000" w:sz="4" w:space="0"/>
          <w:right w:val="none" w:color="000000" w:sz="4" w:space="0"/>
        </w:pBdr>
      </w:pPr>
      <w:r>
        <w:rPr>
          <w:rFonts w:ascii="Times New Roman" w:hAnsi="Times New Roman" w:eastAsia="Liberation Sans"/>
          <w:sz w:val="28"/>
          <w:szCs w:val="28"/>
          <w:highlight w:val="white"/>
        </w:rPr>
        <w:t xml:space="preserve">Законопроект расширяет  перечень видов деятельности СО НКО, которым оказывается господдержка. В него включены социальная реабилитация, психологическая помощь и </w:t>
      </w:r>
      <w:r>
        <w:rPr>
          <w:rFonts w:ascii="Times New Roman" w:hAnsi="Times New Roman" w:eastAsia="Liberation Sans"/>
          <w:sz w:val="28"/>
          <w:szCs w:val="28"/>
          <w:highlight w:val="white"/>
        </w:rPr>
        <w:t xml:space="preserve">профпереподготовка</w:t>
      </w:r>
      <w:r>
        <w:rPr>
          <w:rFonts w:ascii="Times New Roman" w:hAnsi="Times New Roman" w:eastAsia="Liberation Sans"/>
          <w:sz w:val="28"/>
          <w:szCs w:val="28"/>
          <w:highlight w:val="white"/>
        </w:rPr>
        <w:t xml:space="preserve"> ветеранов боевых действий, поддержка членов их семей и семей погибших защитников. </w:t>
      </w:r>
      <w:r>
        <w:rPr>
          <w:rFonts w:ascii="Times New Roman" w:hAnsi="Times New Roman" w:eastAsia="Liberation Sans"/>
          <w:sz w:val="28"/>
          <w:szCs w:val="28"/>
          <w:highlight w:val="white"/>
        </w:rPr>
      </w:r>
      <w:r>
        <w:rPr>
          <w:rFonts w:ascii="Times New Roman" w:hAnsi="Times New Roman" w:eastAsia="Liberation Sans"/>
          <w:sz w:val="28"/>
          <w:szCs w:val="28"/>
          <w:highlight w:val="white"/>
        </w:rPr>
      </w:r>
    </w:p>
    <w:p>
      <w:pPr>
        <w:ind w:firstLine="709"/>
        <w:jc w:val="both"/>
        <w:spacing w:after="0"/>
        <w:shd w:val="clear" w:color="ffffff" w:fill="ffffff"/>
        <w:rPr>
          <w:rFonts w:ascii="Times New Roman" w:hAnsi="Times New Roman" w:eastAsia="Liberation Sans"/>
          <w:b/>
          <w:bCs/>
          <w:sz w:val="28"/>
          <w:szCs w:val="28"/>
        </w:rPr>
        <w:pBdr>
          <w:top w:val="none" w:color="000000" w:sz="4" w:space="0"/>
          <w:left w:val="none" w:color="000000" w:sz="4" w:space="0"/>
          <w:bottom w:val="none" w:color="000000" w:sz="4" w:space="0"/>
          <w:right w:val="none" w:color="000000" w:sz="4" w:space="0"/>
        </w:pBdr>
      </w:pPr>
      <w:r>
        <w:rPr>
          <w:rFonts w:ascii="Times New Roman" w:hAnsi="Times New Roman" w:eastAsia="Liberation Sans"/>
          <w:sz w:val="28"/>
          <w:szCs w:val="28"/>
          <w:highlight w:val="white"/>
        </w:rPr>
        <w:t xml:space="preserve">Также добавлена деятельность по поисковым работам для устано</w:t>
      </w:r>
      <w:r>
        <w:rPr>
          <w:rFonts w:ascii="Times New Roman" w:hAnsi="Times New Roman" w:eastAsia="Liberation Sans"/>
          <w:sz w:val="28"/>
          <w:szCs w:val="28"/>
          <w:highlight w:val="white"/>
        </w:rPr>
        <w:t xml:space="preserve">вления имен жертв геноцида в годы Великой Отечественной войны. Принятие столь важного закона расширит меры поддержки НКО, работающих в этих сферах, и будет способствовать укреплению системы помощи ветеранам и сохранению права на защиту исторической памяти.</w:t>
      </w:r>
      <w:r>
        <w:rPr>
          <w:rFonts w:ascii="Times New Roman" w:hAnsi="Times New Roman" w:eastAsia="Liberation Sans"/>
          <w:b/>
          <w:bCs/>
          <w:sz w:val="28"/>
          <w:szCs w:val="28"/>
        </w:rPr>
      </w:r>
      <w:r>
        <w:rPr>
          <w:rFonts w:ascii="Times New Roman" w:hAnsi="Times New Roman" w:eastAsia="Liberation Sans"/>
          <w:b/>
          <w:bCs/>
          <w:sz w:val="28"/>
          <w:szCs w:val="28"/>
        </w:rPr>
      </w:r>
    </w:p>
    <w:p>
      <w:pPr>
        <w:ind w:firstLine="708"/>
        <w:jc w:val="both"/>
        <w:spacing w:after="0"/>
        <w:shd w:val="clear" w:color="ffffff" w:fill="ffffff"/>
        <w:rPr>
          <w:rFonts w:ascii="Times New Roman" w:hAnsi="Times New Roman"/>
          <w:sz w:val="28"/>
          <w:szCs w:val="28"/>
        </w:rPr>
        <w:pBdr>
          <w:top w:val="none" w:color="000000" w:sz="4" w:space="0"/>
          <w:left w:val="none" w:color="000000" w:sz="4" w:space="0"/>
          <w:bottom w:val="none" w:color="000000" w:sz="4" w:space="0"/>
          <w:right w:val="none" w:color="000000" w:sz="4" w:space="7"/>
        </w:pBdr>
      </w:pPr>
      <w:r>
        <w:rPr>
          <w:rFonts w:ascii="Times New Roman" w:hAnsi="Times New Roman"/>
          <w:b/>
          <w:sz w:val="28"/>
          <w:szCs w:val="28"/>
        </w:rPr>
        <w:t xml:space="preserve">Сотрудничество в сфере прав человека с вузовским сообществом </w:t>
      </w:r>
      <w:r>
        <w:rPr>
          <w:rFonts w:ascii="Times New Roman" w:hAnsi="Times New Roman"/>
          <w:sz w:val="28"/>
          <w:szCs w:val="28"/>
          <w:shd w:val="clear" w:color="auto" w:fill="ffffff"/>
        </w:rPr>
        <w:t xml:space="preserve">предполагает взаимодействие Уполномоченного с образовательными учреждениями, организацию совместных проектов и мероприятий, а также поддержку правовых знаний студентов. </w:t>
      </w:r>
      <w:r>
        <w:rPr>
          <w:rFonts w:ascii="Times New Roman" w:hAnsi="Times New Roman"/>
          <w:sz w:val="28"/>
          <w:szCs w:val="28"/>
        </w:rPr>
      </w:r>
      <w:r>
        <w:rPr>
          <w:rFonts w:ascii="Times New Roman" w:hAnsi="Times New Roman"/>
          <w:sz w:val="28"/>
          <w:szCs w:val="28"/>
        </w:rPr>
      </w:r>
    </w:p>
    <w:p>
      <w:pPr>
        <w:ind w:firstLine="708"/>
        <w:jc w:val="both"/>
        <w:spacing w:after="0"/>
        <w:shd w:val="clear" w:color="ffffff" w:fill="ffffff"/>
        <w:rPr>
          <w:rFonts w:ascii="Times New Roman" w:hAnsi="Times New Roman" w:eastAsia="Times New Roman"/>
          <w:color w:val="000000"/>
          <w:sz w:val="28"/>
          <w:szCs w:val="28"/>
        </w:rPr>
        <w:pBdr>
          <w:top w:val="none" w:color="000000" w:sz="4" w:space="0"/>
          <w:left w:val="none" w:color="000000" w:sz="4" w:space="0"/>
          <w:bottom w:val="none" w:color="000000" w:sz="4" w:space="0"/>
          <w:right w:val="none" w:color="000000" w:sz="4" w:space="0"/>
        </w:pBdr>
      </w:pPr>
      <w:r>
        <w:rPr>
          <w:rFonts w:ascii="Times New Roman" w:hAnsi="Times New Roman" w:eastAsia="Times New Roman"/>
          <w:color w:val="000000"/>
          <w:sz w:val="28"/>
          <w:szCs w:val="28"/>
        </w:rPr>
        <w:t xml:space="preserve">Необходимо отметить, что понимание общих проблем, расширение форм и методов получения образования, развитие института наставничества и социального партнерства помогают в решении поставленных задач, повышении престижа профессии </w:t>
      </w:r>
      <w:r>
        <w:rPr>
          <w:rFonts w:ascii="Times New Roman" w:hAnsi="Times New Roman" w:eastAsia="Times New Roman"/>
          <w:sz w:val="28"/>
          <w:szCs w:val="28"/>
        </w:rPr>
        <w:t xml:space="preserve">«Учитель»</w:t>
      </w:r>
      <w:r>
        <w:rPr>
          <w:rFonts w:ascii="Times New Roman" w:hAnsi="Times New Roman" w:eastAsia="Times New Roman"/>
          <w:color w:val="000000"/>
          <w:sz w:val="28"/>
          <w:szCs w:val="28"/>
        </w:rPr>
        <w:t xml:space="preserve"> и других востребованных специальностей для нашего региона.</w:t>
      </w:r>
      <w:r>
        <w:rPr>
          <w:rFonts w:ascii="Times New Roman" w:hAnsi="Times New Roman" w:eastAsia="Times New Roman"/>
          <w:color w:val="000000"/>
          <w:sz w:val="28"/>
          <w:szCs w:val="28"/>
        </w:rPr>
      </w:r>
      <w:r>
        <w:rPr>
          <w:rFonts w:ascii="Times New Roman" w:hAnsi="Times New Roman" w:eastAsia="Times New Roman"/>
          <w:color w:val="000000"/>
          <w:sz w:val="28"/>
          <w:szCs w:val="28"/>
        </w:rPr>
      </w:r>
    </w:p>
    <w:p>
      <w:pPr>
        <w:ind w:firstLine="708"/>
        <w:jc w:val="both"/>
        <w:spacing w:after="0"/>
        <w:shd w:val="clear" w:color="ffffff" w:fill="ffffff"/>
        <w:rPr>
          <w:rFonts w:ascii="Times New Roman" w:hAnsi="Times New Roman"/>
          <w:sz w:val="28"/>
          <w:szCs w:val="28"/>
        </w:rPr>
        <w:pBdr>
          <w:top w:val="none" w:color="000000" w:sz="4" w:space="0"/>
          <w:left w:val="none" w:color="000000" w:sz="4" w:space="0"/>
          <w:bottom w:val="none" w:color="000000" w:sz="4" w:space="0"/>
          <w:right w:val="none" w:color="000000" w:sz="4" w:space="0"/>
        </w:pBdr>
      </w:pPr>
      <w:r>
        <w:rPr>
          <w:rFonts w:ascii="Times New Roman" w:hAnsi="Times New Roman" w:eastAsia="Times New Roman"/>
          <w:color w:val="000000"/>
          <w:sz w:val="28"/>
          <w:szCs w:val="28"/>
        </w:rPr>
        <w:t xml:space="preserve">Научное сообщество, органы власти, представители бизнеса, правозащитники, преподаватели и студенты регулярно встречаются по обмену опытом и идеями для решения научных и практических задач по актуальным вопросам современной жизни. </w:t>
      </w:r>
      <w:r>
        <w:rPr>
          <w:rFonts w:ascii="Times New Roman" w:hAnsi="Times New Roman"/>
          <w:sz w:val="28"/>
          <w:szCs w:val="28"/>
        </w:rPr>
      </w:r>
      <w:r>
        <w:rPr>
          <w:rFonts w:ascii="Times New Roman" w:hAnsi="Times New Roman"/>
          <w:sz w:val="28"/>
          <w:szCs w:val="28"/>
        </w:rPr>
      </w:r>
    </w:p>
    <w:p>
      <w:pPr>
        <w:ind w:firstLine="708"/>
        <w:jc w:val="both"/>
        <w:spacing w:after="0"/>
        <w:shd w:val="clear" w:color="ffffff" w:fill="ffffff"/>
        <w:rPr>
          <w:rFonts w:ascii="Times New Roman" w:hAnsi="Times New Roman"/>
          <w:sz w:val="28"/>
          <w:szCs w:val="28"/>
        </w:rPr>
        <w:pBdr>
          <w:top w:val="none" w:color="000000" w:sz="4" w:space="0"/>
          <w:left w:val="none" w:color="000000" w:sz="4" w:space="0"/>
          <w:bottom w:val="none" w:color="000000" w:sz="4" w:space="0"/>
          <w:right w:val="none" w:color="000000" w:sz="4" w:space="7"/>
        </w:pBdr>
      </w:pPr>
      <w:r>
        <w:rPr>
          <w:rFonts w:ascii="Times New Roman" w:hAnsi="Times New Roman"/>
          <w:sz w:val="28"/>
          <w:szCs w:val="28"/>
        </w:rPr>
        <w:t xml:space="preserve">В течение года Уполномоченный по приглашению руководства органов власти и учебных организаций принимала участие в качестве почетного гостя в следующих мероприятиях:</w:t>
      </w:r>
      <w:r>
        <w:rPr>
          <w:rFonts w:ascii="Times New Roman" w:hAnsi="Times New Roman"/>
          <w:sz w:val="28"/>
          <w:szCs w:val="28"/>
        </w:rPr>
      </w:r>
      <w:r>
        <w:rPr>
          <w:rFonts w:ascii="Times New Roman" w:hAnsi="Times New Roman"/>
          <w:sz w:val="28"/>
          <w:szCs w:val="28"/>
        </w:rPr>
      </w:r>
    </w:p>
    <w:p>
      <w:pPr>
        <w:pStyle w:val="1227"/>
        <w:numPr>
          <w:ilvl w:val="0"/>
          <w:numId w:val="82"/>
        </w:numPr>
        <w:ind w:left="0" w:firstLine="709"/>
        <w:jc w:val="both"/>
        <w:spacing w:line="276" w:lineRule="auto"/>
        <w:shd w:val="clear" w:color="ffffff" w:fill="ffffff"/>
        <w:rPr>
          <w:rFonts w:ascii="Times New Roman" w:hAnsi="Times New Roman"/>
          <w:sz w:val="28"/>
          <w:szCs w:val="28"/>
          <w:lang w:val="ru-RU"/>
        </w:rPr>
        <w:pBdr>
          <w:top w:val="none" w:color="000000" w:sz="4" w:space="0"/>
          <w:left w:val="none" w:color="000000" w:sz="4" w:space="0"/>
          <w:bottom w:val="none" w:color="000000" w:sz="4" w:space="0"/>
          <w:right w:val="none" w:color="000000" w:sz="4" w:space="7"/>
        </w:pBdr>
      </w:pPr>
      <w:r>
        <w:rPr>
          <w:rFonts w:ascii="Times New Roman" w:hAnsi="Times New Roman" w:eastAsia="Times New Roman"/>
          <w:b/>
          <w:color w:val="000000"/>
          <w:sz w:val="28"/>
          <w:szCs w:val="28"/>
          <w:lang w:val="ru-RU"/>
        </w:rPr>
        <w:t xml:space="preserve">в Международной научно - практической конференции «Качество жизни: архитектура, строительство, транспорт, образование»</w:t>
      </w:r>
      <w:r>
        <w:rPr>
          <w:rFonts w:ascii="Times New Roman" w:hAnsi="Times New Roman" w:eastAsia="Times New Roman"/>
          <w:color w:val="000000"/>
          <w:sz w:val="28"/>
          <w:szCs w:val="28"/>
          <w:lang w:val="ru-RU"/>
        </w:rPr>
        <w:t xml:space="preserve">, проводимой Ивановским государственным политехническим университетом.</w:t>
      </w:r>
      <w:r>
        <w:rPr>
          <w:rFonts w:ascii="Times New Roman" w:hAnsi="Times New Roman" w:eastAsia="Times New Roman"/>
          <w:color w:val="000000"/>
          <w:sz w:val="28"/>
          <w:szCs w:val="28"/>
          <w:lang w:val="ru-RU"/>
        </w:rPr>
        <w:br/>
        <w:t xml:space="preserve">Данная конференция - это не только для студентов и аспирантов, преподавательского состава. Это площадка для появления современных научных идей, проектной деятельности, приумножения в целом </w:t>
      </w:r>
      <w:r>
        <w:rPr>
          <w:rFonts w:ascii="Times New Roman" w:hAnsi="Times New Roman" w:eastAsia="Times New Roman"/>
          <w:color w:val="000000"/>
          <w:sz w:val="28"/>
          <w:szCs w:val="28"/>
          <w:lang w:val="ru-RU"/>
        </w:rPr>
        <w:t xml:space="preserve">отечественных открытий, возможность для неравнодушных жителей высказать свою точку зрения, направить рекомендации в органы власти.</w:t>
      </w:r>
      <w:r>
        <w:rPr>
          <w:rFonts w:ascii="Times New Roman" w:hAnsi="Times New Roman"/>
          <w:sz w:val="28"/>
          <w:szCs w:val="28"/>
          <w:lang w:val="ru-RU"/>
        </w:rPr>
      </w:r>
      <w:r>
        <w:rPr>
          <w:rFonts w:ascii="Times New Roman" w:hAnsi="Times New Roman"/>
          <w:sz w:val="28"/>
          <w:szCs w:val="28"/>
          <w:lang w:val="ru-RU"/>
        </w:rPr>
      </w:r>
    </w:p>
    <w:p>
      <w:pPr>
        <w:ind w:firstLine="708"/>
        <w:jc w:val="both"/>
        <w:spacing w:after="0"/>
        <w:shd w:val="clear" w:color="ffffff" w:fill="ffffff"/>
        <w:rPr>
          <w:rFonts w:ascii="Times New Roman" w:hAnsi="Times New Roman"/>
          <w:sz w:val="28"/>
          <w:szCs w:val="28"/>
        </w:rPr>
        <w:pBdr>
          <w:top w:val="none" w:color="000000" w:sz="4" w:space="0"/>
          <w:left w:val="none" w:color="000000" w:sz="4" w:space="0"/>
          <w:bottom w:val="none" w:color="000000" w:sz="4" w:space="0"/>
          <w:right w:val="none" w:color="000000" w:sz="4" w:space="0"/>
        </w:pBdr>
      </w:pPr>
      <w:r>
        <w:rPr>
          <w:rFonts w:ascii="Times New Roman" w:hAnsi="Times New Roman" w:eastAsia="Times New Roman"/>
          <w:color w:val="000000"/>
          <w:sz w:val="28"/>
          <w:szCs w:val="28"/>
        </w:rPr>
        <w:t xml:space="preserve">В ходе обсуждения докладов участниками затронуты важные аспекты жизни, связанные с качеством воздуха, чистотой и озеленением улиц, эффективностью образования, совершенствованием </w:t>
      </w:r>
      <w:r>
        <w:rPr>
          <w:rFonts w:ascii="Times New Roman" w:hAnsi="Times New Roman" w:eastAsia="Times New Roman"/>
          <w:color w:val="000000"/>
          <w:sz w:val="28"/>
          <w:szCs w:val="28"/>
        </w:rPr>
        <w:t xml:space="preserve">архитектурных решений</w:t>
      </w:r>
      <w:r>
        <w:rPr>
          <w:rFonts w:ascii="Times New Roman" w:hAnsi="Times New Roman" w:eastAsia="Times New Roman"/>
          <w:color w:val="000000"/>
          <w:sz w:val="28"/>
          <w:szCs w:val="28"/>
        </w:rPr>
        <w:t xml:space="preserve"> и да</w:t>
      </w:r>
      <w:r>
        <w:rPr>
          <w:rFonts w:ascii="Times New Roman" w:hAnsi="Times New Roman" w:eastAsia="Times New Roman"/>
          <w:color w:val="000000"/>
          <w:sz w:val="28"/>
          <w:szCs w:val="28"/>
        </w:rPr>
        <w:t xml:space="preserve">же с количеством пробок на дорогах. В своем выступлении перед аудиторией региональный омбудсмен поблагодарила Ивановский государственный политехнический университет за вклад в развитие науки, сохранение верности главному принципу «образование через науку».</w:t>
      </w:r>
      <w:r>
        <w:rPr>
          <w:rFonts w:ascii="Times New Roman" w:hAnsi="Times New Roman"/>
          <w:sz w:val="28"/>
          <w:szCs w:val="28"/>
        </w:rPr>
      </w:r>
      <w:r>
        <w:rPr>
          <w:rFonts w:ascii="Times New Roman" w:hAnsi="Times New Roman"/>
          <w:sz w:val="28"/>
          <w:szCs w:val="28"/>
        </w:rPr>
      </w:r>
    </w:p>
    <w:p>
      <w:pPr>
        <w:ind w:firstLine="708"/>
        <w:jc w:val="both"/>
        <w:spacing w:after="0"/>
        <w:shd w:val="clear" w:color="ffffff" w:fill="ffffff"/>
        <w:rPr>
          <w:rFonts w:ascii="Times New Roman" w:hAnsi="Times New Roman" w:eastAsia="Times New Roman"/>
          <w:color w:val="000000"/>
          <w:sz w:val="28"/>
          <w:szCs w:val="28"/>
        </w:rPr>
        <w:pBdr>
          <w:top w:val="none" w:color="000000" w:sz="4" w:space="0"/>
          <w:left w:val="none" w:color="000000" w:sz="4" w:space="0"/>
          <w:bottom w:val="none" w:color="000000" w:sz="4" w:space="0"/>
          <w:right w:val="none" w:color="000000" w:sz="4" w:space="0"/>
        </w:pBdr>
      </w:pPr>
      <w:r>
        <w:rPr>
          <w:rFonts w:ascii="Times New Roman" w:hAnsi="Times New Roman" w:eastAsia="Times New Roman"/>
          <w:color w:val="000000"/>
          <w:sz w:val="28"/>
          <w:szCs w:val="28"/>
        </w:rPr>
        <w:t xml:space="preserve">Уполномоченны</w:t>
      </w:r>
      <w:r>
        <w:rPr>
          <w:rFonts w:ascii="Times New Roman" w:hAnsi="Times New Roman" w:eastAsia="Times New Roman"/>
          <w:color w:val="000000"/>
          <w:sz w:val="28"/>
          <w:szCs w:val="28"/>
        </w:rPr>
        <w:t xml:space="preserve">й отдельно остановилась на транспортной инфраструктуре, ведь она является одним из важнейших элементов развития экономики и общества в целом. Транспортная система – это не просто строительство дорог и достаточное количество маршрутов, а комплексная задача,</w:t>
      </w:r>
      <w:r>
        <w:rPr>
          <w:rFonts w:ascii="Times New Roman" w:hAnsi="Times New Roman" w:eastAsia="Times New Roman"/>
          <w:color w:val="000000"/>
          <w:sz w:val="28"/>
          <w:szCs w:val="28"/>
        </w:rPr>
        <w:t xml:space="preserve"> которая требует системного подхода и учета всех аспектов: экономических, социальных и экологических. Инвестиции в транспортную инфраструктуру – это инвестиции в будущее, в повышение качества жизни населения, в экономический рост и социальное благополучие.</w:t>
      </w:r>
      <w:r>
        <w:rPr>
          <w:rFonts w:ascii="Times New Roman" w:hAnsi="Times New Roman" w:eastAsia="Times New Roman"/>
          <w:color w:val="000000"/>
          <w:sz w:val="28"/>
          <w:szCs w:val="28"/>
        </w:rPr>
      </w:r>
      <w:r>
        <w:rPr>
          <w:rFonts w:ascii="Times New Roman" w:hAnsi="Times New Roman" w:eastAsia="Times New Roman"/>
          <w:color w:val="000000"/>
          <w:sz w:val="28"/>
          <w:szCs w:val="28"/>
        </w:rPr>
      </w:r>
    </w:p>
    <w:p>
      <w:pPr>
        <w:pStyle w:val="1227"/>
        <w:numPr>
          <w:ilvl w:val="0"/>
          <w:numId w:val="83"/>
        </w:numPr>
        <w:ind w:left="0" w:firstLine="709"/>
        <w:jc w:val="both"/>
        <w:spacing w:line="276" w:lineRule="auto"/>
        <w:shd w:val="clear" w:color="ffffff" w:fill="ffffff"/>
        <w:rPr>
          <w:rFonts w:ascii="Times New Roman" w:hAnsi="Times New Roman"/>
          <w:b/>
          <w:sz w:val="28"/>
          <w:szCs w:val="28"/>
          <w:lang w:val="ru-RU"/>
        </w:rPr>
        <w:pBdr>
          <w:top w:val="none" w:color="000000" w:sz="4" w:space="0"/>
          <w:left w:val="none" w:color="000000" w:sz="4" w:space="0"/>
          <w:bottom w:val="none" w:color="000000" w:sz="4" w:space="0"/>
          <w:right w:val="none" w:color="000000" w:sz="4" w:space="0"/>
        </w:pBdr>
      </w:pPr>
      <w:r>
        <w:rPr>
          <w:rFonts w:ascii="Times New Roman" w:hAnsi="Times New Roman" w:eastAsia="Times New Roman"/>
          <w:b/>
          <w:color w:val="000000"/>
          <w:sz w:val="28"/>
          <w:szCs w:val="28"/>
          <w:lang w:val="ru-RU"/>
        </w:rPr>
        <w:t xml:space="preserve">в</w:t>
      </w:r>
      <w:r>
        <w:rPr>
          <w:rFonts w:ascii="Times New Roman" w:hAnsi="Times New Roman" w:eastAsia="Times New Roman"/>
          <w:b/>
          <w:color w:val="000000"/>
          <w:sz w:val="28"/>
          <w:szCs w:val="28"/>
          <w:lang w:val="ru-RU"/>
        </w:rPr>
        <w:t xml:space="preserve"> открытии регионального чемпионата по профессиональному мастерству среди инвалидов и лиц с ограниченными возможностями здоровья «</w:t>
      </w:r>
      <w:r>
        <w:rPr>
          <w:rFonts w:ascii="Times New Roman" w:hAnsi="Times New Roman" w:eastAsia="Times New Roman"/>
          <w:b/>
          <w:color w:val="000000"/>
          <w:sz w:val="28"/>
          <w:szCs w:val="28"/>
          <w:lang w:val="ru-RU"/>
        </w:rPr>
        <w:t xml:space="preserve">Абилимпикс</w:t>
      </w:r>
      <w:r>
        <w:rPr>
          <w:rFonts w:ascii="Times New Roman" w:hAnsi="Times New Roman" w:eastAsia="Times New Roman"/>
          <w:b/>
          <w:color w:val="000000"/>
          <w:sz w:val="28"/>
          <w:szCs w:val="28"/>
          <w:lang w:val="ru-RU"/>
        </w:rPr>
        <w:t xml:space="preserve">» президентской платформы «Россия – страна возможностей».</w:t>
      </w:r>
      <w:r>
        <w:rPr>
          <w:rFonts w:ascii="Times New Roman" w:hAnsi="Times New Roman"/>
          <w:b/>
          <w:sz w:val="28"/>
          <w:szCs w:val="28"/>
          <w:lang w:val="ru-RU"/>
        </w:rPr>
      </w:r>
      <w:r>
        <w:rPr>
          <w:rFonts w:ascii="Times New Roman" w:hAnsi="Times New Roman"/>
          <w:b/>
          <w:sz w:val="28"/>
          <w:szCs w:val="28"/>
          <w:lang w:val="ru-RU"/>
        </w:rPr>
      </w:r>
    </w:p>
    <w:p>
      <w:pPr>
        <w:ind w:firstLine="708"/>
        <w:jc w:val="both"/>
        <w:spacing w:after="0"/>
        <w:shd w:val="clear" w:color="ffffff" w:fill="ffffff"/>
        <w:rPr>
          <w:rFonts w:ascii="Times New Roman" w:hAnsi="Times New Roman"/>
          <w:sz w:val="28"/>
          <w:szCs w:val="28"/>
        </w:rPr>
        <w:pBdr>
          <w:top w:val="none" w:color="000000" w:sz="4" w:space="0"/>
          <w:left w:val="none" w:color="000000" w:sz="4" w:space="0"/>
          <w:bottom w:val="none" w:color="000000" w:sz="4" w:space="0"/>
          <w:right w:val="none" w:color="000000" w:sz="4" w:space="0"/>
        </w:pBdr>
      </w:pPr>
      <w:r>
        <w:rPr>
          <w:rFonts w:ascii="Times New Roman" w:hAnsi="Times New Roman" w:eastAsia="Times New Roman"/>
          <w:color w:val="000000"/>
          <w:sz w:val="28"/>
          <w:szCs w:val="28"/>
        </w:rPr>
        <w:t xml:space="preserve">Чемпионат «</w:t>
      </w:r>
      <w:r>
        <w:rPr>
          <w:rFonts w:ascii="Times New Roman" w:hAnsi="Times New Roman" w:eastAsia="Times New Roman"/>
          <w:color w:val="000000"/>
          <w:sz w:val="28"/>
          <w:szCs w:val="28"/>
        </w:rPr>
        <w:t xml:space="preserve">Абилимпикс</w:t>
      </w:r>
      <w:r>
        <w:rPr>
          <w:rFonts w:ascii="Times New Roman" w:hAnsi="Times New Roman" w:eastAsia="Times New Roman"/>
          <w:color w:val="000000"/>
          <w:sz w:val="28"/>
          <w:szCs w:val="28"/>
        </w:rPr>
        <w:t xml:space="preserve">» – это уникальная возможность для людей с ограниченными возможностями продемонстрировать свои профессиональные навыки и таланты. Это не просто соревнование, а целая платформа для обмена опытом и развития карьеры.</w:t>
      </w:r>
      <w:r>
        <w:rPr>
          <w:rFonts w:ascii="Times New Roman" w:hAnsi="Times New Roman"/>
          <w:sz w:val="28"/>
          <w:szCs w:val="28"/>
        </w:rPr>
        <w:t xml:space="preserve"> </w:t>
      </w:r>
      <w:r>
        <w:rPr>
          <w:rFonts w:ascii="Times New Roman" w:hAnsi="Times New Roman" w:eastAsia="Times New Roman"/>
          <w:color w:val="000000"/>
          <w:sz w:val="28"/>
          <w:szCs w:val="28"/>
        </w:rPr>
        <w:t xml:space="preserve">В соревнованиях приняли участие 140 человек с инвалидностью и с ОВЗ.</w:t>
      </w:r>
      <w:r>
        <w:rPr>
          <w:rFonts w:ascii="Times New Roman" w:hAnsi="Times New Roman"/>
          <w:sz w:val="28"/>
          <w:szCs w:val="28"/>
        </w:rPr>
        <w:t xml:space="preserve"> </w:t>
      </w:r>
      <w:r>
        <w:rPr>
          <w:rFonts w:ascii="Times New Roman" w:hAnsi="Times New Roman" w:eastAsia="Times New Roman"/>
          <w:color w:val="000000"/>
          <w:sz w:val="28"/>
          <w:szCs w:val="28"/>
        </w:rPr>
        <w:t xml:space="preserve">Основная площадка – Ивановский промышленно-экономический колледж.</w:t>
      </w:r>
      <w:r>
        <w:rPr>
          <w:rFonts w:ascii="Times New Roman" w:hAnsi="Times New Roman"/>
          <w:sz w:val="28"/>
          <w:szCs w:val="28"/>
        </w:rPr>
      </w:r>
      <w:r>
        <w:rPr>
          <w:rFonts w:ascii="Times New Roman" w:hAnsi="Times New Roman"/>
          <w:sz w:val="28"/>
          <w:szCs w:val="28"/>
        </w:rPr>
      </w:r>
    </w:p>
    <w:p>
      <w:pPr>
        <w:ind w:firstLine="708"/>
        <w:jc w:val="both"/>
        <w:spacing w:after="0"/>
        <w:shd w:val="clear" w:color="ffffff" w:fill="ffffff"/>
        <w:rPr>
          <w:rFonts w:ascii="Times New Roman" w:hAnsi="Times New Roman" w:eastAsia="Times New Roman"/>
          <w:color w:val="000000"/>
          <w:sz w:val="28"/>
          <w:szCs w:val="28"/>
        </w:rPr>
        <w:pBdr>
          <w:top w:val="none" w:color="000000" w:sz="4" w:space="0"/>
          <w:left w:val="none" w:color="000000" w:sz="4" w:space="0"/>
          <w:bottom w:val="none" w:color="000000" w:sz="4" w:space="0"/>
          <w:right w:val="none" w:color="000000" w:sz="4" w:space="0"/>
        </w:pBdr>
      </w:pPr>
      <w:r>
        <w:rPr>
          <w:rFonts w:ascii="Times New Roman" w:hAnsi="Times New Roman" w:eastAsia="Times New Roman"/>
          <w:color w:val="000000"/>
          <w:sz w:val="28"/>
          <w:szCs w:val="28"/>
        </w:rPr>
        <w:t xml:space="preserve">«</w:t>
      </w:r>
      <w:r>
        <w:rPr>
          <w:rFonts w:ascii="Times New Roman" w:hAnsi="Times New Roman" w:eastAsia="Times New Roman"/>
          <w:color w:val="000000"/>
          <w:sz w:val="28"/>
          <w:szCs w:val="28"/>
        </w:rPr>
        <w:t xml:space="preserve">Абилимпикс</w:t>
      </w:r>
      <w:r>
        <w:rPr>
          <w:rFonts w:ascii="Times New Roman" w:hAnsi="Times New Roman" w:eastAsia="Times New Roman"/>
          <w:color w:val="000000"/>
          <w:sz w:val="28"/>
          <w:szCs w:val="28"/>
        </w:rPr>
        <w:t xml:space="preserve">» меняет отношение общества к трудоустройству людей с инвалидностью, мотивирует государство создавать все необходимые условия для получения доступн</w:t>
      </w:r>
      <w:r>
        <w:rPr>
          <w:rFonts w:ascii="Times New Roman" w:hAnsi="Times New Roman" w:eastAsia="Times New Roman"/>
          <w:color w:val="000000"/>
          <w:sz w:val="28"/>
          <w:szCs w:val="28"/>
        </w:rPr>
        <w:t xml:space="preserve">ого образования любого уровня, а также стимулирует самих людей с инвалидностью к получению высококвалифицированных специальностей и хорошей работы. Следует отметить серьезный уровень подготовки данного чемпионата по линии Департамента образования и науки; </w:t>
      </w:r>
      <w:r>
        <w:rPr>
          <w:rFonts w:ascii="Times New Roman" w:hAnsi="Times New Roman" w:eastAsia="Times New Roman"/>
          <w:color w:val="000000"/>
          <w:sz w:val="28"/>
          <w:szCs w:val="28"/>
        </w:rPr>
      </w:r>
      <w:r>
        <w:rPr>
          <w:rFonts w:ascii="Times New Roman" w:hAnsi="Times New Roman" w:eastAsia="Times New Roman"/>
          <w:color w:val="000000"/>
          <w:sz w:val="28"/>
          <w:szCs w:val="28"/>
        </w:rPr>
      </w:r>
    </w:p>
    <w:p>
      <w:pPr>
        <w:pStyle w:val="1227"/>
        <w:numPr>
          <w:ilvl w:val="0"/>
          <w:numId w:val="83"/>
        </w:numPr>
        <w:ind w:left="0" w:firstLine="709"/>
        <w:jc w:val="both"/>
        <w:spacing w:line="276" w:lineRule="auto"/>
        <w:shd w:val="clear" w:color="ffffff" w:fill="ffffff"/>
        <w:rPr>
          <w:rFonts w:ascii="Times New Roman" w:hAnsi="Times New Roman"/>
          <w:sz w:val="28"/>
          <w:szCs w:val="28"/>
          <w:lang w:val="ru-RU"/>
        </w:rPr>
        <w:pBdr>
          <w:top w:val="none" w:color="000000" w:sz="4" w:space="0"/>
          <w:left w:val="none" w:color="000000" w:sz="4" w:space="0"/>
          <w:bottom w:val="none" w:color="000000" w:sz="4" w:space="0"/>
          <w:right w:val="none" w:color="000000" w:sz="4" w:space="0"/>
        </w:pBdr>
      </w:pPr>
      <w:r>
        <w:rPr>
          <w:rFonts w:ascii="Times New Roman" w:hAnsi="Times New Roman" w:eastAsia="Times New Roman"/>
          <w:b/>
          <w:color w:val="000000"/>
          <w:sz w:val="28"/>
          <w:szCs w:val="28"/>
          <w:lang w:val="ru-RU"/>
        </w:rPr>
        <w:t xml:space="preserve">в награждении финалистов областного конкурса «Педагог года-2025»</w:t>
      </w:r>
      <w:r>
        <w:rPr>
          <w:rFonts w:ascii="Times New Roman" w:hAnsi="Times New Roman" w:eastAsia="Times New Roman"/>
          <w:color w:val="000000"/>
          <w:sz w:val="28"/>
          <w:szCs w:val="28"/>
          <w:lang w:val="ru-RU"/>
        </w:rPr>
        <w:t xml:space="preserve">. В Центре одаренных детей «</w:t>
      </w:r>
      <w:r>
        <w:rPr>
          <w:rFonts w:ascii="Times New Roman" w:hAnsi="Times New Roman" w:eastAsia="Times New Roman"/>
          <w:color w:val="000000"/>
          <w:sz w:val="28"/>
          <w:szCs w:val="28"/>
          <w:lang w:val="ru-RU"/>
        </w:rPr>
        <w:t xml:space="preserve">Солярис</w:t>
      </w:r>
      <w:r>
        <w:rPr>
          <w:rFonts w:ascii="Times New Roman" w:hAnsi="Times New Roman" w:eastAsia="Times New Roman"/>
          <w:color w:val="000000"/>
          <w:sz w:val="28"/>
          <w:szCs w:val="28"/>
          <w:lang w:val="ru-RU"/>
        </w:rPr>
        <w:t xml:space="preserve">» г</w:t>
      </w:r>
      <w:r>
        <w:rPr>
          <w:rFonts w:ascii="Times New Roman" w:hAnsi="Times New Roman" w:eastAsia="Times New Roman"/>
          <w:color w:val="000000"/>
          <w:sz w:val="28"/>
          <w:szCs w:val="28"/>
          <w:lang w:val="ru-RU"/>
        </w:rPr>
        <w:t xml:space="preserve">.И</w:t>
      </w:r>
      <w:r>
        <w:rPr>
          <w:rFonts w:ascii="Times New Roman" w:hAnsi="Times New Roman" w:eastAsia="Times New Roman"/>
          <w:color w:val="000000"/>
          <w:sz w:val="28"/>
          <w:szCs w:val="28"/>
          <w:lang w:val="ru-RU"/>
        </w:rPr>
        <w:t xml:space="preserve">ваново</w:t>
      </w:r>
      <w:r>
        <w:rPr>
          <w:rFonts w:ascii="Times New Roman" w:hAnsi="Times New Roman" w:eastAsia="Times New Roman"/>
          <w:b/>
          <w:color w:val="000000"/>
          <w:sz w:val="28"/>
          <w:szCs w:val="28"/>
          <w:lang w:val="ru-RU"/>
        </w:rPr>
        <w:t xml:space="preserve"> </w:t>
      </w:r>
      <w:r>
        <w:rPr>
          <w:rFonts w:ascii="Times New Roman" w:hAnsi="Times New Roman" w:eastAsia="Times New Roman"/>
          <w:color w:val="000000"/>
          <w:sz w:val="28"/>
          <w:szCs w:val="28"/>
          <w:lang w:val="ru-RU"/>
        </w:rPr>
        <w:t xml:space="preserve">чествовали тех, кто сердце отдает своим ученикам; оставляет неизгладимый след в жизни наших детей, создавая неповторимую атмосферу творчества; открывает мир новых познаний.</w:t>
      </w:r>
      <w:r>
        <w:rPr>
          <w:rFonts w:ascii="Times New Roman" w:hAnsi="Times New Roman"/>
          <w:sz w:val="28"/>
          <w:szCs w:val="28"/>
          <w:lang w:val="ru-RU"/>
        </w:rPr>
        <w:t xml:space="preserve"> </w:t>
      </w:r>
      <w:r>
        <w:rPr>
          <w:rFonts w:ascii="Times New Roman" w:hAnsi="Times New Roman" w:eastAsia="Times New Roman"/>
          <w:color w:val="000000"/>
          <w:sz w:val="28"/>
          <w:szCs w:val="28"/>
          <w:lang w:val="ru-RU"/>
        </w:rPr>
        <w:t xml:space="preserve">Ежегодный конкурс, который в 2025 году прошел в 35-й </w:t>
      </w:r>
      <w:r>
        <w:rPr>
          <w:rFonts w:ascii="Times New Roman" w:hAnsi="Times New Roman" w:eastAsia="Times New Roman"/>
          <w:color w:val="000000"/>
          <w:sz w:val="28"/>
          <w:szCs w:val="28"/>
          <w:lang w:val="ru-RU"/>
        </w:rPr>
        <w:t xml:space="preserve">раз, направлен на выявление талантливых педагогических и управленческих работников, их поддержку и поощрение, распространение инновационного педагогического и управленческого опыта в соотве</w:t>
      </w:r>
      <w:r>
        <w:rPr>
          <w:rFonts w:ascii="Times New Roman" w:hAnsi="Times New Roman" w:eastAsia="Times New Roman"/>
          <w:color w:val="000000"/>
          <w:sz w:val="28"/>
          <w:szCs w:val="28"/>
          <w:lang w:val="ru-RU"/>
        </w:rPr>
        <w:t xml:space="preserve">тствии с современными тенденциями развития российского образования. В 2025 году приняли участие 106 педагогических работников и управленческих кадров из 22 муниципалитетов. По результатам отборочных испытаний к основному этапу были допущены 80 участников, </w:t>
      </w:r>
      <w:r>
        <w:rPr>
          <w:rFonts w:ascii="Times New Roman" w:hAnsi="Times New Roman" w:eastAsia="Times New Roman"/>
          <w:color w:val="000000"/>
          <w:sz w:val="28"/>
          <w:szCs w:val="28"/>
          <w:lang w:val="ru-RU"/>
        </w:rPr>
        <w:t xml:space="preserve">из которых 45 вышли в заключительный тур. Конкурс прошел в семи направлениях: «Педагог общего образования», «Педагог дошкольного образования», «Воспитать человека», «Педагогический дебют», «Педагог-психолог», «Учитель-дефектолог», «Управленческая команда».</w:t>
      </w:r>
      <w:r>
        <w:rPr>
          <w:rFonts w:ascii="Times New Roman" w:hAnsi="Times New Roman"/>
          <w:sz w:val="28"/>
          <w:szCs w:val="28"/>
          <w:lang w:val="ru-RU"/>
        </w:rPr>
      </w:r>
      <w:r>
        <w:rPr>
          <w:rFonts w:ascii="Times New Roman" w:hAnsi="Times New Roman"/>
          <w:sz w:val="28"/>
          <w:szCs w:val="28"/>
          <w:lang w:val="ru-RU"/>
        </w:rPr>
      </w:r>
    </w:p>
    <w:p>
      <w:pPr>
        <w:ind w:firstLine="708"/>
        <w:jc w:val="both"/>
        <w:spacing w:after="0"/>
        <w:shd w:val="clear" w:color="ffffff" w:fill="ffffff"/>
        <w:rPr>
          <w:rFonts w:ascii="Times New Roman" w:hAnsi="Times New Roman"/>
          <w:sz w:val="28"/>
          <w:szCs w:val="28"/>
        </w:rPr>
        <w:pBdr>
          <w:top w:val="none" w:color="000000" w:sz="4" w:space="0"/>
          <w:left w:val="none" w:color="000000" w:sz="4" w:space="0"/>
          <w:bottom w:val="none" w:color="000000" w:sz="4" w:space="0"/>
          <w:right w:val="none" w:color="000000" w:sz="4" w:space="0"/>
        </w:pBdr>
      </w:pPr>
      <w:r>
        <w:rPr>
          <w:rFonts w:ascii="Times New Roman" w:hAnsi="Times New Roman" w:eastAsia="Times New Roman"/>
          <w:color w:val="000000"/>
          <w:sz w:val="28"/>
          <w:szCs w:val="28"/>
        </w:rPr>
        <w:t xml:space="preserve">Приветствуя участников и гостей настоящего «семейного праздника», региональный омбудсмен пожелала педагогическому сообществу </w:t>
      </w:r>
      <w:r>
        <w:rPr>
          <w:rFonts w:ascii="Times New Roman" w:hAnsi="Times New Roman" w:eastAsia="Times New Roman"/>
          <w:color w:val="000000"/>
          <w:sz w:val="28"/>
          <w:szCs w:val="28"/>
        </w:rPr>
        <w:t xml:space="preserve">неуспокоенности</w:t>
      </w:r>
      <w:r>
        <w:rPr>
          <w:rFonts w:ascii="Times New Roman" w:hAnsi="Times New Roman" w:eastAsia="Times New Roman"/>
          <w:color w:val="000000"/>
          <w:sz w:val="28"/>
          <w:szCs w:val="28"/>
        </w:rPr>
        <w:t xml:space="preserve">, развития, покорения новых вершин, расширения государственных мер поддержки, семейного благополучия, сплоченной команды. </w:t>
      </w:r>
      <w:r>
        <w:rPr>
          <w:rFonts w:ascii="Times New Roman" w:hAnsi="Times New Roman"/>
          <w:sz w:val="28"/>
          <w:szCs w:val="28"/>
        </w:rPr>
      </w:r>
      <w:r>
        <w:rPr>
          <w:rFonts w:ascii="Times New Roman" w:hAnsi="Times New Roman"/>
          <w:sz w:val="28"/>
          <w:szCs w:val="28"/>
        </w:rPr>
      </w:r>
    </w:p>
    <w:p>
      <w:pPr>
        <w:ind w:firstLine="708"/>
        <w:jc w:val="both"/>
        <w:spacing w:after="0"/>
        <w:shd w:val="clear" w:color="ffffff" w:fill="ffffff"/>
        <w:rPr>
          <w:rFonts w:ascii="Times New Roman" w:hAnsi="Times New Roman"/>
          <w:sz w:val="28"/>
          <w:szCs w:val="28"/>
        </w:rPr>
        <w:pBdr>
          <w:top w:val="none" w:color="000000" w:sz="4" w:space="0"/>
          <w:left w:val="none" w:color="000000" w:sz="4" w:space="0"/>
          <w:bottom w:val="none" w:color="000000" w:sz="4" w:space="0"/>
          <w:right w:val="none" w:color="000000" w:sz="4" w:space="0"/>
        </w:pBdr>
      </w:pPr>
      <w:r>
        <w:rPr>
          <w:rFonts w:ascii="Times New Roman" w:hAnsi="Times New Roman" w:eastAsia="Times New Roman"/>
          <w:color w:val="000000"/>
          <w:sz w:val="28"/>
          <w:szCs w:val="28"/>
        </w:rPr>
        <w:t xml:space="preserve">По приглашению главы Ивановской митрополии, митрополита Иваново-Вознесенского и </w:t>
      </w:r>
      <w:r>
        <w:rPr>
          <w:rFonts w:ascii="Times New Roman" w:hAnsi="Times New Roman" w:eastAsia="Times New Roman"/>
          <w:color w:val="000000"/>
          <w:sz w:val="28"/>
          <w:szCs w:val="28"/>
        </w:rPr>
        <w:t xml:space="preserve">Вичугского</w:t>
      </w:r>
      <w:r>
        <w:rPr>
          <w:rFonts w:ascii="Times New Roman" w:hAnsi="Times New Roman" w:eastAsia="Times New Roman"/>
          <w:color w:val="000000"/>
          <w:sz w:val="28"/>
          <w:szCs w:val="28"/>
        </w:rPr>
        <w:t xml:space="preserve"> Иосифа в октябре 2025 года Уполномоченный Светлана Шмелева приняла участие в пленарном заседании регионального этапа Международных Рождественских чтений. </w:t>
      </w:r>
      <w:r>
        <w:rPr>
          <w:rFonts w:ascii="Times New Roman" w:hAnsi="Times New Roman"/>
          <w:sz w:val="28"/>
          <w:szCs w:val="28"/>
        </w:rPr>
      </w:r>
      <w:r>
        <w:rPr>
          <w:rFonts w:ascii="Times New Roman" w:hAnsi="Times New Roman"/>
          <w:sz w:val="28"/>
          <w:szCs w:val="28"/>
        </w:rPr>
      </w:r>
    </w:p>
    <w:p>
      <w:pPr>
        <w:ind w:firstLine="708"/>
        <w:jc w:val="both"/>
        <w:spacing w:after="0"/>
        <w:shd w:val="clear" w:color="ffffff" w:fill="ffffff"/>
        <w:rPr>
          <w:rFonts w:ascii="Times New Roman" w:hAnsi="Times New Roman"/>
          <w:sz w:val="28"/>
          <w:szCs w:val="28"/>
        </w:rPr>
        <w:pBdr>
          <w:top w:val="none" w:color="000000" w:sz="4" w:space="0"/>
          <w:left w:val="none" w:color="000000" w:sz="4" w:space="0"/>
          <w:bottom w:val="none" w:color="000000" w:sz="4" w:space="0"/>
          <w:right w:val="none" w:color="000000" w:sz="4" w:space="0"/>
        </w:pBdr>
      </w:pPr>
      <w:r>
        <w:rPr>
          <w:rFonts w:ascii="Times New Roman" w:hAnsi="Times New Roman" w:eastAsia="Times New Roman"/>
          <w:color w:val="000000"/>
          <w:sz w:val="28"/>
          <w:szCs w:val="28"/>
        </w:rPr>
        <w:t xml:space="preserve">Тема Чтений: «Просвещение и нравственность: формирование личности и вызовы времени» говорила о том, как РПЦ  системно заботится о подрастающем поколении. Все эти понятия тесно связаны с конституционным правом человека -  правом на образование.</w:t>
      </w:r>
      <w:r>
        <w:rPr>
          <w:rFonts w:ascii="Times New Roman" w:hAnsi="Times New Roman"/>
          <w:sz w:val="28"/>
          <w:szCs w:val="28"/>
        </w:rPr>
      </w:r>
      <w:r>
        <w:rPr>
          <w:rFonts w:ascii="Times New Roman" w:hAnsi="Times New Roman"/>
          <w:sz w:val="28"/>
          <w:szCs w:val="28"/>
        </w:rPr>
      </w:r>
    </w:p>
    <w:p>
      <w:pPr>
        <w:ind w:firstLine="708"/>
        <w:jc w:val="both"/>
        <w:spacing w:after="0"/>
        <w:shd w:val="clear" w:color="ffffff" w:fill="ffffff"/>
        <w:rPr>
          <w:rFonts w:ascii="Times New Roman" w:hAnsi="Times New Roman"/>
          <w:sz w:val="28"/>
          <w:szCs w:val="28"/>
        </w:rPr>
        <w:pBdr>
          <w:top w:val="none" w:color="000000" w:sz="4" w:space="0"/>
          <w:left w:val="none" w:color="000000" w:sz="4" w:space="0"/>
          <w:bottom w:val="none" w:color="000000" w:sz="4" w:space="0"/>
          <w:right w:val="none" w:color="000000" w:sz="4" w:space="0"/>
        </w:pBdr>
      </w:pPr>
      <w:r>
        <w:rPr>
          <w:rFonts w:ascii="Times New Roman" w:hAnsi="Times New Roman" w:eastAsia="Times New Roman"/>
          <w:color w:val="000000"/>
          <w:sz w:val="28"/>
          <w:szCs w:val="28"/>
        </w:rPr>
        <w:t xml:space="preserve">В своем приветствии к участникам столь значимого мероприятия региональный омбудсмен обрат</w:t>
      </w:r>
      <w:r>
        <w:rPr>
          <w:rFonts w:ascii="Times New Roman" w:hAnsi="Times New Roman" w:eastAsia="Times New Roman"/>
          <w:color w:val="000000"/>
          <w:sz w:val="28"/>
          <w:szCs w:val="28"/>
        </w:rPr>
        <w:t xml:space="preserve">ила особое внимание на объединение усилий государства, духовенства и гражданского общества в повышении образовательного багажа знаний,  формировании  культуры воспитания молодого поколения, сохранения традиционных семейных ценностей и защите прав человека.</w:t>
      </w:r>
      <w:r>
        <w:rPr>
          <w:rFonts w:ascii="Times New Roman" w:hAnsi="Times New Roman"/>
          <w:sz w:val="28"/>
          <w:szCs w:val="28"/>
        </w:rPr>
      </w:r>
      <w:r>
        <w:rPr>
          <w:rFonts w:ascii="Times New Roman" w:hAnsi="Times New Roman"/>
          <w:sz w:val="28"/>
          <w:szCs w:val="28"/>
        </w:rPr>
      </w:r>
    </w:p>
    <w:p>
      <w:pPr>
        <w:ind w:firstLine="709"/>
        <w:jc w:val="both"/>
        <w:spacing w:after="0"/>
        <w:shd w:val="clear" w:color="ffffff" w:fill="ffffff"/>
        <w:rPr>
          <w:rFonts w:ascii="Times New Roman" w:hAnsi="Times New Roman"/>
          <w:sz w:val="28"/>
          <w:szCs w:val="28"/>
        </w:rPr>
        <w:pBdr>
          <w:top w:val="none" w:color="000000" w:sz="4" w:space="0"/>
          <w:left w:val="none" w:color="000000" w:sz="4" w:space="0"/>
          <w:bottom w:val="none" w:color="000000" w:sz="4" w:space="0"/>
          <w:right w:val="none" w:color="000000" w:sz="4" w:space="0"/>
        </w:pBdr>
      </w:pPr>
      <w:r>
        <w:rPr>
          <w:rFonts w:ascii="Times New Roman" w:hAnsi="Times New Roman" w:eastAsia="Arial"/>
          <w:color w:val="000000"/>
          <w:sz w:val="28"/>
          <w:szCs w:val="28"/>
        </w:rPr>
        <w:t xml:space="preserve">В преддверии Международного дня прав человека, при поддержке федерального омбудсмена Татьяны </w:t>
      </w:r>
      <w:r>
        <w:rPr>
          <w:rFonts w:ascii="Times New Roman" w:hAnsi="Times New Roman" w:eastAsia="Arial"/>
          <w:color w:val="000000"/>
          <w:sz w:val="28"/>
          <w:szCs w:val="28"/>
        </w:rPr>
        <w:t xml:space="preserve">Москальковой</w:t>
      </w:r>
      <w:r>
        <w:rPr>
          <w:rFonts w:ascii="Times New Roman" w:hAnsi="Times New Roman" w:eastAsia="Arial"/>
          <w:color w:val="000000"/>
          <w:sz w:val="28"/>
          <w:szCs w:val="28"/>
        </w:rPr>
        <w:t xml:space="preserve"> состоялась XVI международная научно-практическая конференция «Проблемы становления, развития и модернизации гражданского общества: исторический, экономический, юридический аспекты».</w:t>
      </w:r>
      <w:r>
        <w:rPr>
          <w:rFonts w:ascii="Times New Roman" w:hAnsi="Times New Roman"/>
          <w:sz w:val="28"/>
          <w:szCs w:val="28"/>
        </w:rPr>
      </w:r>
      <w:r>
        <w:rPr>
          <w:rFonts w:ascii="Times New Roman" w:hAnsi="Times New Roman"/>
          <w:sz w:val="28"/>
          <w:szCs w:val="28"/>
        </w:rPr>
      </w:r>
    </w:p>
    <w:p>
      <w:pPr>
        <w:ind w:firstLine="709"/>
        <w:jc w:val="both"/>
        <w:spacing w:after="0"/>
        <w:shd w:val="clear" w:color="ffffff" w:fill="ffffff"/>
        <w:rPr>
          <w:rFonts w:ascii="Times New Roman" w:hAnsi="Times New Roman"/>
          <w:sz w:val="28"/>
          <w:szCs w:val="28"/>
        </w:rPr>
        <w:pBdr>
          <w:top w:val="none" w:color="000000" w:sz="4" w:space="0"/>
          <w:left w:val="none" w:color="000000" w:sz="4" w:space="0"/>
          <w:bottom w:val="none" w:color="000000" w:sz="4" w:space="0"/>
          <w:right w:val="none" w:color="000000" w:sz="4" w:space="0"/>
        </w:pBdr>
      </w:pPr>
      <w:r>
        <w:rPr>
          <w:rFonts w:ascii="Times New Roman" w:hAnsi="Times New Roman" w:eastAsia="Arial"/>
          <w:color w:val="000000"/>
          <w:sz w:val="28"/>
          <w:szCs w:val="28"/>
        </w:rPr>
        <w:t xml:space="preserve">Инициатором тематической площадки выступило руководство Ивановского колледжа управления и права, Ивановского филиала Института управления (руководитель Кристина Полозова).</w:t>
      </w:r>
      <w:r>
        <w:rPr>
          <w:rFonts w:ascii="Times New Roman" w:hAnsi="Times New Roman"/>
          <w:sz w:val="28"/>
          <w:szCs w:val="28"/>
        </w:rPr>
      </w:r>
      <w:r>
        <w:rPr>
          <w:rFonts w:ascii="Times New Roman" w:hAnsi="Times New Roman"/>
          <w:sz w:val="28"/>
          <w:szCs w:val="28"/>
        </w:rPr>
      </w:r>
    </w:p>
    <w:p>
      <w:pPr>
        <w:ind w:firstLine="709"/>
        <w:jc w:val="both"/>
        <w:spacing w:after="0"/>
        <w:shd w:val="clear" w:color="ffffff" w:fill="ffffff"/>
        <w:rPr>
          <w:rFonts w:ascii="Times New Roman" w:hAnsi="Times New Roman"/>
          <w:sz w:val="28"/>
          <w:szCs w:val="28"/>
        </w:rPr>
        <w:pBdr>
          <w:top w:val="none" w:color="000000" w:sz="4" w:space="0"/>
          <w:left w:val="none" w:color="000000" w:sz="4" w:space="0"/>
          <w:bottom w:val="none" w:color="000000" w:sz="4" w:space="0"/>
          <w:right w:val="none" w:color="000000" w:sz="4" w:space="0"/>
        </w:pBdr>
      </w:pPr>
      <w:r>
        <w:rPr>
          <w:rFonts w:ascii="Times New Roman" w:hAnsi="Times New Roman" w:eastAsia="Arial"/>
          <w:color w:val="000000"/>
          <w:sz w:val="28"/>
          <w:szCs w:val="28"/>
        </w:rPr>
        <w:t xml:space="preserve">Следует отметить, что данное образовательное учреждение является надежным партнером регионального института </w:t>
      </w:r>
      <w:r>
        <w:rPr>
          <w:rFonts w:ascii="Times New Roman" w:hAnsi="Times New Roman" w:eastAsia="Arial"/>
          <w:color w:val="000000"/>
          <w:sz w:val="28"/>
          <w:szCs w:val="28"/>
        </w:rPr>
        <w:t xml:space="preserve">правозащиты</w:t>
      </w:r>
      <w:r>
        <w:rPr>
          <w:rFonts w:ascii="Times New Roman" w:hAnsi="Times New Roman" w:eastAsia="Arial"/>
          <w:color w:val="000000"/>
          <w:sz w:val="28"/>
          <w:szCs w:val="28"/>
        </w:rPr>
        <w:t xml:space="preserve"> в проведении </w:t>
      </w:r>
      <w:r>
        <w:rPr>
          <w:rFonts w:ascii="Times New Roman" w:hAnsi="Times New Roman" w:eastAsia="Arial"/>
          <w:color w:val="000000"/>
          <w:sz w:val="28"/>
          <w:szCs w:val="28"/>
        </w:rPr>
        <w:t xml:space="preserve">правопросветительских</w:t>
      </w:r>
      <w:r>
        <w:rPr>
          <w:rFonts w:ascii="Times New Roman" w:hAnsi="Times New Roman" w:eastAsia="Arial"/>
          <w:color w:val="000000"/>
          <w:sz w:val="28"/>
          <w:szCs w:val="28"/>
        </w:rPr>
        <w:t xml:space="preserve"> семинаров, выездных Дней правового просвещения населения, организации приемов граждан по оказанию бесплатной юридической помощи.</w:t>
      </w:r>
      <w:r>
        <w:rPr>
          <w:rFonts w:ascii="Times New Roman" w:hAnsi="Times New Roman"/>
          <w:sz w:val="28"/>
          <w:szCs w:val="28"/>
        </w:rPr>
      </w:r>
      <w:r>
        <w:rPr>
          <w:rFonts w:ascii="Times New Roman" w:hAnsi="Times New Roman"/>
          <w:sz w:val="28"/>
          <w:szCs w:val="28"/>
        </w:rPr>
      </w:r>
    </w:p>
    <w:p>
      <w:pPr>
        <w:ind w:firstLine="709"/>
        <w:jc w:val="both"/>
        <w:spacing w:after="0"/>
        <w:shd w:val="clear" w:color="ffffff" w:fill="ffffff"/>
        <w:rPr>
          <w:rFonts w:ascii="Times New Roman" w:hAnsi="Times New Roman"/>
          <w:sz w:val="28"/>
          <w:szCs w:val="28"/>
        </w:rPr>
        <w:pBdr>
          <w:top w:val="none" w:color="000000" w:sz="4" w:space="0"/>
          <w:left w:val="none" w:color="000000" w:sz="4" w:space="0"/>
          <w:bottom w:val="none" w:color="000000" w:sz="4" w:space="0"/>
          <w:right w:val="none" w:color="000000" w:sz="4" w:space="0"/>
        </w:pBdr>
      </w:pPr>
      <w:r>
        <w:rPr>
          <w:rFonts w:ascii="Times New Roman" w:hAnsi="Times New Roman" w:eastAsia="Arial"/>
          <w:color w:val="000000"/>
          <w:sz w:val="28"/>
          <w:szCs w:val="28"/>
        </w:rPr>
        <w:t xml:space="preserve">Мероприятие было посвящено 15-летию со дня принятия регионального закона об Уполномоченном по правам человека.</w:t>
      </w:r>
      <w:r>
        <w:rPr>
          <w:rFonts w:ascii="Times New Roman" w:hAnsi="Times New Roman"/>
          <w:sz w:val="28"/>
          <w:szCs w:val="28"/>
        </w:rPr>
      </w:r>
      <w:r>
        <w:rPr>
          <w:rFonts w:ascii="Times New Roman" w:hAnsi="Times New Roman"/>
          <w:sz w:val="28"/>
          <w:szCs w:val="28"/>
        </w:rPr>
      </w:r>
    </w:p>
    <w:p>
      <w:pPr>
        <w:ind w:firstLine="709"/>
        <w:jc w:val="both"/>
        <w:spacing w:after="0"/>
        <w:shd w:val="clear" w:color="ffffff" w:fill="ffffff"/>
        <w:rPr>
          <w:rFonts w:ascii="Times New Roman" w:hAnsi="Times New Roman"/>
          <w:sz w:val="28"/>
          <w:szCs w:val="28"/>
        </w:rPr>
        <w:pBdr>
          <w:top w:val="none" w:color="000000" w:sz="4" w:space="0"/>
          <w:left w:val="none" w:color="000000" w:sz="4" w:space="0"/>
          <w:bottom w:val="none" w:color="000000" w:sz="4" w:space="0"/>
          <w:right w:val="none" w:color="000000" w:sz="4" w:space="0"/>
        </w:pBdr>
      </w:pPr>
      <w:r>
        <w:rPr>
          <w:rFonts w:ascii="Times New Roman" w:hAnsi="Times New Roman" w:eastAsia="Arial"/>
          <w:color w:val="000000"/>
          <w:sz w:val="28"/>
          <w:szCs w:val="28"/>
        </w:rPr>
        <w:t xml:space="preserve">На конференции подняты вопросы уважения и справедливости, защиты и свободы.</w:t>
      </w:r>
      <w:r>
        <w:rPr>
          <w:rFonts w:ascii="Times New Roman" w:hAnsi="Times New Roman"/>
          <w:sz w:val="28"/>
          <w:szCs w:val="28"/>
        </w:rPr>
        <w:t xml:space="preserve"> </w:t>
      </w:r>
      <w:r>
        <w:rPr>
          <w:rFonts w:ascii="Times New Roman" w:hAnsi="Times New Roman" w:eastAsia="Arial"/>
          <w:color w:val="000000"/>
          <w:sz w:val="28"/>
          <w:szCs w:val="28"/>
        </w:rPr>
        <w:t xml:space="preserve">В своем вступительном слове Светлана Шмелева пожелала студентам твердо знать свои права, бережно относиться к правам других и верить</w:t>
      </w:r>
      <w:r>
        <w:rPr>
          <w:rFonts w:ascii="Times New Roman" w:hAnsi="Times New Roman" w:eastAsia="Arial"/>
          <w:color w:val="000000"/>
          <w:sz w:val="28"/>
          <w:szCs w:val="28"/>
        </w:rPr>
        <w:t xml:space="preserve"> в силу добра и человечности. Но не забывать и об обязанностях. В общении с молодежью Уполномоченным сделан акцент на направлениях работы правозащитного института под эгидой федерального омбудсмена, региональной истории развития правозащитной деятельности.</w:t>
      </w:r>
      <w:r>
        <w:rPr>
          <w:rFonts w:ascii="Times New Roman" w:hAnsi="Times New Roman"/>
          <w:sz w:val="28"/>
          <w:szCs w:val="28"/>
        </w:rPr>
      </w:r>
      <w:r>
        <w:rPr>
          <w:rFonts w:ascii="Times New Roman" w:hAnsi="Times New Roman"/>
          <w:sz w:val="28"/>
          <w:szCs w:val="28"/>
        </w:rPr>
      </w:r>
    </w:p>
    <w:p>
      <w:pPr>
        <w:ind w:firstLine="709"/>
        <w:jc w:val="both"/>
        <w:spacing w:after="0"/>
        <w:shd w:val="clear" w:color="ffffff" w:fill="ffffff"/>
        <w:rPr>
          <w:rFonts w:ascii="Times New Roman" w:hAnsi="Times New Roman"/>
          <w:sz w:val="28"/>
          <w:szCs w:val="28"/>
        </w:rPr>
        <w:pBdr>
          <w:top w:val="none" w:color="000000" w:sz="4" w:space="0"/>
          <w:left w:val="none" w:color="000000" w:sz="4" w:space="0"/>
          <w:bottom w:val="none" w:color="000000" w:sz="4" w:space="0"/>
          <w:right w:val="none" w:color="000000" w:sz="4" w:space="0"/>
        </w:pBdr>
      </w:pPr>
      <w:r>
        <w:rPr>
          <w:rFonts w:ascii="Times New Roman" w:hAnsi="Times New Roman" w:eastAsia="Arial"/>
          <w:color w:val="000000"/>
          <w:sz w:val="28"/>
          <w:szCs w:val="28"/>
        </w:rPr>
        <w:t xml:space="preserve">С приветствиями в адрес участников конференции выступили Михаил Калашников, главный федеральный инспектор по Ивановской области и Галина Бочкова, заместитель председателя Ивановской городской думы, </w:t>
      </w:r>
      <w:r>
        <w:rPr>
          <w:rFonts w:ascii="Times New Roman" w:hAnsi="Times New Roman" w:eastAsia="Arial"/>
          <w:color w:val="000000"/>
          <w:sz w:val="28"/>
          <w:szCs w:val="28"/>
        </w:rPr>
        <w:t xml:space="preserve">Ульяна</w:t>
      </w:r>
      <w:r>
        <w:rPr>
          <w:rFonts w:ascii="Times New Roman" w:hAnsi="Times New Roman" w:eastAsia="Arial"/>
          <w:color w:val="000000"/>
          <w:sz w:val="28"/>
          <w:szCs w:val="28"/>
        </w:rPr>
        <w:t xml:space="preserve"> </w:t>
      </w:r>
      <w:r>
        <w:rPr>
          <w:rFonts w:ascii="Times New Roman" w:hAnsi="Times New Roman" w:eastAsia="Arial"/>
          <w:color w:val="000000"/>
          <w:sz w:val="28"/>
          <w:szCs w:val="28"/>
        </w:rPr>
        <w:t xml:space="preserve">Смородинова</w:t>
      </w:r>
      <w:r>
        <w:rPr>
          <w:rFonts w:ascii="Times New Roman" w:hAnsi="Times New Roman" w:eastAsia="Arial"/>
          <w:color w:val="000000"/>
          <w:sz w:val="28"/>
          <w:szCs w:val="28"/>
        </w:rPr>
        <w:t xml:space="preserve">, председатель областного комитета по молодежной политике. Спикеры заострили внимание на актуальной правозащитной повестке исторического пути института </w:t>
      </w:r>
      <w:r>
        <w:rPr>
          <w:rFonts w:ascii="Times New Roman" w:hAnsi="Times New Roman" w:eastAsia="Arial"/>
          <w:color w:val="000000"/>
          <w:sz w:val="28"/>
          <w:szCs w:val="28"/>
        </w:rPr>
        <w:t xml:space="preserve">правозащиты</w:t>
      </w:r>
      <w:r>
        <w:rPr>
          <w:rFonts w:ascii="Times New Roman" w:hAnsi="Times New Roman" w:eastAsia="Arial"/>
          <w:color w:val="000000"/>
          <w:sz w:val="28"/>
          <w:szCs w:val="28"/>
        </w:rPr>
        <w:t xml:space="preserve"> и современности.</w:t>
      </w:r>
      <w:r>
        <w:rPr>
          <w:rFonts w:ascii="Times New Roman" w:hAnsi="Times New Roman"/>
          <w:sz w:val="28"/>
          <w:szCs w:val="28"/>
        </w:rPr>
      </w:r>
      <w:r>
        <w:rPr>
          <w:rFonts w:ascii="Times New Roman" w:hAnsi="Times New Roman"/>
          <w:sz w:val="28"/>
          <w:szCs w:val="28"/>
        </w:rPr>
      </w:r>
    </w:p>
    <w:p>
      <w:pPr>
        <w:ind w:firstLine="709"/>
        <w:jc w:val="both"/>
        <w:spacing w:after="0"/>
        <w:shd w:val="clear" w:color="ffffff" w:fill="ffffff"/>
        <w:rPr>
          <w:rFonts w:ascii="Times New Roman" w:hAnsi="Times New Roman"/>
          <w:sz w:val="28"/>
          <w:szCs w:val="28"/>
        </w:rPr>
        <w:pBdr>
          <w:top w:val="none" w:color="000000" w:sz="4" w:space="0"/>
          <w:left w:val="none" w:color="000000" w:sz="4" w:space="0"/>
          <w:bottom w:val="none" w:color="000000" w:sz="4" w:space="0"/>
          <w:right w:val="none" w:color="000000" w:sz="4" w:space="0"/>
        </w:pBdr>
      </w:pPr>
      <w:r>
        <w:rPr>
          <w:rFonts w:ascii="Times New Roman" w:hAnsi="Times New Roman" w:eastAsia="Arial"/>
          <w:color w:val="000000"/>
          <w:sz w:val="28"/>
          <w:szCs w:val="28"/>
        </w:rPr>
        <w:t xml:space="preserve">В докладе правозащитника из Костромской области – Уполномоченного по правам человека Владимира Кирпичника красной линией прошла тема партнерства и взаимодействия с институтами гражданского общества.</w:t>
      </w:r>
      <w:r>
        <w:rPr>
          <w:rFonts w:ascii="Times New Roman" w:hAnsi="Times New Roman"/>
          <w:sz w:val="28"/>
          <w:szCs w:val="28"/>
        </w:rPr>
      </w:r>
      <w:r>
        <w:rPr>
          <w:rFonts w:ascii="Times New Roman" w:hAnsi="Times New Roman"/>
          <w:sz w:val="28"/>
          <w:szCs w:val="28"/>
        </w:rPr>
      </w:r>
    </w:p>
    <w:p>
      <w:pPr>
        <w:ind w:firstLine="709"/>
        <w:jc w:val="both"/>
        <w:spacing w:after="0"/>
        <w:shd w:val="clear" w:color="ffffff" w:fill="ffffff"/>
        <w:rPr>
          <w:rFonts w:ascii="Times New Roman" w:hAnsi="Times New Roman"/>
          <w:sz w:val="28"/>
          <w:szCs w:val="28"/>
        </w:rPr>
        <w:pBdr>
          <w:top w:val="none" w:color="000000" w:sz="4" w:space="0"/>
          <w:left w:val="none" w:color="000000" w:sz="4" w:space="0"/>
          <w:bottom w:val="none" w:color="000000" w:sz="4" w:space="0"/>
          <w:right w:val="none" w:color="000000" w:sz="4" w:space="0"/>
        </w:pBdr>
      </w:pPr>
      <w:r>
        <w:rPr>
          <w:rFonts w:ascii="Times New Roman" w:hAnsi="Times New Roman" w:eastAsia="Arial"/>
          <w:color w:val="000000"/>
          <w:sz w:val="28"/>
          <w:szCs w:val="28"/>
        </w:rPr>
        <w:t xml:space="preserve">С интересом студенты слушали выступления консультанта-юриста аппарата Уполномоченного по правам человека в Ивановской области Сергея Грачева, который остановился на вопросах оказания помощи осужденным. Представитель юридического сообщества Илья </w:t>
      </w:r>
      <w:r>
        <w:rPr>
          <w:rFonts w:ascii="Times New Roman" w:hAnsi="Times New Roman" w:eastAsia="Arial"/>
          <w:color w:val="000000"/>
          <w:sz w:val="28"/>
          <w:szCs w:val="28"/>
        </w:rPr>
        <w:t xml:space="preserve">Филенков</w:t>
      </w:r>
      <w:r>
        <w:rPr>
          <w:rFonts w:ascii="Times New Roman" w:hAnsi="Times New Roman" w:eastAsia="Arial"/>
          <w:color w:val="000000"/>
          <w:sz w:val="28"/>
          <w:szCs w:val="28"/>
        </w:rPr>
        <w:t xml:space="preserve"> остановился на командной работе правозащитников, оказанию адресной помощи заявителям.</w:t>
      </w:r>
      <w:r>
        <w:rPr>
          <w:rFonts w:ascii="Times New Roman" w:hAnsi="Times New Roman"/>
          <w:sz w:val="28"/>
          <w:szCs w:val="28"/>
        </w:rPr>
      </w:r>
      <w:r>
        <w:rPr>
          <w:rFonts w:ascii="Times New Roman" w:hAnsi="Times New Roman"/>
          <w:sz w:val="28"/>
          <w:szCs w:val="28"/>
        </w:rPr>
      </w:r>
    </w:p>
    <w:p>
      <w:pPr>
        <w:ind w:firstLine="709"/>
        <w:jc w:val="both"/>
        <w:spacing w:after="0"/>
        <w:shd w:val="clear" w:color="ffffff" w:fill="ffffff"/>
        <w:rPr>
          <w:rFonts w:ascii="Times New Roman" w:hAnsi="Times New Roman" w:eastAsia="Arial"/>
          <w:color w:val="000000"/>
          <w:sz w:val="28"/>
          <w:szCs w:val="28"/>
        </w:rPr>
        <w:pBdr>
          <w:top w:val="none" w:color="000000" w:sz="4" w:space="0"/>
          <w:left w:val="none" w:color="000000" w:sz="4" w:space="0"/>
          <w:bottom w:val="none" w:color="000000" w:sz="4" w:space="0"/>
          <w:right w:val="none" w:color="000000" w:sz="4" w:space="0"/>
        </w:pBdr>
      </w:pPr>
      <w:r>
        <w:rPr>
          <w:rFonts w:ascii="Times New Roman" w:hAnsi="Times New Roman" w:eastAsia="Arial"/>
          <w:color w:val="000000"/>
          <w:sz w:val="28"/>
          <w:szCs w:val="28"/>
        </w:rPr>
        <w:t xml:space="preserve">Председатель Молодежного общественного совета при Уполномоченном Сергей Ивонин затронул тему реализации молодежных прав в нашем регионе.</w:t>
      </w:r>
      <w:r>
        <w:rPr>
          <w:rFonts w:ascii="Times New Roman" w:hAnsi="Times New Roman" w:eastAsia="Arial"/>
          <w:color w:val="000000"/>
          <w:sz w:val="28"/>
          <w:szCs w:val="28"/>
        </w:rPr>
      </w:r>
      <w:r>
        <w:rPr>
          <w:rFonts w:ascii="Times New Roman" w:hAnsi="Times New Roman" w:eastAsia="Arial"/>
          <w:color w:val="000000"/>
          <w:sz w:val="28"/>
          <w:szCs w:val="28"/>
        </w:rPr>
      </w:r>
      <w:r>
        <w:rPr>
          <w:rFonts w:ascii="Times New Roman" w:hAnsi="Times New Roman"/>
          <w:b/>
          <w:bCs/>
          <w:sz w:val="28"/>
          <w:szCs w:val="28"/>
          <w:highlight w:val="none"/>
        </w:rPr>
      </w:r>
      <w:r>
        <w:rPr>
          <w:rFonts w:ascii="Times New Roman" w:hAnsi="Times New Roman"/>
          <w:b/>
          <w:bCs/>
          <w:sz w:val="28"/>
          <w:szCs w:val="28"/>
          <w:highlight w:val="none"/>
        </w:rPr>
      </w:r>
      <w:r>
        <w:rPr>
          <w:rFonts w:ascii="Times New Roman" w:hAnsi="Times New Roman" w:eastAsia="Arial"/>
          <w:color w:val="000000"/>
          <w:sz w:val="28"/>
          <w:szCs w:val="28"/>
        </w:rPr>
      </w:r>
    </w:p>
    <w:p>
      <w:pPr>
        <w:jc w:val="both"/>
        <w:spacing w:after="0"/>
        <w:shd w:val="clear" w:color="ffffff" w:fill="ffffff"/>
        <w:rPr>
          <w:rFonts w:ascii="Times New Roman" w:hAnsi="Times New Roman"/>
          <w:sz w:val="28"/>
          <w:szCs w:val="28"/>
        </w:rPr>
        <w:pBdr>
          <w:top w:val="none" w:color="000000" w:sz="4" w:space="0"/>
          <w:left w:val="none" w:color="000000" w:sz="4" w:space="0"/>
          <w:bottom w:val="none" w:color="000000" w:sz="4" w:space="0"/>
          <w:right w:val="none" w:color="000000" w:sz="4" w:space="0"/>
        </w:pBdr>
      </w:pPr>
      <w:r>
        <w:rPr>
          <w:rFonts w:ascii="Times New Roman" w:hAnsi="Times New Roman"/>
          <w:sz w:val="28"/>
          <w:szCs w:val="28"/>
        </w:rPr>
      </w:r>
      <w:r>
        <w:rPr>
          <w:rFonts w:ascii="Times New Roman" w:hAnsi="Times New Roman"/>
          <w:sz w:val="28"/>
          <w:szCs w:val="28"/>
        </w:rPr>
      </w:r>
      <w:r>
        <w:rPr>
          <w:rFonts w:ascii="Times New Roman" w:hAnsi="Times New Roman"/>
          <w:sz w:val="28"/>
          <w:szCs w:val="28"/>
        </w:rPr>
      </w:r>
    </w:p>
    <w:p>
      <w:pPr>
        <w:pStyle w:val="1226"/>
        <w:jc w:val="center"/>
        <w:rPr>
          <w:rFonts w:ascii="Times New Roman" w:hAnsi="Times New Roman" w:cs="Times New Roman"/>
          <w:b/>
          <w:bCs/>
          <w:color w:val="auto"/>
          <w:sz w:val="28"/>
          <w:szCs w:val="28"/>
        </w:rPr>
      </w:pPr>
      <w:r/>
      <w:bookmarkStart w:id="68" w:name="_Toc46"/>
      <w:r>
        <w:rPr>
          <w:rFonts w:ascii="Times New Roman" w:hAnsi="Times New Roman" w:cs="Times New Roman"/>
          <w:b/>
          <w:bCs/>
          <w:color w:val="auto"/>
          <w:sz w:val="28"/>
          <w:szCs w:val="28"/>
        </w:rPr>
        <w:t xml:space="preserve">14.5. Партнерство со СМИ и освещение деятельности</w:t>
      </w:r>
      <w:r>
        <w:rPr>
          <w:rFonts w:ascii="Times New Roman" w:hAnsi="Times New Roman" w:cs="Times New Roman"/>
          <w:b/>
          <w:bCs/>
          <w:color w:val="auto"/>
          <w:sz w:val="28"/>
          <w:szCs w:val="28"/>
        </w:rPr>
      </w:r>
      <w:bookmarkEnd w:id="68"/>
      <w:r>
        <w:rPr>
          <w:rFonts w:ascii="Times New Roman" w:hAnsi="Times New Roman" w:cs="Times New Roman"/>
          <w:b/>
          <w:bCs/>
          <w:color w:val="auto"/>
          <w:sz w:val="28"/>
          <w:szCs w:val="28"/>
        </w:rPr>
      </w:r>
      <w:r>
        <w:rPr>
          <w:rFonts w:ascii="Times New Roman" w:hAnsi="Times New Roman" w:cs="Times New Roman"/>
          <w:b/>
          <w:bCs/>
          <w:color w:val="auto"/>
          <w:sz w:val="28"/>
          <w:szCs w:val="28"/>
        </w:rPr>
      </w:r>
      <w:r/>
      <w:r/>
      <w:r>
        <w:rPr>
          <w:rFonts w:ascii="Times New Roman" w:hAnsi="Times New Roman" w:cs="Times New Roman"/>
          <w:b/>
          <w:bCs/>
          <w:color w:val="auto"/>
          <w:sz w:val="28"/>
          <w:szCs w:val="28"/>
        </w:rPr>
      </w:r>
      <w:r/>
      <w:r/>
      <w:r>
        <w:rPr>
          <w:rFonts w:ascii="Times New Roman" w:hAnsi="Times New Roman" w:cs="Times New Roman"/>
          <w:b/>
          <w:bCs/>
          <w:color w:val="auto"/>
          <w:sz w:val="28"/>
          <w:szCs w:val="28"/>
        </w:rPr>
      </w:r>
    </w:p>
    <w:p>
      <w:r/>
      <w:r/>
    </w:p>
    <w:p>
      <w:pPr>
        <w:ind w:firstLine="709"/>
        <w:jc w:val="both"/>
        <w:spacing w:after="0"/>
        <w:rPr>
          <w:rFonts w:ascii="Times New Roman" w:hAnsi="Times New Roman"/>
          <w:sz w:val="28"/>
          <w:szCs w:val="28"/>
        </w:rPr>
      </w:pPr>
      <w:r>
        <w:rPr>
          <w:rFonts w:ascii="Times New Roman" w:hAnsi="Times New Roman"/>
          <w:sz w:val="28"/>
          <w:szCs w:val="28"/>
        </w:rPr>
        <w:t xml:space="preserve">Право на доступ к объективной информации закреплено в Конституции РФ, которая гарантирует каждому право свободно искать, получать, передават</w:t>
      </w:r>
      <w:r>
        <w:rPr>
          <w:rFonts w:ascii="Times New Roman" w:hAnsi="Times New Roman"/>
          <w:sz w:val="28"/>
          <w:szCs w:val="28"/>
        </w:rPr>
        <w:t xml:space="preserve">ь, производить и распространять информацию любым законным способом (ч. 4 ст. 29). Ограничения этого права могут устанавливаться законом только в целях охраны личности, семейной, профессиональной, коммерческой и государственной тайн, а также нравственности.</w:t>
      </w:r>
      <w:r>
        <w:rPr>
          <w:rFonts w:ascii="Times New Roman" w:hAnsi="Times New Roman"/>
          <w:sz w:val="28"/>
          <w:szCs w:val="28"/>
        </w:rPr>
      </w:r>
      <w:r>
        <w:rPr>
          <w:rFonts w:ascii="Times New Roman" w:hAnsi="Times New Roman"/>
          <w:sz w:val="28"/>
          <w:szCs w:val="28"/>
        </w:rPr>
      </w:r>
    </w:p>
    <w:p>
      <w:pPr>
        <w:ind w:firstLine="709"/>
        <w:jc w:val="both"/>
        <w:spacing w:after="0"/>
        <w:rPr>
          <w:rFonts w:ascii="Times New Roman" w:hAnsi="Times New Roman"/>
          <w:sz w:val="28"/>
          <w:szCs w:val="28"/>
        </w:rPr>
      </w:pPr>
      <w:r>
        <w:rPr>
          <w:rFonts w:ascii="Times New Roman" w:hAnsi="Times New Roman"/>
          <w:sz w:val="28"/>
          <w:szCs w:val="28"/>
        </w:rPr>
        <w:t xml:space="preserve">Освещение правозащитной деятельности занимает особое место в работе Уполномоченного и его </w:t>
      </w:r>
      <w:r>
        <w:rPr>
          <w:rFonts w:ascii="Times New Roman" w:hAnsi="Times New Roman"/>
          <w:sz w:val="28"/>
          <w:szCs w:val="28"/>
        </w:rPr>
        <w:t xml:space="preserve">имиджевой</w:t>
      </w:r>
      <w:r>
        <w:rPr>
          <w:rFonts w:ascii="Times New Roman" w:hAnsi="Times New Roman"/>
          <w:sz w:val="28"/>
          <w:szCs w:val="28"/>
        </w:rPr>
        <w:t xml:space="preserve"> составляющей. </w:t>
      </w:r>
      <w:r>
        <w:rPr>
          <w:rFonts w:ascii="Times New Roman" w:hAnsi="Times New Roman"/>
          <w:sz w:val="28"/>
          <w:szCs w:val="28"/>
        </w:rPr>
      </w:r>
      <w:r>
        <w:rPr>
          <w:rFonts w:ascii="Times New Roman" w:hAnsi="Times New Roman"/>
          <w:sz w:val="28"/>
          <w:szCs w:val="28"/>
        </w:rPr>
      </w:r>
    </w:p>
    <w:p>
      <w:pPr>
        <w:ind w:firstLine="709"/>
        <w:jc w:val="both"/>
        <w:spacing w:after="0"/>
        <w:rPr>
          <w:rFonts w:ascii="Times New Roman" w:hAnsi="Times New Roman"/>
          <w:sz w:val="28"/>
          <w:szCs w:val="28"/>
        </w:rPr>
      </w:pPr>
      <w:r>
        <w:rPr>
          <w:rFonts w:ascii="Times New Roman" w:hAnsi="Times New Roman"/>
          <w:sz w:val="28"/>
          <w:szCs w:val="28"/>
        </w:rPr>
        <w:t xml:space="preserve">В течение календарного года на официальном сайте Уполномоченного размещены 282 новостные статьи, на сайте федерального Уполномоченного практики </w:t>
      </w:r>
      <w:r>
        <w:rPr>
          <w:rFonts w:ascii="Times New Roman" w:hAnsi="Times New Roman"/>
          <w:sz w:val="28"/>
          <w:szCs w:val="28"/>
        </w:rPr>
        <w:t xml:space="preserve">ивановского</w:t>
      </w:r>
      <w:r>
        <w:rPr>
          <w:rFonts w:ascii="Times New Roman" w:hAnsi="Times New Roman"/>
          <w:sz w:val="28"/>
          <w:szCs w:val="28"/>
        </w:rPr>
        <w:t xml:space="preserve"> региона представлены в виде 104 публикаций. Информационная работа проводится и в социальных сетях «</w:t>
      </w:r>
      <w:r>
        <w:rPr>
          <w:rFonts w:ascii="Times New Roman" w:hAnsi="Times New Roman"/>
          <w:sz w:val="28"/>
          <w:szCs w:val="28"/>
        </w:rPr>
        <w:t xml:space="preserve">ВКонтакте</w:t>
      </w:r>
      <w:r>
        <w:rPr>
          <w:rFonts w:ascii="Times New Roman" w:hAnsi="Times New Roman"/>
          <w:sz w:val="28"/>
          <w:szCs w:val="28"/>
        </w:rPr>
        <w:t xml:space="preserve">», «Одноклассники», «Телеграмм».</w:t>
      </w:r>
      <w:r>
        <w:rPr>
          <w:rFonts w:ascii="Times New Roman" w:hAnsi="Times New Roman"/>
          <w:sz w:val="28"/>
          <w:szCs w:val="28"/>
        </w:rPr>
      </w:r>
      <w:r>
        <w:rPr>
          <w:rFonts w:ascii="Times New Roman" w:hAnsi="Times New Roman"/>
          <w:sz w:val="28"/>
          <w:szCs w:val="28"/>
        </w:rPr>
      </w:r>
    </w:p>
    <w:p>
      <w:pPr>
        <w:ind w:firstLine="709"/>
        <w:jc w:val="both"/>
        <w:spacing w:after="0"/>
        <w:rPr>
          <w:rFonts w:ascii="Times New Roman" w:hAnsi="Times New Roman"/>
          <w:color w:val="000000"/>
          <w:sz w:val="28"/>
          <w:szCs w:val="28"/>
          <w:shd w:val="clear" w:color="auto" w:fill="ffffff"/>
        </w:rPr>
      </w:pPr>
      <w:r>
        <w:rPr>
          <w:rFonts w:ascii="Times New Roman" w:hAnsi="Times New Roman"/>
          <w:sz w:val="28"/>
          <w:szCs w:val="28"/>
        </w:rPr>
        <w:t xml:space="preserve">По традиции, в январе прошло подведение итогов  правозащитного года с журналистами.</w:t>
      </w:r>
      <w:r>
        <w:rPr>
          <w:rFonts w:ascii="Times New Roman" w:hAnsi="Times New Roman"/>
          <w:color w:val="000000"/>
          <w:sz w:val="28"/>
          <w:szCs w:val="28"/>
          <w:shd w:val="clear" w:color="auto" w:fill="ffffff"/>
        </w:rPr>
        <w:t xml:space="preserve">  Уполномоченный рассказала об актуальных вопросах правозащитной повестки и предварительных итогах работы в 2024 г., положительных практиках по обеспечению прав граждан в работе региональных органов власти.  </w:t>
      </w:r>
      <w:r>
        <w:rPr>
          <w:rFonts w:ascii="Times New Roman" w:hAnsi="Times New Roman"/>
          <w:color w:val="000000"/>
          <w:sz w:val="28"/>
          <w:szCs w:val="28"/>
          <w:shd w:val="clear" w:color="auto" w:fill="ffffff"/>
        </w:rPr>
      </w:r>
      <w:r>
        <w:rPr>
          <w:rFonts w:ascii="Times New Roman" w:hAnsi="Times New Roman"/>
          <w:color w:val="000000"/>
          <w:sz w:val="28"/>
          <w:szCs w:val="28"/>
          <w:shd w:val="clear" w:color="auto" w:fill="ffffff"/>
        </w:rPr>
      </w:r>
    </w:p>
    <w:p>
      <w:pPr>
        <w:ind w:firstLine="709"/>
        <w:jc w:val="both"/>
        <w:spacing w:after="0"/>
        <w:rPr>
          <w:rFonts w:ascii="Times New Roman" w:hAnsi="Times New Roman"/>
          <w:sz w:val="28"/>
          <w:szCs w:val="28"/>
        </w:rPr>
      </w:pPr>
      <w:r>
        <w:rPr>
          <w:rFonts w:ascii="Times New Roman" w:hAnsi="Times New Roman"/>
          <w:sz w:val="28"/>
          <w:szCs w:val="28"/>
        </w:rPr>
        <w:t xml:space="preserve">В печатных и электронных СМИ, на радио и телевидении размещено более  80 соответствующих информационных материалов, интервью, комментариев Уполномоченного.</w:t>
      </w:r>
      <w:r>
        <w:rPr>
          <w:rFonts w:ascii="Times New Roman" w:hAnsi="Times New Roman"/>
          <w:sz w:val="28"/>
          <w:szCs w:val="28"/>
        </w:rPr>
      </w:r>
      <w:r>
        <w:rPr>
          <w:rFonts w:ascii="Times New Roman" w:hAnsi="Times New Roman"/>
          <w:sz w:val="28"/>
          <w:szCs w:val="28"/>
        </w:rPr>
      </w:r>
    </w:p>
    <w:p>
      <w:pPr>
        <w:ind w:firstLine="709"/>
        <w:jc w:val="both"/>
        <w:spacing w:after="0"/>
        <w:rPr>
          <w:rFonts w:ascii="Times New Roman" w:hAnsi="Times New Roman"/>
          <w:sz w:val="28"/>
          <w:szCs w:val="28"/>
        </w:rPr>
      </w:pPr>
      <w:r>
        <w:rPr>
          <w:rFonts w:ascii="Times New Roman" w:hAnsi="Times New Roman"/>
          <w:sz w:val="28"/>
          <w:szCs w:val="28"/>
        </w:rPr>
        <w:t xml:space="preserve">В новостных и тематических программах телекомпаний «ИГТРК» и «БАРС», </w:t>
      </w:r>
      <w:r>
        <w:rPr>
          <w:rFonts w:ascii="Times New Roman" w:hAnsi="Times New Roman"/>
          <w:sz w:val="28"/>
          <w:szCs w:val="28"/>
        </w:rPr>
        <w:t xml:space="preserve">радиоэфирах</w:t>
      </w:r>
      <w:r>
        <w:rPr>
          <w:rFonts w:ascii="Times New Roman" w:hAnsi="Times New Roman"/>
          <w:sz w:val="28"/>
          <w:szCs w:val="28"/>
        </w:rPr>
        <w:t xml:space="preserve"> «Радио-Иваново» региональный омбудсмен принимала участие в обсуждении наиболее актуальных, волнующих население вопросов, в том числе совме</w:t>
      </w:r>
      <w:r>
        <w:rPr>
          <w:rFonts w:ascii="Times New Roman" w:hAnsi="Times New Roman"/>
          <w:sz w:val="28"/>
          <w:szCs w:val="28"/>
        </w:rPr>
        <w:t xml:space="preserve">стно с членами Экспертного совета при Уполномоченном и общественными помощниками, руководителями органов власти и правозащитных некоммерческих организаций.  Отрадно отметить, что и общественными помощниками УПЧ из Шуи и Шуйского района, областного центра, </w:t>
      </w:r>
      <w:r>
        <w:rPr>
          <w:rFonts w:ascii="Times New Roman" w:hAnsi="Times New Roman"/>
          <w:sz w:val="28"/>
          <w:szCs w:val="28"/>
        </w:rPr>
        <w:t xml:space="preserve">Лухского</w:t>
      </w:r>
      <w:r>
        <w:rPr>
          <w:rFonts w:ascii="Times New Roman" w:hAnsi="Times New Roman"/>
          <w:sz w:val="28"/>
          <w:szCs w:val="28"/>
        </w:rPr>
        <w:t xml:space="preserve">, Приволжского, </w:t>
      </w:r>
      <w:r>
        <w:rPr>
          <w:rFonts w:ascii="Times New Roman" w:hAnsi="Times New Roman"/>
          <w:sz w:val="28"/>
          <w:szCs w:val="28"/>
        </w:rPr>
        <w:t xml:space="preserve">Южского</w:t>
      </w:r>
      <w:r>
        <w:rPr>
          <w:rFonts w:ascii="Times New Roman" w:hAnsi="Times New Roman"/>
          <w:sz w:val="28"/>
          <w:szCs w:val="28"/>
        </w:rPr>
        <w:t xml:space="preserve"> муниципальных образований выстроены деловые контакты с местными СМИ. </w:t>
      </w:r>
      <w:r>
        <w:rPr>
          <w:rFonts w:ascii="Times New Roman" w:hAnsi="Times New Roman"/>
          <w:sz w:val="28"/>
          <w:szCs w:val="28"/>
        </w:rPr>
      </w:r>
      <w:r>
        <w:rPr>
          <w:rFonts w:ascii="Times New Roman" w:hAnsi="Times New Roman"/>
          <w:sz w:val="28"/>
          <w:szCs w:val="28"/>
        </w:rPr>
      </w:r>
    </w:p>
    <w:p>
      <w:pPr>
        <w:ind w:firstLine="709"/>
        <w:jc w:val="both"/>
        <w:spacing w:after="0"/>
        <w:rPr>
          <w:rFonts w:ascii="Times New Roman" w:hAnsi="Times New Roman"/>
          <w:sz w:val="28"/>
          <w:szCs w:val="28"/>
        </w:rPr>
      </w:pPr>
      <w:r>
        <w:rPr>
          <w:rFonts w:ascii="Times New Roman" w:hAnsi="Times New Roman"/>
          <w:sz w:val="28"/>
          <w:szCs w:val="28"/>
        </w:rPr>
        <w:t xml:space="preserve">В 2025 г. ивановские журналисты традиционно были отмечены наградами за вклад в правозащитную и </w:t>
      </w:r>
      <w:r>
        <w:rPr>
          <w:rFonts w:ascii="Times New Roman" w:hAnsi="Times New Roman"/>
          <w:sz w:val="28"/>
          <w:szCs w:val="28"/>
        </w:rPr>
        <w:t xml:space="preserve">правопросветительскую</w:t>
      </w:r>
      <w:r>
        <w:rPr>
          <w:rFonts w:ascii="Times New Roman" w:hAnsi="Times New Roman"/>
          <w:sz w:val="28"/>
          <w:szCs w:val="28"/>
        </w:rPr>
        <w:t xml:space="preserve"> деятельность.</w:t>
      </w:r>
      <w:r>
        <w:rPr>
          <w:rFonts w:ascii="Times New Roman" w:hAnsi="Times New Roman"/>
          <w:sz w:val="28"/>
          <w:szCs w:val="28"/>
        </w:rPr>
      </w:r>
      <w:r>
        <w:rPr>
          <w:rFonts w:ascii="Times New Roman" w:hAnsi="Times New Roman"/>
          <w:sz w:val="28"/>
          <w:szCs w:val="28"/>
        </w:rPr>
      </w:r>
    </w:p>
    <w:p>
      <w:pPr>
        <w:ind w:firstLine="709"/>
        <w:jc w:val="both"/>
        <w:spacing w:after="0"/>
        <w:rPr>
          <w:rFonts w:ascii="Times New Roman" w:hAnsi="Times New Roman"/>
          <w:sz w:val="28"/>
          <w:szCs w:val="28"/>
        </w:rPr>
      </w:pPr>
      <w:r>
        <w:rPr>
          <w:rFonts w:ascii="Times New Roman" w:hAnsi="Times New Roman"/>
          <w:sz w:val="28"/>
          <w:szCs w:val="28"/>
        </w:rPr>
        <w:t xml:space="preserve">По ходатайству ивановского Уполномоченного Благодарностью Уполномоченного по правам человека в Российской Федерации                         Т.Н. </w:t>
      </w:r>
      <w:r>
        <w:rPr>
          <w:rFonts w:ascii="Times New Roman" w:hAnsi="Times New Roman"/>
          <w:sz w:val="28"/>
          <w:szCs w:val="28"/>
        </w:rPr>
        <w:t xml:space="preserve">Москальковой</w:t>
      </w:r>
      <w:r>
        <w:rPr>
          <w:rFonts w:ascii="Times New Roman" w:hAnsi="Times New Roman"/>
          <w:sz w:val="28"/>
          <w:szCs w:val="28"/>
        </w:rPr>
        <w:t xml:space="preserve"> отмечены:</w:t>
      </w:r>
      <w:r>
        <w:rPr>
          <w:rFonts w:ascii="Times New Roman" w:hAnsi="Times New Roman"/>
          <w:sz w:val="28"/>
          <w:szCs w:val="28"/>
        </w:rPr>
      </w:r>
      <w:r>
        <w:rPr>
          <w:rFonts w:ascii="Times New Roman" w:hAnsi="Times New Roman"/>
          <w:sz w:val="28"/>
          <w:szCs w:val="28"/>
        </w:rPr>
      </w:r>
    </w:p>
    <w:p>
      <w:pPr>
        <w:pStyle w:val="1227"/>
        <w:numPr>
          <w:ilvl w:val="0"/>
          <w:numId w:val="83"/>
        </w:numPr>
        <w:ind w:left="0" w:firstLine="709"/>
        <w:jc w:val="both"/>
        <w:spacing w:line="276" w:lineRule="auto"/>
        <w:rPr>
          <w:rFonts w:ascii="Times New Roman" w:hAnsi="Times New Roman" w:cs="Times New Roman"/>
          <w:sz w:val="28"/>
          <w:szCs w:val="28"/>
        </w:rPr>
      </w:pPr>
      <w:r>
        <w:rPr>
          <w:rFonts w:ascii="Times New Roman" w:hAnsi="Times New Roman"/>
          <w:sz w:val="28"/>
          <w:szCs w:val="28"/>
          <w:highlight w:val="none"/>
          <w:lang w:val="ru-RU"/>
        </w:rPr>
        <w:t xml:space="preserve">Екатерина Боровкова, </w:t>
      </w:r>
      <w:r>
        <w:rPr>
          <w:rFonts w:ascii="Times New Roman" w:hAnsi="Times New Roman" w:eastAsia="Times New Roman" w:cs="Times New Roman"/>
          <w:sz w:val="28"/>
          <w:szCs w:val="28"/>
        </w:rPr>
        <w:t xml:space="preserve">шеф-редактор</w:t>
      </w:r>
      <w:r>
        <w:rPr>
          <w:rFonts w:ascii="Times New Roman" w:hAnsi="Times New Roman" w:eastAsia="Times New Roman" w:cs="Times New Roman"/>
          <w:sz w:val="28"/>
          <w:szCs w:val="28"/>
        </w:rPr>
        <w:t xml:space="preserve"> </w:t>
      </w:r>
      <w:r>
        <w:rPr>
          <w:rFonts w:ascii="Times New Roman" w:hAnsi="Times New Roman" w:eastAsia="Times New Roman" w:cs="Times New Roman"/>
          <w:sz w:val="28"/>
          <w:szCs w:val="28"/>
        </w:rPr>
        <w:t xml:space="preserve">филиала ФГУП «Всероссийская государственная телевизионная и радиовещательная компания» «Государственная телевизионная и радиовещательная компания «</w:t>
      </w:r>
      <w:r>
        <w:rPr>
          <w:rFonts w:ascii="Times New Roman" w:hAnsi="Times New Roman" w:eastAsia="Times New Roman" w:cs="Times New Roman"/>
          <w:sz w:val="28"/>
          <w:szCs w:val="28"/>
        </w:rPr>
        <w:t xml:space="preserve">Ивтелерадио</w:t>
      </w:r>
      <w:r>
        <w:rPr>
          <w:rFonts w:ascii="Times New Roman" w:hAnsi="Times New Roman" w:eastAsia="Times New Roman" w:cs="Times New Roman"/>
          <w:sz w:val="28"/>
          <w:szCs w:val="28"/>
        </w:rPr>
        <w:t xml:space="preserve">»</w:t>
      </w:r>
      <w:r>
        <w:rPr>
          <w:rFonts w:ascii="Times New Roman" w:hAnsi="Times New Roman" w:eastAsia="Times New Roman" w:cs="Times New Roman"/>
          <w:sz w:val="28"/>
          <w:szCs w:val="28"/>
          <w:highlight w:val="none"/>
          <w:lang w:val="ru-RU"/>
        </w:rPr>
        <w:t xml:space="preserve">;</w:t>
      </w:r>
      <w:r>
        <w:rPr>
          <w:rFonts w:ascii="Times New Roman" w:hAnsi="Times New Roman" w:cs="Times New Roman"/>
          <w:sz w:val="28"/>
          <w:szCs w:val="28"/>
        </w:rPr>
      </w:r>
      <w:r>
        <w:rPr>
          <w:rFonts w:ascii="Times New Roman" w:hAnsi="Times New Roman" w:cs="Times New Roman"/>
          <w:sz w:val="28"/>
          <w:szCs w:val="28"/>
        </w:rPr>
      </w:r>
    </w:p>
    <w:p>
      <w:pPr>
        <w:pStyle w:val="1227"/>
        <w:numPr>
          <w:ilvl w:val="0"/>
          <w:numId w:val="83"/>
        </w:numPr>
        <w:ind w:left="0" w:firstLine="709"/>
        <w:jc w:val="both"/>
        <w:spacing w:line="276" w:lineRule="auto"/>
        <w:rPr>
          <w:rFonts w:ascii="Times New Roman" w:hAnsi="Times New Roman"/>
          <w:sz w:val="28"/>
          <w:szCs w:val="28"/>
          <w:lang w:val="ru-RU"/>
        </w:rPr>
      </w:pPr>
      <w:r>
        <w:rPr>
          <w:rFonts w:ascii="Times New Roman" w:hAnsi="Times New Roman"/>
          <w:sz w:val="28"/>
          <w:szCs w:val="28"/>
          <w:lang w:val="ru-RU"/>
        </w:rPr>
        <w:t xml:space="preserve">Ирина Калинина, шеф-редактор отдела подготовки и выпуска радиопрограмм </w:t>
      </w:r>
      <w:r>
        <w:rPr>
          <w:rFonts w:ascii="Times New Roman" w:hAnsi="Times New Roman" w:eastAsia="Times New Roman" w:cs="Times New Roman"/>
          <w:sz w:val="28"/>
          <w:szCs w:val="28"/>
        </w:rPr>
        <w:t xml:space="preserve">филиала ФГУП «Всероссийская государственная телевизионная и радиовещательная компания» «Государственная телевизионная и радиовещательная компания «</w:t>
      </w:r>
      <w:r>
        <w:rPr>
          <w:rFonts w:ascii="Times New Roman" w:hAnsi="Times New Roman" w:eastAsia="Times New Roman" w:cs="Times New Roman"/>
          <w:sz w:val="28"/>
          <w:szCs w:val="28"/>
        </w:rPr>
        <w:t xml:space="preserve">Ивтелерадио</w:t>
      </w:r>
      <w:r>
        <w:rPr>
          <w:rFonts w:ascii="Times New Roman" w:hAnsi="Times New Roman" w:eastAsia="Times New Roman" w:cs="Times New Roman"/>
          <w:sz w:val="28"/>
          <w:szCs w:val="28"/>
        </w:rPr>
        <w:t xml:space="preserve">»</w:t>
      </w:r>
      <w:r>
        <w:rPr>
          <w:rFonts w:ascii="Times New Roman" w:hAnsi="Times New Roman" w:eastAsia="Times New Roman" w:cs="Times New Roman"/>
          <w:sz w:val="28"/>
          <w:szCs w:val="28"/>
        </w:rPr>
        <w:t xml:space="preserve">;</w:t>
      </w:r>
      <w:r>
        <w:rPr>
          <w:rFonts w:ascii="Times New Roman" w:hAnsi="Times New Roman"/>
          <w:sz w:val="28"/>
          <w:szCs w:val="28"/>
          <w:lang w:val="ru-RU"/>
        </w:rPr>
      </w:r>
      <w:r>
        <w:rPr>
          <w:rFonts w:ascii="Times New Roman" w:hAnsi="Times New Roman"/>
          <w:sz w:val="28"/>
          <w:szCs w:val="28"/>
          <w:lang w:val="ru-RU"/>
        </w:rPr>
      </w:r>
    </w:p>
    <w:p>
      <w:pPr>
        <w:pStyle w:val="1227"/>
        <w:numPr>
          <w:ilvl w:val="0"/>
          <w:numId w:val="83"/>
        </w:numPr>
        <w:ind w:left="0" w:firstLine="709"/>
        <w:jc w:val="both"/>
        <w:spacing w:line="276" w:lineRule="auto"/>
        <w:rPr>
          <w:rFonts w:ascii="Times New Roman" w:hAnsi="Times New Roman"/>
          <w:sz w:val="28"/>
          <w:szCs w:val="28"/>
          <w:lang w:val="ru-RU"/>
        </w:rPr>
      </w:pPr>
      <w:r>
        <w:rPr>
          <w:rFonts w:ascii="Times New Roman" w:hAnsi="Times New Roman"/>
          <w:sz w:val="28"/>
          <w:szCs w:val="28"/>
          <w:lang w:val="ru-RU"/>
        </w:rPr>
        <w:t xml:space="preserve">Елена </w:t>
      </w:r>
      <w:r>
        <w:rPr>
          <w:rFonts w:ascii="Times New Roman" w:hAnsi="Times New Roman"/>
          <w:sz w:val="28"/>
          <w:szCs w:val="28"/>
          <w:lang w:val="ru-RU"/>
        </w:rPr>
        <w:t xml:space="preserve">Паргина</w:t>
      </w:r>
      <w:r>
        <w:rPr>
          <w:rFonts w:ascii="Times New Roman" w:hAnsi="Times New Roman"/>
          <w:sz w:val="28"/>
          <w:szCs w:val="28"/>
          <w:lang w:val="ru-RU"/>
        </w:rPr>
        <w:t xml:space="preserve">, главный редактор журнала «Власть. Ивановская область», автор </w:t>
      </w:r>
      <w:r>
        <w:rPr>
          <w:rFonts w:ascii="Times New Roman" w:hAnsi="Times New Roman"/>
          <w:sz w:val="28"/>
          <w:szCs w:val="28"/>
          <w:lang w:val="ru-RU"/>
        </w:rPr>
        <w:t xml:space="preserve">телеграм-канала</w:t>
      </w:r>
      <w:r>
        <w:rPr>
          <w:rFonts w:ascii="Times New Roman" w:hAnsi="Times New Roman"/>
          <w:sz w:val="28"/>
          <w:szCs w:val="28"/>
          <w:lang w:val="ru-RU"/>
        </w:rPr>
        <w:t xml:space="preserve"> «Позитивный политолог».</w:t>
      </w:r>
      <w:r>
        <w:rPr>
          <w:rFonts w:ascii="Times New Roman" w:hAnsi="Times New Roman"/>
          <w:sz w:val="28"/>
          <w:szCs w:val="28"/>
          <w:lang w:val="ru-RU"/>
        </w:rPr>
      </w:r>
      <w:r>
        <w:rPr>
          <w:rFonts w:ascii="Times New Roman" w:hAnsi="Times New Roman"/>
          <w:sz w:val="28"/>
          <w:szCs w:val="28"/>
          <w:lang w:val="ru-RU"/>
        </w:rPr>
      </w:r>
    </w:p>
    <w:p>
      <w:pPr>
        <w:pStyle w:val="1227"/>
        <w:ind w:left="0" w:firstLine="709"/>
        <w:jc w:val="both"/>
        <w:spacing w:line="276" w:lineRule="auto"/>
        <w:rPr>
          <w:rFonts w:ascii="Times New Roman" w:hAnsi="Times New Roman"/>
          <w:sz w:val="28"/>
          <w:szCs w:val="28"/>
          <w:lang w:val="ru-RU"/>
        </w:rPr>
      </w:pPr>
      <w:r>
        <w:rPr>
          <w:rFonts w:ascii="Times New Roman" w:hAnsi="Times New Roman"/>
          <w:sz w:val="28"/>
          <w:szCs w:val="28"/>
          <w:lang w:val="ru-RU"/>
        </w:rPr>
        <w:t xml:space="preserve">2025 год был богат на юбилеи  СМИ, с которыми плотно сотрудничает  региональная правозащитная команда.</w:t>
      </w:r>
      <w:r>
        <w:rPr>
          <w:rFonts w:ascii="Times New Roman" w:hAnsi="Times New Roman"/>
          <w:sz w:val="28"/>
          <w:szCs w:val="28"/>
          <w:lang w:val="ru-RU"/>
        </w:rPr>
      </w:r>
      <w:r>
        <w:rPr>
          <w:rFonts w:ascii="Times New Roman" w:hAnsi="Times New Roman"/>
          <w:sz w:val="28"/>
          <w:szCs w:val="28"/>
          <w:lang w:val="ru-RU"/>
        </w:rPr>
      </w:r>
    </w:p>
    <w:p>
      <w:pPr>
        <w:ind w:firstLine="709"/>
        <w:jc w:val="both"/>
        <w:spacing w:after="0"/>
        <w:rPr>
          <w:rFonts w:ascii="Times New Roman" w:hAnsi="Times New Roman"/>
          <w:sz w:val="28"/>
          <w:szCs w:val="28"/>
        </w:rPr>
      </w:pPr>
      <w:r>
        <w:rPr>
          <w:rFonts w:ascii="Times New Roman" w:hAnsi="Times New Roman"/>
          <w:sz w:val="28"/>
          <w:szCs w:val="28"/>
        </w:rPr>
        <w:t xml:space="preserve">Свой вековой юбилей отметило ивановское радио. Первая передача ивановского радио вышла в эфир 11 июня 1925 года в 17 часов. С этого момента в области началась новая информационная эпоха. По радио на протяжении десятилетий </w:t>
      </w:r>
      <w:r>
        <w:rPr>
          <w:rFonts w:ascii="Times New Roman" w:hAnsi="Times New Roman"/>
          <w:sz w:val="28"/>
          <w:szCs w:val="28"/>
        </w:rPr>
        <w:t xml:space="preserve">ивановцы</w:t>
      </w:r>
      <w:r>
        <w:rPr>
          <w:rFonts w:ascii="Times New Roman" w:hAnsi="Times New Roman"/>
          <w:sz w:val="28"/>
          <w:szCs w:val="28"/>
        </w:rPr>
        <w:t xml:space="preserve"> получали оперативную информацию о событиях, которые происходили в регионе. Ивановское радио до сих пор идет в ногу со временем.</w:t>
      </w:r>
      <w:r>
        <w:rPr>
          <w:rFonts w:ascii="Times New Roman" w:hAnsi="Times New Roman"/>
          <w:sz w:val="28"/>
          <w:szCs w:val="28"/>
        </w:rPr>
      </w:r>
      <w:r>
        <w:rPr>
          <w:rFonts w:ascii="Times New Roman" w:hAnsi="Times New Roman"/>
          <w:sz w:val="28"/>
          <w:szCs w:val="28"/>
        </w:rPr>
      </w:r>
    </w:p>
    <w:p>
      <w:pPr>
        <w:ind w:firstLine="708"/>
        <w:jc w:val="both"/>
        <w:spacing w:after="0"/>
        <w:shd w:val="clear" w:color="ffffff" w:fill="ffffff"/>
        <w:rPr>
          <w:rFonts w:ascii="Times New Roman" w:hAnsi="Times New Roman"/>
          <w:sz w:val="28"/>
          <w:szCs w:val="28"/>
        </w:rPr>
        <w:pBdr>
          <w:top w:val="none" w:color="000000" w:sz="4" w:space="0"/>
          <w:left w:val="none" w:color="000000" w:sz="4" w:space="0"/>
          <w:bottom w:val="none" w:color="000000" w:sz="4" w:space="0"/>
          <w:right w:val="none" w:color="000000" w:sz="4" w:space="0"/>
        </w:pBdr>
      </w:pPr>
      <w:r>
        <w:rPr>
          <w:rFonts w:ascii="Times New Roman" w:hAnsi="Times New Roman" w:eastAsia="Arial"/>
          <w:color w:val="000000"/>
          <w:sz w:val="28"/>
          <w:szCs w:val="28"/>
        </w:rPr>
        <w:t xml:space="preserve">В июле 2025 года в Ивановском доме национальностей состоялось торжественное мероприятие, посещенное 35-летию со дня образования «Ивановской газеты».</w:t>
      </w:r>
      <w:r>
        <w:rPr>
          <w:rFonts w:ascii="Times New Roman" w:hAnsi="Times New Roman"/>
          <w:sz w:val="28"/>
          <w:szCs w:val="28"/>
        </w:rPr>
      </w:r>
      <w:r>
        <w:rPr>
          <w:rFonts w:ascii="Times New Roman" w:hAnsi="Times New Roman"/>
          <w:sz w:val="28"/>
          <w:szCs w:val="28"/>
        </w:rPr>
      </w:r>
    </w:p>
    <w:p>
      <w:pPr>
        <w:ind w:firstLine="708"/>
        <w:jc w:val="both"/>
        <w:spacing w:after="0"/>
        <w:shd w:val="clear" w:color="ffffff" w:fill="ffffff"/>
        <w:rPr>
          <w:rFonts w:ascii="Times New Roman" w:hAnsi="Times New Roman"/>
          <w:sz w:val="28"/>
          <w:szCs w:val="28"/>
        </w:rPr>
        <w:pBdr>
          <w:top w:val="none" w:color="000000" w:sz="4" w:space="0"/>
          <w:left w:val="none" w:color="000000" w:sz="4" w:space="0"/>
          <w:bottom w:val="none" w:color="000000" w:sz="4" w:space="0"/>
          <w:right w:val="none" w:color="000000" w:sz="4" w:space="0"/>
        </w:pBdr>
      </w:pPr>
      <w:r>
        <w:rPr>
          <w:rFonts w:ascii="Times New Roman" w:hAnsi="Times New Roman" w:eastAsia="Arial"/>
          <w:color w:val="000000"/>
          <w:sz w:val="28"/>
          <w:szCs w:val="28"/>
        </w:rPr>
        <w:t xml:space="preserve">В мероприятии приняли участие представители органов власти и общественных организаций.</w:t>
      </w:r>
      <w:r>
        <w:rPr>
          <w:rFonts w:ascii="Times New Roman" w:hAnsi="Times New Roman"/>
          <w:sz w:val="28"/>
          <w:szCs w:val="28"/>
        </w:rPr>
        <w:t xml:space="preserve"> </w:t>
      </w:r>
      <w:r>
        <w:rPr>
          <w:rFonts w:ascii="Times New Roman" w:hAnsi="Times New Roman" w:eastAsia="Arial"/>
          <w:color w:val="000000"/>
          <w:sz w:val="28"/>
          <w:szCs w:val="28"/>
        </w:rPr>
        <w:t xml:space="preserve">Омбудсмен поблагодарила коллектив за профессионализм и вклад в формирование общественного мнения, развитие информационной куль</w:t>
      </w:r>
      <w:r>
        <w:rPr>
          <w:rFonts w:ascii="Times New Roman" w:hAnsi="Times New Roman" w:eastAsia="Arial"/>
          <w:color w:val="000000"/>
          <w:sz w:val="28"/>
          <w:szCs w:val="28"/>
        </w:rPr>
        <w:t xml:space="preserve">туры. Светлана Шмелева вручила грамоту Уполномоченного по правам человека в Ивановской области коллективу бюджетного учреждения «Ивановские газеты» за сотрудничество и вклад в реализацию жителями Ивановской области права на доступ к достоверной информации.</w:t>
      </w:r>
      <w:r>
        <w:rPr>
          <w:rFonts w:ascii="Times New Roman" w:hAnsi="Times New Roman"/>
          <w:sz w:val="28"/>
          <w:szCs w:val="28"/>
        </w:rPr>
      </w:r>
      <w:r>
        <w:rPr>
          <w:rFonts w:ascii="Times New Roman" w:hAnsi="Times New Roman"/>
          <w:sz w:val="28"/>
          <w:szCs w:val="28"/>
        </w:rPr>
      </w:r>
    </w:p>
    <w:p>
      <w:pPr>
        <w:ind w:firstLine="709"/>
        <w:jc w:val="both"/>
        <w:spacing w:after="0"/>
        <w:rPr>
          <w:rFonts w:ascii="Times New Roman" w:hAnsi="Times New Roman"/>
          <w:color w:val="000000" w:themeColor="text1"/>
          <w:sz w:val="28"/>
          <w:szCs w:val="28"/>
        </w:rPr>
      </w:pPr>
      <w:r>
        <w:rPr>
          <w:rFonts w:ascii="Times New Roman" w:hAnsi="Times New Roman"/>
          <w:sz w:val="28"/>
          <w:szCs w:val="28"/>
        </w:rPr>
        <w:t xml:space="preserve">Взаимодействие Уполномоченного с региональными СМИ предполагает и исследование </w:t>
      </w:r>
      <w:r>
        <w:rPr>
          <w:rFonts w:ascii="Times New Roman" w:hAnsi="Times New Roman"/>
          <w:color w:val="000000" w:themeColor="text1"/>
          <w:sz w:val="28"/>
          <w:szCs w:val="28"/>
        </w:rPr>
        <w:t xml:space="preserve">публикаций и сообщений, откликов пользователей сети, где поднимались проблемы соблюдения и восстановления прав граждан.</w:t>
      </w:r>
      <w:r>
        <w:rPr>
          <w:rFonts w:ascii="Times New Roman" w:hAnsi="Times New Roman"/>
          <w:color w:val="000000" w:themeColor="text1"/>
          <w:sz w:val="28"/>
          <w:szCs w:val="28"/>
        </w:rPr>
      </w:r>
      <w:r>
        <w:rPr>
          <w:rFonts w:ascii="Times New Roman" w:hAnsi="Times New Roman"/>
          <w:color w:val="000000" w:themeColor="text1"/>
          <w:sz w:val="28"/>
          <w:szCs w:val="28"/>
        </w:rPr>
      </w:r>
    </w:p>
    <w:p>
      <w:pPr>
        <w:ind w:firstLine="709"/>
        <w:jc w:val="both"/>
        <w:spacing w:after="0"/>
        <w:rPr>
          <w:rFonts w:ascii="Times New Roman" w:hAnsi="Times New Roman"/>
          <w:sz w:val="28"/>
          <w:szCs w:val="28"/>
        </w:rPr>
      </w:pPr>
      <w:r>
        <w:rPr>
          <w:rFonts w:ascii="Times New Roman" w:hAnsi="Times New Roman"/>
          <w:sz w:val="28"/>
          <w:szCs w:val="28"/>
        </w:rPr>
        <w:t xml:space="preserve">В течение года аппарат УПЧ оперативно реагировал на проблемные ситуации </w:t>
      </w:r>
      <w:r>
        <w:rPr>
          <w:rFonts w:ascii="Times New Roman" w:hAnsi="Times New Roman"/>
          <w:sz w:val="28"/>
          <w:szCs w:val="28"/>
        </w:rPr>
        <w:t xml:space="preserve">ивановцев</w:t>
      </w:r>
      <w:r>
        <w:rPr>
          <w:rFonts w:ascii="Times New Roman" w:hAnsi="Times New Roman"/>
          <w:sz w:val="28"/>
          <w:szCs w:val="28"/>
        </w:rPr>
        <w:t xml:space="preserve">, опубликованные в сети Интернет, на информационных площадках </w:t>
      </w:r>
      <w:r>
        <w:rPr>
          <w:rFonts w:ascii="Times New Roman" w:hAnsi="Times New Roman"/>
          <w:color w:val="000000" w:themeColor="text1"/>
          <w:sz w:val="28"/>
          <w:szCs w:val="28"/>
        </w:rPr>
        <w:t xml:space="preserve">с привлечением надзорных служб, органов власти, в чью компетенцию входит разрешение обозначенных вопросов.  </w:t>
      </w:r>
      <w:r>
        <w:rPr>
          <w:rFonts w:ascii="Times New Roman" w:hAnsi="Times New Roman"/>
          <w:sz w:val="28"/>
          <w:szCs w:val="28"/>
        </w:rPr>
      </w:r>
      <w:r>
        <w:rPr>
          <w:rFonts w:ascii="Times New Roman" w:hAnsi="Times New Roman"/>
          <w:sz w:val="28"/>
          <w:szCs w:val="28"/>
        </w:rPr>
      </w:r>
    </w:p>
    <w:p>
      <w:pPr>
        <w:ind w:firstLine="709"/>
        <w:jc w:val="both"/>
        <w:spacing w:after="0"/>
        <w:rPr>
          <w:rFonts w:ascii="Times New Roman" w:hAnsi="Times New Roman"/>
          <w:sz w:val="28"/>
          <w:szCs w:val="28"/>
        </w:rPr>
      </w:pPr>
      <w:r>
        <w:rPr>
          <w:rFonts w:ascii="Times New Roman" w:hAnsi="Times New Roman"/>
          <w:sz w:val="28"/>
          <w:szCs w:val="28"/>
        </w:rPr>
        <w:t xml:space="preserve">В социальных сетях Уполномоченного и на его официальном сайте ежедневно публикуются информационные статьи о деятельности, приводятся положительные примеры из практики работы, размещается информация о новом в законодательстве. </w:t>
      </w:r>
      <w:r>
        <w:rPr>
          <w:rFonts w:ascii="Times New Roman" w:hAnsi="Times New Roman"/>
          <w:sz w:val="28"/>
          <w:szCs w:val="28"/>
        </w:rPr>
      </w:r>
      <w:r>
        <w:rPr>
          <w:rFonts w:ascii="Times New Roman" w:hAnsi="Times New Roman"/>
          <w:sz w:val="28"/>
          <w:szCs w:val="28"/>
        </w:rPr>
      </w:r>
    </w:p>
    <w:p>
      <w:pPr>
        <w:ind w:firstLine="709"/>
        <w:jc w:val="both"/>
        <w:spacing w:after="0"/>
        <w:rPr>
          <w:rFonts w:ascii="Times New Roman" w:hAnsi="Times New Roman"/>
          <w:i/>
          <w:iCs/>
          <w:color w:val="000000" w:themeColor="text1"/>
          <w:sz w:val="28"/>
          <w:szCs w:val="28"/>
          <w:highlight w:val="none"/>
        </w:rPr>
      </w:pPr>
      <w:r>
        <w:rPr>
          <w:rFonts w:ascii="Times New Roman" w:hAnsi="Times New Roman"/>
          <w:i/>
          <w:iCs/>
          <w:color w:val="000000" w:themeColor="text1"/>
          <w:sz w:val="28"/>
          <w:szCs w:val="28"/>
        </w:rPr>
        <w:t xml:space="preserve">Благодарю журналистов за плодотворное сотрудничество, которое позволяет повысить качество работы по решению проблем заявителей, расширить актуальную информацию правового характера, представить полезные правозащитные практики.</w:t>
      </w:r>
      <w:r>
        <w:rPr>
          <w:rFonts w:ascii="Times New Roman" w:hAnsi="Times New Roman"/>
          <w:i/>
          <w:iCs/>
          <w:color w:val="000000" w:themeColor="text1"/>
          <w:sz w:val="28"/>
          <w:szCs w:val="28"/>
          <w:highlight w:val="none"/>
        </w:rPr>
      </w:r>
      <w:r>
        <w:rPr>
          <w:rFonts w:ascii="Times New Roman" w:hAnsi="Times New Roman"/>
          <w:i/>
          <w:iCs/>
          <w:color w:val="000000" w:themeColor="text1"/>
          <w:sz w:val="28"/>
          <w:szCs w:val="28"/>
          <w:highlight w:val="none"/>
        </w:rPr>
      </w:r>
    </w:p>
    <w:p>
      <w:pPr>
        <w:ind w:firstLine="709"/>
        <w:jc w:val="both"/>
        <w:spacing w:after="0"/>
        <w:rPr>
          <w:rFonts w:ascii="Times New Roman" w:hAnsi="Times New Roman"/>
          <w:color w:val="000000" w:themeColor="text1"/>
          <w:sz w:val="28"/>
          <w:szCs w:val="28"/>
        </w:rPr>
      </w:pPr>
      <w:r>
        <w:rPr>
          <w:rFonts w:ascii="Times New Roman" w:hAnsi="Times New Roman"/>
          <w:color w:val="000000" w:themeColor="text1"/>
          <w:sz w:val="28"/>
          <w:szCs w:val="28"/>
          <w:highlight w:val="none"/>
        </w:rPr>
      </w:r>
      <w:r>
        <w:rPr>
          <w:rFonts w:ascii="Times New Roman" w:hAnsi="Times New Roman"/>
          <w:color w:val="000000" w:themeColor="text1"/>
          <w:sz w:val="28"/>
          <w:szCs w:val="28"/>
        </w:rPr>
      </w:r>
      <w:r>
        <w:rPr>
          <w:rFonts w:ascii="Times New Roman" w:hAnsi="Times New Roman"/>
          <w:color w:val="000000" w:themeColor="text1"/>
          <w:sz w:val="28"/>
          <w:szCs w:val="28"/>
        </w:rPr>
      </w:r>
    </w:p>
    <w:p>
      <w:pPr>
        <w:pStyle w:val="1226"/>
        <w:jc w:val="center"/>
        <w:rPr>
          <w:rFonts w:ascii="Times New Roman" w:hAnsi="Times New Roman" w:cs="Times New Roman"/>
          <w:b/>
          <w:bCs/>
          <w:color w:val="auto"/>
          <w:sz w:val="28"/>
          <w:szCs w:val="28"/>
        </w:rPr>
      </w:pPr>
      <w:r/>
      <w:bookmarkStart w:id="69" w:name="_Toc47"/>
      <w:r>
        <w:rPr>
          <w:rFonts w:ascii="Times New Roman" w:hAnsi="Times New Roman" w:cs="Times New Roman"/>
          <w:b/>
          <w:bCs/>
          <w:color w:val="auto"/>
          <w:sz w:val="28"/>
          <w:szCs w:val="28"/>
        </w:rPr>
        <w:t xml:space="preserve">14.6. Работа Экспертного совета, Молодежного общественного совета и общественных помощников Уполномоченного</w:t>
      </w:r>
      <w:r>
        <w:rPr>
          <w:rFonts w:ascii="Times New Roman" w:hAnsi="Times New Roman" w:cs="Times New Roman"/>
          <w:b/>
          <w:bCs/>
          <w:color w:val="auto"/>
          <w:sz w:val="28"/>
          <w:szCs w:val="28"/>
        </w:rPr>
      </w:r>
      <w:bookmarkEnd w:id="69"/>
      <w:r>
        <w:rPr>
          <w:rFonts w:ascii="Times New Roman" w:hAnsi="Times New Roman" w:cs="Times New Roman"/>
          <w:b/>
          <w:bCs/>
          <w:color w:val="auto"/>
          <w:sz w:val="28"/>
          <w:szCs w:val="28"/>
        </w:rPr>
      </w:r>
      <w:r>
        <w:rPr>
          <w:rFonts w:ascii="Times New Roman" w:hAnsi="Times New Roman" w:cs="Times New Roman"/>
          <w:b/>
          <w:bCs/>
          <w:color w:val="auto"/>
          <w:sz w:val="28"/>
          <w:szCs w:val="28"/>
        </w:rPr>
      </w:r>
    </w:p>
    <w:p>
      <w:pPr>
        <w:rPr>
          <w:rFonts w:ascii="Times New Roman" w:hAnsi="Times New Roman"/>
        </w:rPr>
      </w:pPr>
      <w:r>
        <w:rPr>
          <w:rFonts w:ascii="Times New Roman" w:hAnsi="Times New Roman"/>
        </w:rPr>
      </w:r>
      <w:r>
        <w:rPr>
          <w:rFonts w:ascii="Times New Roman" w:hAnsi="Times New Roman"/>
        </w:rPr>
      </w:r>
      <w:r>
        <w:rPr>
          <w:rFonts w:ascii="Times New Roman" w:hAnsi="Times New Roman"/>
        </w:rPr>
      </w:r>
    </w:p>
    <w:p>
      <w:pPr>
        <w:ind w:firstLine="708"/>
        <w:jc w:val="both"/>
        <w:spacing w:after="0"/>
        <w:rPr>
          <w:rFonts w:ascii="Times New Roman" w:hAnsi="Times New Roman"/>
          <w:color w:val="000000"/>
          <w:sz w:val="28"/>
          <w:szCs w:val="28"/>
          <w:shd w:val="clear" w:color="auto" w:fill="ffffff"/>
        </w:rPr>
      </w:pPr>
      <w:r>
        <w:rPr>
          <w:rFonts w:ascii="Times New Roman" w:hAnsi="Times New Roman" w:eastAsia="Times New Roman"/>
          <w:color w:val="000000"/>
          <w:sz w:val="28"/>
          <w:szCs w:val="28"/>
          <w:highlight w:val="white"/>
        </w:rPr>
        <w:t xml:space="preserve">«Один в поле не воин» - эта старая пословица очень даже актуальна в современных реалиях. </w:t>
      </w:r>
      <w:r>
        <w:rPr>
          <w:rFonts w:ascii="Times New Roman" w:hAnsi="Times New Roman" w:eastAsia="Times New Roman"/>
          <w:sz w:val="28"/>
          <w:szCs w:val="28"/>
        </w:rPr>
        <w:t xml:space="preserve"> Помогать людям, решать их вопросы эффективнее вместе.</w:t>
      </w:r>
      <w:r>
        <w:rPr>
          <w:rFonts w:ascii="Times New Roman" w:hAnsi="Times New Roman"/>
          <w:color w:val="000000"/>
          <w:sz w:val="28"/>
          <w:szCs w:val="28"/>
          <w:shd w:val="clear" w:color="auto" w:fill="ffffff"/>
        </w:rPr>
      </w:r>
      <w:r>
        <w:rPr>
          <w:rFonts w:ascii="Times New Roman" w:hAnsi="Times New Roman"/>
          <w:color w:val="000000"/>
          <w:sz w:val="28"/>
          <w:szCs w:val="28"/>
          <w:shd w:val="clear" w:color="auto" w:fill="ffffff"/>
        </w:rPr>
      </w:r>
    </w:p>
    <w:p>
      <w:pPr>
        <w:ind w:firstLine="708"/>
        <w:jc w:val="both"/>
        <w:spacing w:after="0"/>
        <w:rPr>
          <w:rFonts w:ascii="Times New Roman" w:hAnsi="Times New Roman"/>
          <w:color w:val="000000"/>
          <w:sz w:val="28"/>
          <w:szCs w:val="28"/>
        </w:rPr>
      </w:pPr>
      <w:r>
        <w:rPr>
          <w:rFonts w:ascii="Times New Roman" w:hAnsi="Times New Roman"/>
          <w:color w:val="000000"/>
          <w:sz w:val="28"/>
          <w:szCs w:val="28"/>
          <w:shd w:val="clear" w:color="auto" w:fill="ffffff"/>
        </w:rPr>
        <w:t xml:space="preserve">В соответствии с Федеральным законом от 18.03.2020 г. № 48 ФЗ  </w:t>
      </w:r>
      <w:r>
        <w:rPr>
          <w:rFonts w:ascii="Times New Roman" w:hAnsi="Times New Roman"/>
          <w:sz w:val="28"/>
          <w:szCs w:val="28"/>
        </w:rPr>
        <w:t xml:space="preserve">«Об уполномоченных по правам человека в субъектах Российской Федерации» </w:t>
      </w:r>
      <w:r>
        <w:rPr>
          <w:rFonts w:ascii="Times New Roman" w:hAnsi="Times New Roman"/>
          <w:color w:val="000000"/>
          <w:sz w:val="28"/>
          <w:szCs w:val="28"/>
          <w:shd w:val="clear" w:color="auto" w:fill="ffffff"/>
        </w:rPr>
        <w:t xml:space="preserve">Уполномоченный по правам человека в субъекте Российской Федерации вправе иметь помощников, осуществляющих деятельность на общественных началах, а также создавать консультативный (экспертный) совет.</w:t>
      </w:r>
      <w:r>
        <w:rPr>
          <w:rFonts w:ascii="Times New Roman" w:hAnsi="Times New Roman"/>
          <w:color w:val="000000"/>
          <w:sz w:val="28"/>
          <w:szCs w:val="28"/>
        </w:rPr>
      </w:r>
      <w:r>
        <w:rPr>
          <w:rFonts w:ascii="Times New Roman" w:hAnsi="Times New Roman"/>
          <w:color w:val="000000"/>
          <w:sz w:val="28"/>
          <w:szCs w:val="28"/>
        </w:rPr>
      </w:r>
    </w:p>
    <w:p>
      <w:pPr>
        <w:ind w:firstLine="708"/>
        <w:jc w:val="both"/>
        <w:spacing w:after="0"/>
        <w:shd w:val="clear" w:color="ffffff" w:fill="ffffff"/>
        <w:rPr>
          <w:rFonts w:ascii="Times New Roman" w:hAnsi="Times New Roman"/>
          <w:color w:val="000000"/>
          <w:sz w:val="28"/>
          <w:szCs w:val="28"/>
        </w:rPr>
        <w:pBdr>
          <w:top w:val="none" w:color="000000" w:sz="4" w:space="0"/>
          <w:left w:val="none" w:color="000000" w:sz="4" w:space="0"/>
          <w:bottom w:val="none" w:color="000000" w:sz="4" w:space="0"/>
          <w:right w:val="none" w:color="000000" w:sz="4" w:space="0"/>
        </w:pBdr>
      </w:pPr>
      <w:r>
        <w:rPr>
          <w:rFonts w:ascii="Times New Roman" w:hAnsi="Times New Roman" w:eastAsia="Times New Roman"/>
          <w:sz w:val="28"/>
          <w:szCs w:val="28"/>
        </w:rPr>
        <w:t xml:space="preserve">В команде общественных помощников Уполномоченного много неравнодушных людей, имеющих заслуженный авторитет у местного населения. О</w:t>
      </w:r>
      <w:r>
        <w:rPr>
          <w:rFonts w:ascii="Times New Roman" w:hAnsi="Times New Roman" w:eastAsia="Times New Roman"/>
          <w:color w:val="000000"/>
          <w:sz w:val="28"/>
          <w:szCs w:val="28"/>
        </w:rPr>
        <w:t xml:space="preserve">бщественные помощники стоят на стра</w:t>
      </w:r>
      <w:r>
        <w:rPr>
          <w:rFonts w:ascii="Times New Roman" w:hAnsi="Times New Roman" w:eastAsia="Times New Roman"/>
          <w:color w:val="000000"/>
          <w:sz w:val="28"/>
          <w:szCs w:val="28"/>
        </w:rPr>
        <w:t xml:space="preserve">же прав человека в муниципальных образованиях, помогают ограждать местных жителей от неприятностей, поддерживают обратившихся в реализации конституционных прав, порой спасают от безысходности. Это люди с большим сердцем, которые неравнодушны к чужой беде. </w:t>
      </w:r>
      <w:r>
        <w:rPr>
          <w:rFonts w:ascii="Times New Roman" w:hAnsi="Times New Roman"/>
          <w:color w:val="000000"/>
          <w:sz w:val="28"/>
          <w:szCs w:val="28"/>
        </w:rPr>
      </w:r>
      <w:r>
        <w:rPr>
          <w:rFonts w:ascii="Times New Roman" w:hAnsi="Times New Roman"/>
          <w:color w:val="000000"/>
          <w:sz w:val="28"/>
          <w:szCs w:val="28"/>
        </w:rPr>
      </w:r>
    </w:p>
    <w:p>
      <w:pPr>
        <w:ind w:firstLine="708"/>
        <w:jc w:val="both"/>
        <w:spacing w:after="0"/>
        <w:shd w:val="clear" w:color="ffffff" w:fill="ffffff"/>
        <w:rPr>
          <w:rFonts w:ascii="Times New Roman" w:hAnsi="Times New Roman"/>
          <w:sz w:val="28"/>
          <w:szCs w:val="28"/>
        </w:rPr>
        <w:pBdr>
          <w:top w:val="none" w:color="000000" w:sz="4" w:space="0"/>
          <w:left w:val="none" w:color="000000" w:sz="4" w:space="0"/>
          <w:bottom w:val="none" w:color="000000" w:sz="4" w:space="0"/>
          <w:right w:val="none" w:color="000000" w:sz="4" w:space="0"/>
        </w:pBdr>
      </w:pPr>
      <w:r>
        <w:rPr>
          <w:rFonts w:ascii="Times New Roman" w:hAnsi="Times New Roman" w:eastAsia="Times New Roman"/>
          <w:sz w:val="28"/>
          <w:szCs w:val="28"/>
        </w:rPr>
        <w:t xml:space="preserve">Свою работу они строят в тесном сотрудничестве с руководством орг</w:t>
      </w:r>
      <w:r>
        <w:rPr>
          <w:rFonts w:ascii="Times New Roman" w:hAnsi="Times New Roman" w:eastAsia="Times New Roman"/>
          <w:sz w:val="28"/>
          <w:szCs w:val="28"/>
        </w:rPr>
        <w:t xml:space="preserve">анов местного самоуправления, депутатами, руководителями организаций и учреждений, местными средствами массовой информации. Среди общественных помощников – лидеры общественного мнения, журналисты, учителя, работники из различных сфер деятельности, юристы. </w:t>
      </w:r>
      <w:r>
        <w:rPr>
          <w:rFonts w:ascii="Times New Roman" w:hAnsi="Times New Roman"/>
          <w:sz w:val="28"/>
          <w:szCs w:val="28"/>
        </w:rPr>
      </w:r>
      <w:r>
        <w:rPr>
          <w:rFonts w:ascii="Times New Roman" w:hAnsi="Times New Roman"/>
          <w:sz w:val="28"/>
          <w:szCs w:val="28"/>
        </w:rPr>
      </w:r>
    </w:p>
    <w:p>
      <w:pPr>
        <w:pStyle w:val="1236"/>
        <w:ind w:firstLine="567"/>
        <w:jc w:val="both"/>
        <w:spacing w:before="0" w:beforeAutospacing="0" w:after="0" w:afterAutospacing="0" w:line="276" w:lineRule="auto"/>
        <w:shd w:val="clear" w:color="auto" w:fill="ffffff"/>
        <w:rPr>
          <w:sz w:val="28"/>
          <w:szCs w:val="28"/>
        </w:rPr>
      </w:pPr>
      <w:r>
        <w:rPr>
          <w:sz w:val="28"/>
          <w:szCs w:val="28"/>
        </w:rPr>
        <w:t xml:space="preserve">Общественные помощники на местах проводят личные приемы граждан по оказанию консультативной помощи. В 2025 году в их адрес обратилось 329 человек по различным вопросам. </w:t>
      </w:r>
      <w:r>
        <w:rPr>
          <w:sz w:val="28"/>
          <w:szCs w:val="28"/>
        </w:rPr>
      </w:r>
      <w:r>
        <w:rPr>
          <w:sz w:val="28"/>
          <w:szCs w:val="28"/>
        </w:rPr>
      </w:r>
    </w:p>
    <w:p>
      <w:pPr>
        <w:jc w:val="center"/>
        <w:rPr>
          <w:rFonts w:ascii="Times New Roman" w:hAnsi="Times New Roman" w:eastAsia="Times New Roman"/>
          <w:b/>
          <w:bCs/>
          <w:sz w:val="28"/>
          <w:szCs w:val="28"/>
        </w:rPr>
      </w:pPr>
      <w:r>
        <w:rPr>
          <w:rFonts w:ascii="Times New Roman" w:hAnsi="Times New Roman" w:eastAsia="Times New Roman"/>
          <w:b/>
          <w:bCs/>
          <w:sz w:val="28"/>
          <w:szCs w:val="28"/>
        </w:rPr>
        <w:tab/>
        <w:t xml:space="preserve">Актуальный список действующих  общественных помощников Уполномоченного (на момент написания доклада)</w:t>
      </w:r>
      <w:r>
        <w:rPr>
          <w:rFonts w:ascii="Times New Roman" w:hAnsi="Times New Roman" w:eastAsia="Times New Roman"/>
          <w:b/>
          <w:bCs/>
          <w:sz w:val="28"/>
          <w:szCs w:val="28"/>
        </w:rPr>
      </w:r>
      <w:r>
        <w:rPr>
          <w:rFonts w:ascii="Times New Roman" w:hAnsi="Times New Roman" w:eastAsia="Times New Roman"/>
          <w:b/>
          <w:bCs/>
          <w:sz w:val="28"/>
          <w:szCs w:val="28"/>
        </w:rPr>
      </w:r>
    </w:p>
    <w:tbl>
      <w:tblPr>
        <w:tblStyle w:val="1265"/>
        <w:tblW w:w="0" w:type="auto"/>
        <w:tblBorders>
          <w:top w:val="none" w:color="000000" w:sz="4" w:space="0"/>
          <w:left w:val="none" w:color="000000" w:sz="4" w:space="0"/>
          <w:bottom w:val="none" w:color="000000" w:sz="4" w:space="0"/>
          <w:right w:val="none" w:color="000000" w:sz="4" w:space="0"/>
          <w:insideH w:val="none" w:color="000000" w:sz="4" w:space="0"/>
          <w:insideV w:val="none" w:color="000000" w:sz="4" w:space="0"/>
        </w:tblBorders>
        <w:tblLayout w:type="fixed"/>
        <w:tblLook w:val="04A0" w:firstRow="1" w:lastRow="0" w:firstColumn="1" w:lastColumn="0" w:noHBand="0" w:noVBand="1"/>
      </w:tblPr>
      <w:tblGrid>
        <w:gridCol w:w="612"/>
        <w:gridCol w:w="2447"/>
        <w:gridCol w:w="6386"/>
      </w:tblGrid>
      <w:tr>
        <w:tblPrEx/>
        <w:trPr/>
        <w:tc>
          <w:tcPr>
            <w:tcBorders>
              <w:top w:val="single" w:color="808080" w:sz="6" w:space="0"/>
              <w:left w:val="single" w:color="808080" w:sz="6" w:space="0"/>
              <w:bottom w:val="single" w:color="808080" w:sz="6" w:space="0"/>
              <w:right w:val="single" w:color="808080" w:sz="6" w:space="0"/>
            </w:tcBorders>
            <w:tcMar>
              <w:left w:w="45" w:type="dxa"/>
              <w:top w:w="45" w:type="dxa"/>
              <w:right w:w="45" w:type="dxa"/>
              <w:bottom w:w="45" w:type="dxa"/>
            </w:tcMar>
            <w:tcW w:w="612" w:type="dxa"/>
            <w:vAlign w:val="center"/>
            <w:textDirection w:val="lrTb"/>
            <w:noWrap w:val="false"/>
          </w:tcPr>
          <w:p>
            <w:pPr>
              <w:rPr>
                <w:rFonts w:ascii="Times New Roman" w:hAnsi="Times New Roman" w:eastAsia="Times New Roman"/>
                <w:color w:val="000000" w:themeColor="text1"/>
                <w:sz w:val="24"/>
                <w:szCs w:val="24"/>
              </w:rPr>
            </w:pPr>
            <w:r>
              <w:rPr>
                <w:rFonts w:ascii="Times New Roman" w:hAnsi="Times New Roman" w:eastAsia="Times New Roman"/>
                <w:color w:val="000000" w:themeColor="text1"/>
                <w:sz w:val="24"/>
                <w:szCs w:val="24"/>
              </w:rPr>
              <w:t xml:space="preserve">1.</w:t>
            </w:r>
            <w:r>
              <w:rPr>
                <w:rFonts w:ascii="Times New Roman" w:hAnsi="Times New Roman" w:eastAsia="Times New Roman"/>
                <w:color w:val="000000" w:themeColor="text1"/>
                <w:sz w:val="24"/>
                <w:szCs w:val="24"/>
              </w:rPr>
            </w:r>
            <w:r>
              <w:rPr>
                <w:rFonts w:ascii="Times New Roman" w:hAnsi="Times New Roman" w:eastAsia="Times New Roman"/>
                <w:color w:val="000000" w:themeColor="text1"/>
                <w:sz w:val="24"/>
                <w:szCs w:val="24"/>
              </w:rPr>
            </w:r>
          </w:p>
        </w:tc>
        <w:tc>
          <w:tcPr>
            <w:tcBorders>
              <w:top w:val="single" w:color="808080" w:sz="6" w:space="0"/>
              <w:left w:val="single" w:color="808080" w:sz="6" w:space="0"/>
              <w:bottom w:val="single" w:color="808080" w:sz="6" w:space="0"/>
              <w:right w:val="single" w:color="808080" w:sz="6" w:space="0"/>
            </w:tcBorders>
            <w:tcMar>
              <w:left w:w="45" w:type="dxa"/>
              <w:top w:w="45" w:type="dxa"/>
              <w:right w:w="45" w:type="dxa"/>
              <w:bottom w:w="45" w:type="dxa"/>
            </w:tcMar>
            <w:tcW w:w="2447" w:type="dxa"/>
            <w:vAlign w:val="center"/>
            <w:vMerge w:val="restart"/>
            <w:textDirection w:val="lrTb"/>
            <w:noWrap w:val="false"/>
          </w:tcPr>
          <w:p>
            <w:pPr>
              <w:jc w:val="both"/>
              <w:rPr>
                <w:rFonts w:ascii="Times New Roman" w:hAnsi="Times New Roman"/>
                <w:color w:val="000000" w:themeColor="text1"/>
                <w:sz w:val="24"/>
                <w:szCs w:val="24"/>
              </w:rPr>
            </w:pPr>
            <w:r>
              <w:rPr>
                <w:rFonts w:ascii="Times New Roman" w:hAnsi="Times New Roman" w:eastAsia="Times New Roman"/>
                <w:color w:val="000000" w:themeColor="text1"/>
                <w:sz w:val="24"/>
                <w:szCs w:val="24"/>
              </w:rPr>
              <w:t xml:space="preserve">Астафьева Ирина Леонидовна</w:t>
            </w:r>
            <w:r>
              <w:rPr>
                <w:rFonts w:ascii="Times New Roman" w:hAnsi="Times New Roman"/>
                <w:color w:val="000000" w:themeColor="text1"/>
                <w:sz w:val="24"/>
                <w:szCs w:val="24"/>
              </w:rPr>
            </w:r>
            <w:r>
              <w:rPr>
                <w:rFonts w:ascii="Times New Roman" w:hAnsi="Times New Roman"/>
                <w:color w:val="000000" w:themeColor="text1"/>
                <w:sz w:val="24"/>
                <w:szCs w:val="24"/>
              </w:rPr>
            </w:r>
          </w:p>
        </w:tc>
        <w:tc>
          <w:tcPr>
            <w:tcBorders>
              <w:top w:val="single" w:color="808080" w:sz="6" w:space="0"/>
              <w:left w:val="single" w:color="808080" w:sz="6" w:space="0"/>
              <w:bottom w:val="single" w:color="808080" w:sz="6" w:space="0"/>
              <w:right w:val="single" w:color="808080" w:sz="6" w:space="0"/>
            </w:tcBorders>
            <w:tcMar>
              <w:left w:w="45" w:type="dxa"/>
              <w:top w:w="45" w:type="dxa"/>
              <w:right w:w="45" w:type="dxa"/>
              <w:bottom w:w="45" w:type="dxa"/>
            </w:tcMar>
            <w:tcW w:w="6386" w:type="dxa"/>
            <w:vAlign w:val="center"/>
            <w:vMerge w:val="restart"/>
            <w:textDirection w:val="lrTb"/>
            <w:noWrap w:val="false"/>
          </w:tcPr>
          <w:p>
            <w:pPr>
              <w:rPr>
                <w:rFonts w:ascii="Times New Roman" w:hAnsi="Times New Roman"/>
                <w:color w:val="000000" w:themeColor="text1"/>
                <w:sz w:val="24"/>
                <w:szCs w:val="24"/>
              </w:rPr>
            </w:pPr>
            <w:r>
              <w:rPr>
                <w:rFonts w:ascii="Times New Roman" w:hAnsi="Times New Roman" w:eastAsia="Times New Roman"/>
                <w:color w:val="000000" w:themeColor="text1"/>
                <w:sz w:val="24"/>
                <w:szCs w:val="24"/>
              </w:rPr>
              <w:t xml:space="preserve">Общественный помощник в Приволжском муниципальном районе </w:t>
            </w:r>
            <w:r>
              <w:rPr>
                <w:rFonts w:ascii="Times New Roman" w:hAnsi="Times New Roman"/>
                <w:color w:val="000000" w:themeColor="text1"/>
                <w:sz w:val="24"/>
                <w:szCs w:val="24"/>
              </w:rPr>
            </w:r>
            <w:r>
              <w:rPr>
                <w:rFonts w:ascii="Times New Roman" w:hAnsi="Times New Roman"/>
                <w:color w:val="000000" w:themeColor="text1"/>
                <w:sz w:val="24"/>
                <w:szCs w:val="24"/>
              </w:rPr>
            </w:r>
          </w:p>
        </w:tc>
      </w:tr>
      <w:tr>
        <w:tblPrEx/>
        <w:trPr/>
        <w:tc>
          <w:tcPr>
            <w:tcBorders>
              <w:top w:val="single" w:color="808080" w:sz="6" w:space="0"/>
              <w:left w:val="single" w:color="808080" w:sz="6" w:space="0"/>
              <w:bottom w:val="single" w:color="808080" w:sz="6" w:space="0"/>
              <w:right w:val="single" w:color="808080" w:sz="6" w:space="0"/>
            </w:tcBorders>
            <w:tcMar>
              <w:left w:w="45" w:type="dxa"/>
              <w:top w:w="45" w:type="dxa"/>
              <w:right w:w="45" w:type="dxa"/>
              <w:bottom w:w="45" w:type="dxa"/>
            </w:tcMar>
            <w:tcW w:w="612" w:type="dxa"/>
            <w:vAlign w:val="center"/>
            <w:textDirection w:val="lrTb"/>
            <w:noWrap w:val="false"/>
          </w:tcPr>
          <w:p>
            <w:pPr>
              <w:rPr>
                <w:rFonts w:ascii="Times New Roman" w:hAnsi="Times New Roman" w:eastAsia="Times New Roman"/>
                <w:color w:val="000000" w:themeColor="text1"/>
                <w:sz w:val="24"/>
                <w:szCs w:val="24"/>
              </w:rPr>
            </w:pPr>
            <w:r>
              <w:rPr>
                <w:rFonts w:ascii="Times New Roman" w:hAnsi="Times New Roman" w:eastAsia="Times New Roman"/>
                <w:color w:val="000000" w:themeColor="text1"/>
                <w:sz w:val="24"/>
                <w:szCs w:val="24"/>
              </w:rPr>
              <w:t xml:space="preserve">2.</w:t>
            </w:r>
            <w:r>
              <w:rPr>
                <w:rFonts w:ascii="Times New Roman" w:hAnsi="Times New Roman" w:eastAsia="Times New Roman"/>
                <w:color w:val="000000" w:themeColor="text1"/>
                <w:sz w:val="24"/>
                <w:szCs w:val="24"/>
              </w:rPr>
            </w:r>
            <w:r>
              <w:rPr>
                <w:rFonts w:ascii="Times New Roman" w:hAnsi="Times New Roman" w:eastAsia="Times New Roman"/>
                <w:color w:val="000000" w:themeColor="text1"/>
                <w:sz w:val="24"/>
                <w:szCs w:val="24"/>
              </w:rPr>
            </w:r>
          </w:p>
        </w:tc>
        <w:tc>
          <w:tcPr>
            <w:tcBorders>
              <w:top w:val="single" w:color="808080" w:sz="6" w:space="0"/>
              <w:left w:val="single" w:color="808080" w:sz="6" w:space="0"/>
              <w:bottom w:val="single" w:color="808080" w:sz="6" w:space="0"/>
              <w:right w:val="single" w:color="808080" w:sz="6" w:space="0"/>
            </w:tcBorders>
            <w:tcMar>
              <w:left w:w="45" w:type="dxa"/>
              <w:top w:w="45" w:type="dxa"/>
              <w:right w:w="45" w:type="dxa"/>
              <w:bottom w:w="45" w:type="dxa"/>
            </w:tcMar>
            <w:tcW w:w="2447" w:type="dxa"/>
            <w:vAlign w:val="center"/>
            <w:vMerge w:val="restart"/>
            <w:textDirection w:val="lrTb"/>
            <w:noWrap w:val="false"/>
          </w:tcPr>
          <w:p>
            <w:pPr>
              <w:jc w:val="both"/>
              <w:rPr>
                <w:rFonts w:ascii="Times New Roman" w:hAnsi="Times New Roman"/>
                <w:color w:val="000000" w:themeColor="text1"/>
                <w:sz w:val="24"/>
                <w:szCs w:val="24"/>
              </w:rPr>
            </w:pPr>
            <w:r>
              <w:rPr>
                <w:rFonts w:ascii="Times New Roman" w:hAnsi="Times New Roman" w:eastAsia="Times New Roman"/>
                <w:color w:val="000000" w:themeColor="text1"/>
                <w:sz w:val="24"/>
                <w:szCs w:val="24"/>
              </w:rPr>
              <w:t xml:space="preserve">Бакин</w:t>
            </w:r>
            <w:r>
              <w:rPr>
                <w:rFonts w:ascii="Times New Roman" w:hAnsi="Times New Roman" w:eastAsia="Times New Roman"/>
                <w:color w:val="000000" w:themeColor="text1"/>
                <w:sz w:val="24"/>
                <w:szCs w:val="24"/>
              </w:rPr>
              <w:t xml:space="preserve"> Александр </w:t>
            </w:r>
            <w:r>
              <w:rPr>
                <w:rFonts w:ascii="Times New Roman" w:hAnsi="Times New Roman" w:eastAsia="Times New Roman"/>
                <w:color w:val="000000" w:themeColor="text1"/>
                <w:sz w:val="24"/>
                <w:szCs w:val="24"/>
              </w:rPr>
              <w:t xml:space="preserve">Рувимович</w:t>
            </w:r>
            <w:r>
              <w:rPr>
                <w:rFonts w:ascii="Times New Roman" w:hAnsi="Times New Roman"/>
                <w:color w:val="000000" w:themeColor="text1"/>
                <w:sz w:val="24"/>
                <w:szCs w:val="24"/>
              </w:rPr>
            </w:r>
            <w:r>
              <w:rPr>
                <w:rFonts w:ascii="Times New Roman" w:hAnsi="Times New Roman"/>
                <w:color w:val="000000" w:themeColor="text1"/>
                <w:sz w:val="24"/>
                <w:szCs w:val="24"/>
              </w:rPr>
            </w:r>
          </w:p>
        </w:tc>
        <w:tc>
          <w:tcPr>
            <w:tcBorders>
              <w:top w:val="single" w:color="808080" w:sz="6" w:space="0"/>
              <w:left w:val="single" w:color="808080" w:sz="6" w:space="0"/>
              <w:bottom w:val="single" w:color="808080" w:sz="6" w:space="0"/>
              <w:right w:val="single" w:color="808080" w:sz="6" w:space="0"/>
            </w:tcBorders>
            <w:tcMar>
              <w:left w:w="45" w:type="dxa"/>
              <w:top w:w="45" w:type="dxa"/>
              <w:right w:w="45" w:type="dxa"/>
              <w:bottom w:w="45" w:type="dxa"/>
            </w:tcMar>
            <w:tcW w:w="6386" w:type="dxa"/>
            <w:vAlign w:val="center"/>
            <w:vMerge w:val="restart"/>
            <w:textDirection w:val="lrTb"/>
            <w:noWrap w:val="false"/>
          </w:tcPr>
          <w:p>
            <w:pPr>
              <w:rPr>
                <w:rFonts w:ascii="Times New Roman" w:hAnsi="Times New Roman"/>
                <w:color w:val="000000" w:themeColor="text1"/>
                <w:sz w:val="24"/>
                <w:szCs w:val="24"/>
              </w:rPr>
              <w:pBdr>
                <w:top w:val="none" w:color="000000" w:sz="4" w:space="0"/>
                <w:left w:val="none" w:color="000000" w:sz="4" w:space="0"/>
                <w:bottom w:val="none" w:color="000000" w:sz="4" w:space="0"/>
                <w:right w:val="none" w:color="000000" w:sz="4" w:space="0"/>
              </w:pBdr>
            </w:pPr>
            <w:r>
              <w:rPr>
                <w:rFonts w:ascii="Times New Roman" w:hAnsi="Times New Roman" w:eastAsia="Times New Roman"/>
                <w:color w:val="000000" w:themeColor="text1"/>
                <w:sz w:val="24"/>
                <w:szCs w:val="24"/>
              </w:rPr>
              <w:t xml:space="preserve">Общественный помощник в </w:t>
            </w:r>
            <w:r>
              <w:rPr>
                <w:rFonts w:ascii="Times New Roman" w:hAnsi="Times New Roman" w:eastAsia="Times New Roman"/>
                <w:color w:val="000000" w:themeColor="text1"/>
                <w:sz w:val="24"/>
                <w:szCs w:val="24"/>
              </w:rPr>
              <w:t xml:space="preserve">Фурмановском</w:t>
            </w:r>
            <w:r>
              <w:rPr>
                <w:rFonts w:ascii="Times New Roman" w:hAnsi="Times New Roman" w:eastAsia="Times New Roman"/>
                <w:color w:val="000000" w:themeColor="text1"/>
                <w:sz w:val="24"/>
                <w:szCs w:val="24"/>
              </w:rPr>
              <w:t xml:space="preserve"> муниципальном районе</w:t>
            </w:r>
            <w:r>
              <w:rPr>
                <w:rFonts w:ascii="Times New Roman" w:hAnsi="Times New Roman"/>
                <w:color w:val="000000" w:themeColor="text1"/>
                <w:sz w:val="24"/>
                <w:szCs w:val="24"/>
              </w:rPr>
            </w:r>
            <w:r>
              <w:rPr>
                <w:rFonts w:ascii="Times New Roman" w:hAnsi="Times New Roman"/>
                <w:color w:val="000000" w:themeColor="text1"/>
                <w:sz w:val="24"/>
                <w:szCs w:val="24"/>
              </w:rPr>
            </w:r>
          </w:p>
        </w:tc>
      </w:tr>
      <w:tr>
        <w:tblPrEx/>
        <w:trPr/>
        <w:tc>
          <w:tcPr>
            <w:tcBorders>
              <w:top w:val="single" w:color="808080" w:sz="6" w:space="0"/>
              <w:left w:val="single" w:color="808080" w:sz="6" w:space="0"/>
              <w:bottom w:val="single" w:color="808080" w:sz="6" w:space="0"/>
              <w:right w:val="single" w:color="808080" w:sz="6" w:space="0"/>
            </w:tcBorders>
            <w:tcMar>
              <w:left w:w="45" w:type="dxa"/>
              <w:top w:w="45" w:type="dxa"/>
              <w:right w:w="45" w:type="dxa"/>
              <w:bottom w:w="45" w:type="dxa"/>
            </w:tcMar>
            <w:tcW w:w="612" w:type="dxa"/>
            <w:vAlign w:val="center"/>
            <w:textDirection w:val="lrTb"/>
            <w:noWrap w:val="false"/>
          </w:tcPr>
          <w:p>
            <w:pPr>
              <w:rPr>
                <w:rFonts w:ascii="Times New Roman" w:hAnsi="Times New Roman" w:eastAsia="Times New Roman"/>
                <w:color w:val="000000" w:themeColor="text1"/>
                <w:sz w:val="24"/>
                <w:szCs w:val="24"/>
              </w:rPr>
            </w:pPr>
            <w:r>
              <w:rPr>
                <w:rFonts w:ascii="Times New Roman" w:hAnsi="Times New Roman" w:eastAsia="Times New Roman"/>
                <w:color w:val="000000" w:themeColor="text1"/>
                <w:sz w:val="24"/>
                <w:szCs w:val="24"/>
              </w:rPr>
              <w:t xml:space="preserve">3.</w:t>
            </w:r>
            <w:r>
              <w:rPr>
                <w:rFonts w:ascii="Times New Roman" w:hAnsi="Times New Roman" w:eastAsia="Times New Roman"/>
                <w:color w:val="000000" w:themeColor="text1"/>
                <w:sz w:val="24"/>
                <w:szCs w:val="24"/>
              </w:rPr>
            </w:r>
            <w:r>
              <w:rPr>
                <w:rFonts w:ascii="Times New Roman" w:hAnsi="Times New Roman" w:eastAsia="Times New Roman"/>
                <w:color w:val="000000" w:themeColor="text1"/>
                <w:sz w:val="24"/>
                <w:szCs w:val="24"/>
              </w:rPr>
            </w:r>
          </w:p>
        </w:tc>
        <w:tc>
          <w:tcPr>
            <w:tcBorders>
              <w:top w:val="single" w:color="808080" w:sz="6" w:space="0"/>
              <w:left w:val="single" w:color="808080" w:sz="6" w:space="0"/>
              <w:bottom w:val="single" w:color="808080" w:sz="6" w:space="0"/>
              <w:right w:val="single" w:color="808080" w:sz="6" w:space="0"/>
            </w:tcBorders>
            <w:tcMar>
              <w:left w:w="45" w:type="dxa"/>
              <w:top w:w="45" w:type="dxa"/>
              <w:right w:w="45" w:type="dxa"/>
              <w:bottom w:w="45" w:type="dxa"/>
            </w:tcMar>
            <w:tcW w:w="2447" w:type="dxa"/>
            <w:vAlign w:val="center"/>
            <w:vMerge w:val="restart"/>
            <w:textDirection w:val="lrTb"/>
            <w:noWrap w:val="false"/>
          </w:tcPr>
          <w:p>
            <w:pPr>
              <w:jc w:val="both"/>
              <w:rPr>
                <w:rFonts w:ascii="Times New Roman" w:hAnsi="Times New Roman"/>
                <w:color w:val="000000" w:themeColor="text1"/>
                <w:sz w:val="24"/>
                <w:szCs w:val="24"/>
              </w:rPr>
            </w:pPr>
            <w:r>
              <w:rPr>
                <w:rFonts w:ascii="Times New Roman" w:hAnsi="Times New Roman" w:eastAsia="Times New Roman"/>
                <w:color w:val="000000" w:themeColor="text1"/>
                <w:sz w:val="24"/>
                <w:szCs w:val="24"/>
              </w:rPr>
              <w:t xml:space="preserve">Береснев</w:t>
            </w:r>
            <w:r>
              <w:rPr>
                <w:rFonts w:ascii="Times New Roman" w:hAnsi="Times New Roman" w:eastAsia="Times New Roman"/>
                <w:color w:val="000000" w:themeColor="text1"/>
                <w:sz w:val="24"/>
                <w:szCs w:val="24"/>
              </w:rPr>
              <w:t xml:space="preserve"> Владимир Юрьевич</w:t>
            </w:r>
            <w:r>
              <w:rPr>
                <w:rFonts w:ascii="Times New Roman" w:hAnsi="Times New Roman"/>
                <w:color w:val="000000" w:themeColor="text1"/>
                <w:sz w:val="24"/>
                <w:szCs w:val="24"/>
              </w:rPr>
            </w:r>
            <w:r>
              <w:rPr>
                <w:rFonts w:ascii="Times New Roman" w:hAnsi="Times New Roman"/>
                <w:color w:val="000000" w:themeColor="text1"/>
                <w:sz w:val="24"/>
                <w:szCs w:val="24"/>
              </w:rPr>
            </w:r>
          </w:p>
        </w:tc>
        <w:tc>
          <w:tcPr>
            <w:tcBorders>
              <w:top w:val="single" w:color="808080" w:sz="6" w:space="0"/>
              <w:left w:val="single" w:color="808080" w:sz="6" w:space="0"/>
              <w:bottom w:val="single" w:color="808080" w:sz="6" w:space="0"/>
              <w:right w:val="single" w:color="808080" w:sz="6" w:space="0"/>
            </w:tcBorders>
            <w:tcMar>
              <w:left w:w="45" w:type="dxa"/>
              <w:top w:w="45" w:type="dxa"/>
              <w:right w:w="45" w:type="dxa"/>
              <w:bottom w:w="45" w:type="dxa"/>
            </w:tcMar>
            <w:tcW w:w="6386" w:type="dxa"/>
            <w:vAlign w:val="center"/>
            <w:vMerge w:val="restart"/>
            <w:textDirection w:val="lrTb"/>
            <w:noWrap w:val="false"/>
          </w:tcPr>
          <w:p>
            <w:pPr>
              <w:rPr>
                <w:rFonts w:ascii="Times New Roman" w:hAnsi="Times New Roman"/>
                <w:color w:val="000000" w:themeColor="text1"/>
                <w:sz w:val="24"/>
                <w:szCs w:val="24"/>
              </w:rPr>
              <w:pBdr>
                <w:top w:val="none" w:color="000000" w:sz="4" w:space="0"/>
                <w:left w:val="none" w:color="000000" w:sz="4" w:space="0"/>
                <w:bottom w:val="none" w:color="000000" w:sz="4" w:space="0"/>
                <w:right w:val="none" w:color="000000" w:sz="4" w:space="0"/>
              </w:pBdr>
            </w:pPr>
            <w:r>
              <w:rPr>
                <w:rFonts w:ascii="Times New Roman" w:hAnsi="Times New Roman" w:eastAsia="Times New Roman"/>
                <w:color w:val="000000" w:themeColor="text1"/>
                <w:sz w:val="24"/>
                <w:szCs w:val="24"/>
              </w:rPr>
              <w:t xml:space="preserve">Общественный помощник в городском округе Шуя и Шуйском муниципальном районе</w:t>
            </w:r>
            <w:r>
              <w:rPr>
                <w:rFonts w:ascii="Times New Roman" w:hAnsi="Times New Roman"/>
                <w:color w:val="000000" w:themeColor="text1"/>
                <w:sz w:val="24"/>
                <w:szCs w:val="24"/>
              </w:rPr>
            </w:r>
            <w:r>
              <w:rPr>
                <w:rFonts w:ascii="Times New Roman" w:hAnsi="Times New Roman"/>
                <w:color w:val="000000" w:themeColor="text1"/>
                <w:sz w:val="24"/>
                <w:szCs w:val="24"/>
              </w:rPr>
            </w:r>
          </w:p>
        </w:tc>
      </w:tr>
      <w:tr>
        <w:tblPrEx/>
        <w:trPr/>
        <w:tc>
          <w:tcPr>
            <w:tcBorders>
              <w:top w:val="single" w:color="808080" w:sz="6" w:space="0"/>
              <w:left w:val="single" w:color="808080" w:sz="6" w:space="0"/>
              <w:bottom w:val="single" w:color="808080" w:sz="6" w:space="0"/>
              <w:right w:val="single" w:color="808080" w:sz="6" w:space="0"/>
            </w:tcBorders>
            <w:tcMar>
              <w:left w:w="45" w:type="dxa"/>
              <w:top w:w="45" w:type="dxa"/>
              <w:right w:w="45" w:type="dxa"/>
              <w:bottom w:w="45" w:type="dxa"/>
            </w:tcMar>
            <w:tcW w:w="612" w:type="dxa"/>
            <w:vAlign w:val="center"/>
            <w:textDirection w:val="lrTb"/>
            <w:noWrap w:val="false"/>
          </w:tcPr>
          <w:p>
            <w:pPr>
              <w:rPr>
                <w:rFonts w:ascii="Times New Roman" w:hAnsi="Times New Roman" w:eastAsia="Times New Roman"/>
                <w:color w:val="000000" w:themeColor="text1"/>
                <w:sz w:val="24"/>
                <w:szCs w:val="24"/>
              </w:rPr>
            </w:pPr>
            <w:r>
              <w:rPr>
                <w:rFonts w:ascii="Times New Roman" w:hAnsi="Times New Roman" w:eastAsia="Times New Roman"/>
                <w:color w:val="000000" w:themeColor="text1"/>
                <w:sz w:val="24"/>
                <w:szCs w:val="24"/>
              </w:rPr>
              <w:t xml:space="preserve">4.</w:t>
            </w:r>
            <w:r>
              <w:rPr>
                <w:rFonts w:ascii="Times New Roman" w:hAnsi="Times New Roman" w:eastAsia="Times New Roman"/>
                <w:color w:val="000000" w:themeColor="text1"/>
                <w:sz w:val="24"/>
                <w:szCs w:val="24"/>
              </w:rPr>
            </w:r>
            <w:r>
              <w:rPr>
                <w:rFonts w:ascii="Times New Roman" w:hAnsi="Times New Roman" w:eastAsia="Times New Roman"/>
                <w:color w:val="000000" w:themeColor="text1"/>
                <w:sz w:val="24"/>
                <w:szCs w:val="24"/>
              </w:rPr>
            </w:r>
          </w:p>
        </w:tc>
        <w:tc>
          <w:tcPr>
            <w:tcBorders>
              <w:top w:val="single" w:color="808080" w:sz="6" w:space="0"/>
              <w:left w:val="single" w:color="808080" w:sz="6" w:space="0"/>
              <w:bottom w:val="single" w:color="808080" w:sz="6" w:space="0"/>
              <w:right w:val="single" w:color="808080" w:sz="6" w:space="0"/>
            </w:tcBorders>
            <w:tcMar>
              <w:left w:w="45" w:type="dxa"/>
              <w:top w:w="45" w:type="dxa"/>
              <w:right w:w="45" w:type="dxa"/>
              <w:bottom w:w="45" w:type="dxa"/>
            </w:tcMar>
            <w:tcW w:w="2447" w:type="dxa"/>
            <w:vAlign w:val="center"/>
            <w:vMerge w:val="restart"/>
            <w:textDirection w:val="lrTb"/>
            <w:noWrap w:val="false"/>
          </w:tcPr>
          <w:p>
            <w:pPr>
              <w:jc w:val="both"/>
              <w:rPr>
                <w:rFonts w:ascii="Times New Roman" w:hAnsi="Times New Roman"/>
                <w:color w:val="000000" w:themeColor="text1"/>
                <w:sz w:val="24"/>
                <w:szCs w:val="24"/>
              </w:rPr>
            </w:pPr>
            <w:r>
              <w:rPr>
                <w:rFonts w:ascii="Times New Roman" w:hAnsi="Times New Roman" w:eastAsia="Times New Roman"/>
                <w:color w:val="000000" w:themeColor="text1"/>
                <w:sz w:val="24"/>
                <w:szCs w:val="24"/>
              </w:rPr>
              <w:t xml:space="preserve">Васильев Алексей Михайлович</w:t>
            </w:r>
            <w:r>
              <w:rPr>
                <w:rFonts w:ascii="Times New Roman" w:hAnsi="Times New Roman"/>
                <w:color w:val="000000" w:themeColor="text1"/>
                <w:sz w:val="24"/>
                <w:szCs w:val="24"/>
              </w:rPr>
            </w:r>
            <w:r>
              <w:rPr>
                <w:rFonts w:ascii="Times New Roman" w:hAnsi="Times New Roman"/>
                <w:color w:val="000000" w:themeColor="text1"/>
                <w:sz w:val="24"/>
                <w:szCs w:val="24"/>
              </w:rPr>
            </w:r>
          </w:p>
        </w:tc>
        <w:tc>
          <w:tcPr>
            <w:tcBorders>
              <w:top w:val="single" w:color="808080" w:sz="6" w:space="0"/>
              <w:left w:val="single" w:color="808080" w:sz="6" w:space="0"/>
              <w:bottom w:val="single" w:color="808080" w:sz="6" w:space="0"/>
              <w:right w:val="single" w:color="808080" w:sz="6" w:space="0"/>
            </w:tcBorders>
            <w:tcMar>
              <w:left w:w="45" w:type="dxa"/>
              <w:top w:w="45" w:type="dxa"/>
              <w:right w:w="45" w:type="dxa"/>
              <w:bottom w:w="45" w:type="dxa"/>
            </w:tcMar>
            <w:tcW w:w="6386" w:type="dxa"/>
            <w:vAlign w:val="center"/>
            <w:vMerge w:val="restart"/>
            <w:textDirection w:val="lrTb"/>
            <w:noWrap w:val="false"/>
          </w:tcPr>
          <w:p>
            <w:pPr>
              <w:rPr>
                <w:rFonts w:ascii="Times New Roman" w:hAnsi="Times New Roman"/>
                <w:color w:val="000000" w:themeColor="text1"/>
                <w:sz w:val="24"/>
                <w:szCs w:val="24"/>
              </w:rPr>
            </w:pPr>
            <w:r>
              <w:rPr>
                <w:rFonts w:ascii="Times New Roman" w:hAnsi="Times New Roman" w:eastAsia="Times New Roman"/>
                <w:color w:val="000000" w:themeColor="text1"/>
                <w:sz w:val="24"/>
                <w:szCs w:val="24"/>
              </w:rPr>
              <w:t xml:space="preserve">Общественный помощник в </w:t>
            </w:r>
            <w:r>
              <w:rPr>
                <w:rFonts w:ascii="Times New Roman" w:hAnsi="Times New Roman" w:eastAsia="Times New Roman"/>
                <w:color w:val="000000" w:themeColor="text1"/>
                <w:sz w:val="24"/>
                <w:szCs w:val="24"/>
              </w:rPr>
              <w:t xml:space="preserve">Юрьевецком</w:t>
            </w:r>
            <w:r>
              <w:rPr>
                <w:rFonts w:ascii="Times New Roman" w:hAnsi="Times New Roman" w:eastAsia="Times New Roman"/>
                <w:color w:val="000000" w:themeColor="text1"/>
                <w:sz w:val="24"/>
                <w:szCs w:val="24"/>
              </w:rPr>
              <w:t xml:space="preserve"> муниципальном районе </w:t>
            </w:r>
            <w:r>
              <w:rPr>
                <w:rFonts w:ascii="Times New Roman" w:hAnsi="Times New Roman"/>
                <w:color w:val="000000" w:themeColor="text1"/>
                <w:sz w:val="24"/>
                <w:szCs w:val="24"/>
              </w:rPr>
            </w:r>
            <w:r>
              <w:rPr>
                <w:rFonts w:ascii="Times New Roman" w:hAnsi="Times New Roman"/>
                <w:color w:val="000000" w:themeColor="text1"/>
                <w:sz w:val="24"/>
                <w:szCs w:val="24"/>
              </w:rPr>
            </w:r>
          </w:p>
        </w:tc>
      </w:tr>
      <w:tr>
        <w:tblPrEx/>
        <w:trPr/>
        <w:tc>
          <w:tcPr>
            <w:tcBorders>
              <w:top w:val="single" w:color="808080" w:sz="6" w:space="0"/>
              <w:left w:val="single" w:color="808080" w:sz="6" w:space="0"/>
              <w:bottom w:val="single" w:color="808080" w:sz="6" w:space="0"/>
              <w:right w:val="single" w:color="808080" w:sz="6" w:space="0"/>
            </w:tcBorders>
            <w:tcMar>
              <w:left w:w="45" w:type="dxa"/>
              <w:top w:w="45" w:type="dxa"/>
              <w:right w:w="45" w:type="dxa"/>
              <w:bottom w:w="45" w:type="dxa"/>
            </w:tcMar>
            <w:tcW w:w="612" w:type="dxa"/>
            <w:vAlign w:val="center"/>
            <w:textDirection w:val="lrTb"/>
            <w:noWrap w:val="false"/>
          </w:tcPr>
          <w:p>
            <w:pPr>
              <w:rPr>
                <w:rFonts w:ascii="Times New Roman" w:hAnsi="Times New Roman" w:eastAsia="Times New Roman"/>
                <w:color w:val="000000" w:themeColor="text1"/>
                <w:sz w:val="24"/>
                <w:szCs w:val="24"/>
              </w:rPr>
            </w:pPr>
            <w:r>
              <w:rPr>
                <w:rFonts w:ascii="Times New Roman" w:hAnsi="Times New Roman" w:eastAsia="Times New Roman"/>
                <w:color w:val="000000" w:themeColor="text1"/>
                <w:sz w:val="24"/>
                <w:szCs w:val="24"/>
              </w:rPr>
              <w:t xml:space="preserve">5.</w:t>
            </w:r>
            <w:r>
              <w:rPr>
                <w:rFonts w:ascii="Times New Roman" w:hAnsi="Times New Roman" w:eastAsia="Times New Roman"/>
                <w:color w:val="000000" w:themeColor="text1"/>
                <w:sz w:val="24"/>
                <w:szCs w:val="24"/>
              </w:rPr>
            </w:r>
            <w:r>
              <w:rPr>
                <w:rFonts w:ascii="Times New Roman" w:hAnsi="Times New Roman" w:eastAsia="Times New Roman"/>
                <w:color w:val="000000" w:themeColor="text1"/>
                <w:sz w:val="24"/>
                <w:szCs w:val="24"/>
              </w:rPr>
            </w:r>
          </w:p>
        </w:tc>
        <w:tc>
          <w:tcPr>
            <w:tcBorders>
              <w:top w:val="single" w:color="808080" w:sz="6" w:space="0"/>
              <w:left w:val="single" w:color="808080" w:sz="6" w:space="0"/>
              <w:bottom w:val="single" w:color="808080" w:sz="6" w:space="0"/>
              <w:right w:val="single" w:color="808080" w:sz="6" w:space="0"/>
            </w:tcBorders>
            <w:tcMar>
              <w:left w:w="45" w:type="dxa"/>
              <w:top w:w="45" w:type="dxa"/>
              <w:right w:w="45" w:type="dxa"/>
              <w:bottom w:w="45" w:type="dxa"/>
            </w:tcMar>
            <w:tcW w:w="2447" w:type="dxa"/>
            <w:vAlign w:val="center"/>
            <w:vMerge w:val="restart"/>
            <w:textDirection w:val="lrTb"/>
            <w:noWrap w:val="false"/>
          </w:tcPr>
          <w:p>
            <w:pPr>
              <w:jc w:val="both"/>
              <w:rPr>
                <w:rFonts w:ascii="Times New Roman" w:hAnsi="Times New Roman"/>
                <w:color w:val="000000" w:themeColor="text1"/>
                <w:sz w:val="24"/>
                <w:szCs w:val="24"/>
              </w:rPr>
            </w:pPr>
            <w:r>
              <w:rPr>
                <w:rFonts w:ascii="Times New Roman" w:hAnsi="Times New Roman" w:eastAsia="Times New Roman"/>
                <w:color w:val="000000" w:themeColor="text1"/>
                <w:sz w:val="24"/>
                <w:szCs w:val="24"/>
              </w:rPr>
              <w:t xml:space="preserve">Виноградова Светлана Владимировна</w:t>
            </w:r>
            <w:r>
              <w:rPr>
                <w:rFonts w:ascii="Times New Roman" w:hAnsi="Times New Roman"/>
                <w:color w:val="000000" w:themeColor="text1"/>
                <w:sz w:val="24"/>
                <w:szCs w:val="24"/>
              </w:rPr>
            </w:r>
            <w:r>
              <w:rPr>
                <w:rFonts w:ascii="Times New Roman" w:hAnsi="Times New Roman"/>
                <w:color w:val="000000" w:themeColor="text1"/>
                <w:sz w:val="24"/>
                <w:szCs w:val="24"/>
              </w:rPr>
            </w:r>
          </w:p>
        </w:tc>
        <w:tc>
          <w:tcPr>
            <w:tcBorders>
              <w:top w:val="single" w:color="808080" w:sz="6" w:space="0"/>
              <w:left w:val="single" w:color="808080" w:sz="6" w:space="0"/>
              <w:bottom w:val="single" w:color="808080" w:sz="6" w:space="0"/>
              <w:right w:val="single" w:color="808080" w:sz="6" w:space="0"/>
            </w:tcBorders>
            <w:tcMar>
              <w:left w:w="45" w:type="dxa"/>
              <w:top w:w="45" w:type="dxa"/>
              <w:right w:w="45" w:type="dxa"/>
              <w:bottom w:w="45" w:type="dxa"/>
            </w:tcMar>
            <w:tcW w:w="6386" w:type="dxa"/>
            <w:vAlign w:val="center"/>
            <w:vMerge w:val="restart"/>
            <w:textDirection w:val="lrTb"/>
            <w:noWrap w:val="false"/>
          </w:tcPr>
          <w:p>
            <w:pPr>
              <w:rPr>
                <w:rFonts w:ascii="Times New Roman" w:hAnsi="Times New Roman"/>
                <w:color w:val="000000" w:themeColor="text1"/>
                <w:sz w:val="24"/>
                <w:szCs w:val="24"/>
              </w:rPr>
            </w:pPr>
            <w:r>
              <w:rPr>
                <w:rFonts w:ascii="Times New Roman" w:hAnsi="Times New Roman" w:eastAsia="Times New Roman"/>
                <w:color w:val="000000" w:themeColor="text1"/>
                <w:sz w:val="24"/>
                <w:szCs w:val="24"/>
              </w:rPr>
              <w:t xml:space="preserve">Общественный помощник в городском округе Кинешма</w:t>
            </w:r>
            <w:r>
              <w:rPr>
                <w:rFonts w:ascii="Times New Roman" w:hAnsi="Times New Roman" w:eastAsia="Times New Roman"/>
                <w:color w:val="000000" w:themeColor="text1"/>
                <w:sz w:val="24"/>
                <w:szCs w:val="24"/>
              </w:rPr>
              <w:br/>
            </w:r>
            <w:r>
              <w:rPr>
                <w:rFonts w:ascii="Times New Roman" w:hAnsi="Times New Roman"/>
                <w:color w:val="000000" w:themeColor="text1"/>
                <w:sz w:val="24"/>
                <w:szCs w:val="24"/>
              </w:rPr>
            </w:r>
            <w:r>
              <w:rPr>
                <w:rFonts w:ascii="Times New Roman" w:hAnsi="Times New Roman"/>
                <w:color w:val="000000" w:themeColor="text1"/>
                <w:sz w:val="24"/>
                <w:szCs w:val="24"/>
              </w:rPr>
            </w:r>
          </w:p>
        </w:tc>
      </w:tr>
      <w:tr>
        <w:tblPrEx/>
        <w:trPr/>
        <w:tc>
          <w:tcPr>
            <w:tcBorders>
              <w:top w:val="single" w:color="808080" w:sz="6" w:space="0"/>
              <w:left w:val="single" w:color="808080" w:sz="6" w:space="0"/>
              <w:bottom w:val="single" w:color="808080" w:sz="6" w:space="0"/>
              <w:right w:val="single" w:color="808080" w:sz="6" w:space="0"/>
            </w:tcBorders>
            <w:tcMar>
              <w:left w:w="45" w:type="dxa"/>
              <w:top w:w="45" w:type="dxa"/>
              <w:right w:w="45" w:type="dxa"/>
              <w:bottom w:w="45" w:type="dxa"/>
            </w:tcMar>
            <w:tcW w:w="612" w:type="dxa"/>
            <w:vAlign w:val="center"/>
            <w:textDirection w:val="lrTb"/>
            <w:noWrap w:val="false"/>
          </w:tcPr>
          <w:p>
            <w:pPr>
              <w:rPr>
                <w:rFonts w:ascii="Times New Roman" w:hAnsi="Times New Roman" w:eastAsia="Times New Roman"/>
                <w:color w:val="000000" w:themeColor="text1"/>
                <w:sz w:val="24"/>
                <w:szCs w:val="24"/>
              </w:rPr>
            </w:pPr>
            <w:r>
              <w:rPr>
                <w:rFonts w:ascii="Times New Roman" w:hAnsi="Times New Roman" w:eastAsia="Times New Roman"/>
                <w:color w:val="000000" w:themeColor="text1"/>
                <w:sz w:val="24"/>
                <w:szCs w:val="24"/>
              </w:rPr>
              <w:t xml:space="preserve">6.</w:t>
            </w:r>
            <w:r>
              <w:rPr>
                <w:rFonts w:ascii="Times New Roman" w:hAnsi="Times New Roman" w:eastAsia="Times New Roman"/>
                <w:color w:val="000000" w:themeColor="text1"/>
                <w:sz w:val="24"/>
                <w:szCs w:val="24"/>
              </w:rPr>
            </w:r>
            <w:r>
              <w:rPr>
                <w:rFonts w:ascii="Times New Roman" w:hAnsi="Times New Roman" w:eastAsia="Times New Roman"/>
                <w:color w:val="000000" w:themeColor="text1"/>
                <w:sz w:val="24"/>
                <w:szCs w:val="24"/>
              </w:rPr>
            </w:r>
          </w:p>
        </w:tc>
        <w:tc>
          <w:tcPr>
            <w:tcBorders>
              <w:top w:val="single" w:color="808080" w:sz="6" w:space="0"/>
              <w:left w:val="single" w:color="808080" w:sz="6" w:space="0"/>
              <w:bottom w:val="single" w:color="808080" w:sz="6" w:space="0"/>
              <w:right w:val="single" w:color="808080" w:sz="6" w:space="0"/>
            </w:tcBorders>
            <w:tcMar>
              <w:left w:w="45" w:type="dxa"/>
              <w:top w:w="45" w:type="dxa"/>
              <w:right w:w="45" w:type="dxa"/>
              <w:bottom w:w="45" w:type="dxa"/>
            </w:tcMar>
            <w:tcW w:w="2447" w:type="dxa"/>
            <w:vAlign w:val="center"/>
            <w:vMerge w:val="restart"/>
            <w:textDirection w:val="lrTb"/>
            <w:noWrap w:val="false"/>
          </w:tcPr>
          <w:p>
            <w:pPr>
              <w:jc w:val="both"/>
              <w:rPr>
                <w:rFonts w:ascii="Times New Roman" w:hAnsi="Times New Roman"/>
                <w:color w:val="000000" w:themeColor="text1"/>
                <w:sz w:val="24"/>
                <w:szCs w:val="24"/>
              </w:rPr>
            </w:pPr>
            <w:r>
              <w:rPr>
                <w:rFonts w:ascii="Times New Roman" w:hAnsi="Times New Roman" w:eastAsia="Times New Roman"/>
                <w:color w:val="000000" w:themeColor="text1"/>
                <w:sz w:val="24"/>
                <w:szCs w:val="24"/>
              </w:rPr>
              <w:t xml:space="preserve">Герасимова Людмила Николаевна</w:t>
            </w:r>
            <w:r>
              <w:rPr>
                <w:rFonts w:ascii="Times New Roman" w:hAnsi="Times New Roman"/>
                <w:color w:val="000000" w:themeColor="text1"/>
                <w:sz w:val="24"/>
                <w:szCs w:val="24"/>
              </w:rPr>
            </w:r>
            <w:r>
              <w:rPr>
                <w:rFonts w:ascii="Times New Roman" w:hAnsi="Times New Roman"/>
                <w:color w:val="000000" w:themeColor="text1"/>
                <w:sz w:val="24"/>
                <w:szCs w:val="24"/>
              </w:rPr>
            </w:r>
          </w:p>
        </w:tc>
        <w:tc>
          <w:tcPr>
            <w:tcBorders>
              <w:top w:val="single" w:color="808080" w:sz="6" w:space="0"/>
              <w:left w:val="single" w:color="808080" w:sz="6" w:space="0"/>
              <w:bottom w:val="single" w:color="808080" w:sz="6" w:space="0"/>
              <w:right w:val="single" w:color="808080" w:sz="6" w:space="0"/>
            </w:tcBorders>
            <w:tcMar>
              <w:left w:w="45" w:type="dxa"/>
              <w:top w:w="45" w:type="dxa"/>
              <w:right w:w="45" w:type="dxa"/>
              <w:bottom w:w="45" w:type="dxa"/>
            </w:tcMar>
            <w:tcW w:w="6386" w:type="dxa"/>
            <w:vAlign w:val="center"/>
            <w:vMerge w:val="restart"/>
            <w:textDirection w:val="lrTb"/>
            <w:noWrap w:val="false"/>
          </w:tcPr>
          <w:p>
            <w:pPr>
              <w:rPr>
                <w:rFonts w:ascii="Times New Roman" w:hAnsi="Times New Roman"/>
                <w:color w:val="000000" w:themeColor="text1"/>
                <w:sz w:val="24"/>
                <w:szCs w:val="24"/>
              </w:rPr>
            </w:pPr>
            <w:r>
              <w:rPr>
                <w:rFonts w:ascii="Times New Roman" w:hAnsi="Times New Roman" w:eastAsia="Times New Roman"/>
                <w:color w:val="000000" w:themeColor="text1"/>
                <w:sz w:val="24"/>
                <w:szCs w:val="24"/>
              </w:rPr>
              <w:t xml:space="preserve">Общественный помощник в </w:t>
            </w:r>
            <w:r>
              <w:rPr>
                <w:rFonts w:ascii="Times New Roman" w:hAnsi="Times New Roman" w:eastAsia="Times New Roman"/>
                <w:color w:val="000000" w:themeColor="text1"/>
                <w:sz w:val="24"/>
                <w:szCs w:val="24"/>
              </w:rPr>
              <w:t xml:space="preserve">Южском</w:t>
            </w:r>
            <w:r>
              <w:rPr>
                <w:rFonts w:ascii="Times New Roman" w:hAnsi="Times New Roman" w:eastAsia="Times New Roman"/>
                <w:color w:val="000000" w:themeColor="text1"/>
                <w:sz w:val="24"/>
                <w:szCs w:val="24"/>
              </w:rPr>
              <w:t xml:space="preserve"> муниципальном районе </w:t>
            </w:r>
            <w:r>
              <w:rPr>
                <w:rFonts w:ascii="Times New Roman" w:hAnsi="Times New Roman"/>
                <w:color w:val="000000" w:themeColor="text1"/>
                <w:sz w:val="24"/>
                <w:szCs w:val="24"/>
              </w:rPr>
            </w:r>
            <w:r>
              <w:rPr>
                <w:rFonts w:ascii="Times New Roman" w:hAnsi="Times New Roman"/>
                <w:color w:val="000000" w:themeColor="text1"/>
                <w:sz w:val="24"/>
                <w:szCs w:val="24"/>
              </w:rPr>
            </w:r>
          </w:p>
        </w:tc>
      </w:tr>
      <w:tr>
        <w:tblPrEx/>
        <w:trPr/>
        <w:tc>
          <w:tcPr>
            <w:tcBorders>
              <w:top w:val="single" w:color="808080" w:sz="6" w:space="0"/>
              <w:left w:val="single" w:color="808080" w:sz="6" w:space="0"/>
              <w:bottom w:val="single" w:color="808080" w:sz="6" w:space="0"/>
              <w:right w:val="single" w:color="808080" w:sz="6" w:space="0"/>
            </w:tcBorders>
            <w:tcMar>
              <w:left w:w="45" w:type="dxa"/>
              <w:top w:w="45" w:type="dxa"/>
              <w:right w:w="45" w:type="dxa"/>
              <w:bottom w:w="45" w:type="dxa"/>
            </w:tcMar>
            <w:tcW w:w="612" w:type="dxa"/>
            <w:vAlign w:val="center"/>
            <w:textDirection w:val="lrTb"/>
            <w:noWrap w:val="false"/>
          </w:tcPr>
          <w:p>
            <w:pPr>
              <w:rPr>
                <w:rFonts w:ascii="Times New Roman" w:hAnsi="Times New Roman" w:eastAsia="Times New Roman"/>
                <w:color w:val="000000" w:themeColor="text1"/>
                <w:sz w:val="24"/>
                <w:szCs w:val="24"/>
              </w:rPr>
            </w:pPr>
            <w:r>
              <w:rPr>
                <w:rFonts w:ascii="Times New Roman" w:hAnsi="Times New Roman" w:eastAsia="Times New Roman"/>
                <w:color w:val="000000" w:themeColor="text1"/>
                <w:sz w:val="24"/>
                <w:szCs w:val="24"/>
              </w:rPr>
              <w:t xml:space="preserve">7.</w:t>
            </w:r>
            <w:r>
              <w:rPr>
                <w:rFonts w:ascii="Times New Roman" w:hAnsi="Times New Roman" w:eastAsia="Times New Roman"/>
                <w:color w:val="000000" w:themeColor="text1"/>
                <w:sz w:val="24"/>
                <w:szCs w:val="24"/>
              </w:rPr>
            </w:r>
            <w:r>
              <w:rPr>
                <w:rFonts w:ascii="Times New Roman" w:hAnsi="Times New Roman" w:eastAsia="Times New Roman"/>
                <w:color w:val="000000" w:themeColor="text1"/>
                <w:sz w:val="24"/>
                <w:szCs w:val="24"/>
              </w:rPr>
            </w:r>
          </w:p>
        </w:tc>
        <w:tc>
          <w:tcPr>
            <w:tcBorders>
              <w:top w:val="single" w:color="808080" w:sz="6" w:space="0"/>
              <w:left w:val="single" w:color="808080" w:sz="6" w:space="0"/>
              <w:bottom w:val="single" w:color="808080" w:sz="6" w:space="0"/>
              <w:right w:val="single" w:color="808080" w:sz="6" w:space="0"/>
            </w:tcBorders>
            <w:tcMar>
              <w:left w:w="45" w:type="dxa"/>
              <w:top w:w="45" w:type="dxa"/>
              <w:right w:w="45" w:type="dxa"/>
              <w:bottom w:w="45" w:type="dxa"/>
            </w:tcMar>
            <w:tcW w:w="2447" w:type="dxa"/>
            <w:vAlign w:val="center"/>
            <w:vMerge w:val="restart"/>
            <w:textDirection w:val="lrTb"/>
            <w:noWrap w:val="false"/>
          </w:tcPr>
          <w:p>
            <w:pPr>
              <w:jc w:val="both"/>
              <w:rPr>
                <w:rFonts w:ascii="Times New Roman" w:hAnsi="Times New Roman"/>
                <w:color w:val="000000" w:themeColor="text1"/>
                <w:sz w:val="24"/>
                <w:szCs w:val="24"/>
              </w:rPr>
            </w:pPr>
            <w:r>
              <w:rPr>
                <w:rFonts w:ascii="Times New Roman" w:hAnsi="Times New Roman" w:eastAsia="Times New Roman"/>
                <w:color w:val="000000" w:themeColor="text1"/>
                <w:sz w:val="24"/>
                <w:szCs w:val="24"/>
              </w:rPr>
              <w:t xml:space="preserve">Гончарова Ирина Ивановна</w:t>
            </w:r>
            <w:r>
              <w:rPr>
                <w:rFonts w:ascii="Times New Roman" w:hAnsi="Times New Roman"/>
                <w:color w:val="000000" w:themeColor="text1"/>
                <w:sz w:val="24"/>
                <w:szCs w:val="24"/>
              </w:rPr>
            </w:r>
            <w:r>
              <w:rPr>
                <w:rFonts w:ascii="Times New Roman" w:hAnsi="Times New Roman"/>
                <w:color w:val="000000" w:themeColor="text1"/>
                <w:sz w:val="24"/>
                <w:szCs w:val="24"/>
              </w:rPr>
            </w:r>
          </w:p>
        </w:tc>
        <w:tc>
          <w:tcPr>
            <w:tcBorders>
              <w:top w:val="single" w:color="808080" w:sz="6" w:space="0"/>
              <w:left w:val="single" w:color="808080" w:sz="6" w:space="0"/>
              <w:bottom w:val="single" w:color="808080" w:sz="6" w:space="0"/>
              <w:right w:val="single" w:color="808080" w:sz="6" w:space="0"/>
            </w:tcBorders>
            <w:tcMar>
              <w:left w:w="45" w:type="dxa"/>
              <w:top w:w="45" w:type="dxa"/>
              <w:right w:w="45" w:type="dxa"/>
              <w:bottom w:w="45" w:type="dxa"/>
            </w:tcMar>
            <w:tcW w:w="6386" w:type="dxa"/>
            <w:vAlign w:val="center"/>
            <w:vMerge w:val="restart"/>
            <w:textDirection w:val="lrTb"/>
            <w:noWrap w:val="false"/>
          </w:tcPr>
          <w:p>
            <w:pPr>
              <w:rPr>
                <w:rFonts w:ascii="Times New Roman" w:hAnsi="Times New Roman"/>
                <w:color w:val="000000" w:themeColor="text1"/>
                <w:sz w:val="24"/>
                <w:szCs w:val="24"/>
              </w:rPr>
            </w:pPr>
            <w:r>
              <w:rPr>
                <w:rFonts w:ascii="Times New Roman" w:hAnsi="Times New Roman" w:eastAsia="Times New Roman"/>
                <w:color w:val="000000" w:themeColor="text1"/>
                <w:sz w:val="24"/>
                <w:szCs w:val="24"/>
              </w:rPr>
              <w:t xml:space="preserve"> Общественный помощник в </w:t>
            </w:r>
            <w:r>
              <w:rPr>
                <w:rFonts w:ascii="Times New Roman" w:hAnsi="Times New Roman" w:eastAsia="Times New Roman"/>
                <w:color w:val="000000" w:themeColor="text1"/>
                <w:sz w:val="24"/>
                <w:szCs w:val="24"/>
              </w:rPr>
              <w:t xml:space="preserve">Тейковском</w:t>
            </w:r>
            <w:r>
              <w:rPr>
                <w:rFonts w:ascii="Times New Roman" w:hAnsi="Times New Roman" w:eastAsia="Times New Roman"/>
                <w:color w:val="000000" w:themeColor="text1"/>
                <w:sz w:val="24"/>
                <w:szCs w:val="24"/>
              </w:rPr>
              <w:t xml:space="preserve"> муниципальном районе</w:t>
            </w:r>
            <w:r>
              <w:rPr>
                <w:rFonts w:ascii="Times New Roman" w:hAnsi="Times New Roman"/>
                <w:color w:val="000000" w:themeColor="text1"/>
                <w:sz w:val="24"/>
                <w:szCs w:val="24"/>
              </w:rPr>
            </w:r>
            <w:r>
              <w:rPr>
                <w:rFonts w:ascii="Times New Roman" w:hAnsi="Times New Roman"/>
                <w:color w:val="000000" w:themeColor="text1"/>
                <w:sz w:val="24"/>
                <w:szCs w:val="24"/>
              </w:rPr>
            </w:r>
          </w:p>
        </w:tc>
      </w:tr>
      <w:tr>
        <w:tblPrEx/>
        <w:trPr/>
        <w:tc>
          <w:tcPr>
            <w:tcBorders>
              <w:top w:val="single" w:color="808080" w:sz="6" w:space="0"/>
              <w:left w:val="single" w:color="808080" w:sz="6" w:space="0"/>
              <w:bottom w:val="single" w:color="808080" w:sz="6" w:space="0"/>
              <w:right w:val="single" w:color="808080" w:sz="6" w:space="0"/>
            </w:tcBorders>
            <w:tcMar>
              <w:left w:w="45" w:type="dxa"/>
              <w:top w:w="45" w:type="dxa"/>
              <w:right w:w="45" w:type="dxa"/>
              <w:bottom w:w="45" w:type="dxa"/>
            </w:tcMar>
            <w:tcW w:w="612" w:type="dxa"/>
            <w:vAlign w:val="center"/>
            <w:textDirection w:val="lrTb"/>
            <w:noWrap w:val="false"/>
          </w:tcPr>
          <w:p>
            <w:pPr>
              <w:rPr>
                <w:rFonts w:ascii="Times New Roman" w:hAnsi="Times New Roman" w:eastAsia="Times New Roman"/>
                <w:color w:val="000000" w:themeColor="text1"/>
                <w:sz w:val="24"/>
                <w:szCs w:val="24"/>
              </w:rPr>
            </w:pPr>
            <w:r>
              <w:rPr>
                <w:rFonts w:ascii="Times New Roman" w:hAnsi="Times New Roman" w:eastAsia="Times New Roman"/>
                <w:color w:val="000000" w:themeColor="text1"/>
                <w:sz w:val="24"/>
                <w:szCs w:val="24"/>
              </w:rPr>
              <w:t xml:space="preserve">8.</w:t>
            </w:r>
            <w:r>
              <w:rPr>
                <w:rFonts w:ascii="Times New Roman" w:hAnsi="Times New Roman" w:eastAsia="Times New Roman"/>
                <w:color w:val="000000" w:themeColor="text1"/>
                <w:sz w:val="24"/>
                <w:szCs w:val="24"/>
              </w:rPr>
            </w:r>
            <w:r>
              <w:rPr>
                <w:rFonts w:ascii="Times New Roman" w:hAnsi="Times New Roman" w:eastAsia="Times New Roman"/>
                <w:color w:val="000000" w:themeColor="text1"/>
                <w:sz w:val="24"/>
                <w:szCs w:val="24"/>
              </w:rPr>
            </w:r>
          </w:p>
        </w:tc>
        <w:tc>
          <w:tcPr>
            <w:tcBorders>
              <w:top w:val="single" w:color="808080" w:sz="6" w:space="0"/>
              <w:left w:val="single" w:color="808080" w:sz="6" w:space="0"/>
              <w:bottom w:val="single" w:color="808080" w:sz="6" w:space="0"/>
              <w:right w:val="single" w:color="808080" w:sz="6" w:space="0"/>
            </w:tcBorders>
            <w:tcMar>
              <w:left w:w="45" w:type="dxa"/>
              <w:top w:w="45" w:type="dxa"/>
              <w:right w:w="45" w:type="dxa"/>
              <w:bottom w:w="45" w:type="dxa"/>
            </w:tcMar>
            <w:tcW w:w="2447" w:type="dxa"/>
            <w:vAlign w:val="center"/>
            <w:vMerge w:val="restart"/>
            <w:textDirection w:val="lrTb"/>
            <w:noWrap w:val="false"/>
          </w:tcPr>
          <w:p>
            <w:pPr>
              <w:jc w:val="both"/>
              <w:rPr>
                <w:rFonts w:ascii="Times New Roman" w:hAnsi="Times New Roman"/>
                <w:color w:val="000000" w:themeColor="text1"/>
                <w:sz w:val="24"/>
                <w:szCs w:val="24"/>
              </w:rPr>
            </w:pPr>
            <w:r>
              <w:rPr>
                <w:rFonts w:ascii="Times New Roman" w:hAnsi="Times New Roman" w:eastAsia="Times New Roman"/>
                <w:color w:val="000000" w:themeColor="text1"/>
                <w:sz w:val="24"/>
                <w:szCs w:val="24"/>
              </w:rPr>
              <w:t xml:space="preserve">Горохова Дарья Александровна</w:t>
            </w:r>
            <w:r>
              <w:rPr>
                <w:rFonts w:ascii="Times New Roman" w:hAnsi="Times New Roman"/>
                <w:color w:val="000000" w:themeColor="text1"/>
                <w:sz w:val="24"/>
                <w:szCs w:val="24"/>
              </w:rPr>
            </w:r>
            <w:r>
              <w:rPr>
                <w:rFonts w:ascii="Times New Roman" w:hAnsi="Times New Roman"/>
                <w:color w:val="000000" w:themeColor="text1"/>
                <w:sz w:val="24"/>
                <w:szCs w:val="24"/>
              </w:rPr>
            </w:r>
          </w:p>
        </w:tc>
        <w:tc>
          <w:tcPr>
            <w:tcBorders>
              <w:top w:val="single" w:color="808080" w:sz="6" w:space="0"/>
              <w:left w:val="single" w:color="808080" w:sz="6" w:space="0"/>
              <w:bottom w:val="single" w:color="808080" w:sz="6" w:space="0"/>
              <w:right w:val="single" w:color="808080" w:sz="6" w:space="0"/>
            </w:tcBorders>
            <w:tcMar>
              <w:left w:w="45" w:type="dxa"/>
              <w:top w:w="45" w:type="dxa"/>
              <w:right w:w="45" w:type="dxa"/>
              <w:bottom w:w="45" w:type="dxa"/>
            </w:tcMar>
            <w:tcW w:w="6386" w:type="dxa"/>
            <w:vAlign w:val="center"/>
            <w:vMerge w:val="restart"/>
            <w:textDirection w:val="lrTb"/>
            <w:noWrap w:val="false"/>
          </w:tcPr>
          <w:p>
            <w:pPr>
              <w:rPr>
                <w:rFonts w:ascii="Times New Roman" w:hAnsi="Times New Roman"/>
                <w:color w:val="000000" w:themeColor="text1"/>
                <w:sz w:val="24"/>
                <w:szCs w:val="24"/>
              </w:rPr>
            </w:pPr>
            <w:r>
              <w:rPr>
                <w:rFonts w:ascii="Times New Roman" w:hAnsi="Times New Roman" w:eastAsia="Times New Roman"/>
                <w:color w:val="000000" w:themeColor="text1"/>
                <w:sz w:val="24"/>
                <w:szCs w:val="24"/>
              </w:rPr>
              <w:t xml:space="preserve">Общественный помощник в Родниковском муниципальном районе</w:t>
            </w:r>
            <w:r>
              <w:rPr>
                <w:rFonts w:ascii="Times New Roman" w:hAnsi="Times New Roman"/>
                <w:color w:val="000000" w:themeColor="text1"/>
                <w:sz w:val="24"/>
                <w:szCs w:val="24"/>
              </w:rPr>
            </w:r>
            <w:r>
              <w:rPr>
                <w:rFonts w:ascii="Times New Roman" w:hAnsi="Times New Roman"/>
                <w:color w:val="000000" w:themeColor="text1"/>
                <w:sz w:val="24"/>
                <w:szCs w:val="24"/>
              </w:rPr>
            </w:r>
          </w:p>
        </w:tc>
      </w:tr>
      <w:tr>
        <w:tblPrEx/>
        <w:trPr>
          <w:trHeight w:val="276"/>
        </w:trPr>
        <w:tc>
          <w:tcPr>
            <w:tcBorders>
              <w:top w:val="single" w:color="808080" w:sz="6" w:space="0"/>
              <w:left w:val="single" w:color="808080" w:sz="6" w:space="0"/>
              <w:bottom w:val="single" w:color="808080" w:sz="6" w:space="0"/>
              <w:right w:val="single" w:color="808080" w:sz="6" w:space="0"/>
            </w:tcBorders>
            <w:tcMar>
              <w:left w:w="45" w:type="dxa"/>
              <w:top w:w="45" w:type="dxa"/>
              <w:right w:w="45" w:type="dxa"/>
              <w:bottom w:w="45" w:type="dxa"/>
            </w:tcMar>
            <w:tcW w:w="612" w:type="dxa"/>
            <w:vAlign w:val="center"/>
            <w:vMerge w:val="restart"/>
            <w:textDirection w:val="lrTb"/>
            <w:noWrap w:val="false"/>
          </w:tcPr>
          <w:p>
            <w:pPr>
              <w:rPr>
                <w:rFonts w:ascii="Times New Roman" w:hAnsi="Times New Roman" w:eastAsia="Times New Roman"/>
                <w:color w:val="000000" w:themeColor="text1"/>
                <w:sz w:val="24"/>
                <w:szCs w:val="24"/>
              </w:rPr>
            </w:pPr>
            <w:r>
              <w:rPr>
                <w:rFonts w:ascii="Times New Roman" w:hAnsi="Times New Roman" w:eastAsia="Times New Roman"/>
                <w:color w:val="000000" w:themeColor="text1"/>
                <w:sz w:val="24"/>
                <w:szCs w:val="24"/>
              </w:rPr>
              <w:t xml:space="preserve">9.</w:t>
            </w:r>
            <w:r>
              <w:rPr>
                <w:rFonts w:ascii="Times New Roman" w:hAnsi="Times New Roman" w:eastAsia="Times New Roman"/>
                <w:color w:val="000000" w:themeColor="text1"/>
                <w:sz w:val="24"/>
                <w:szCs w:val="24"/>
              </w:rPr>
            </w:r>
            <w:r>
              <w:rPr>
                <w:rFonts w:ascii="Times New Roman" w:hAnsi="Times New Roman" w:eastAsia="Times New Roman"/>
                <w:color w:val="000000" w:themeColor="text1"/>
                <w:sz w:val="24"/>
                <w:szCs w:val="24"/>
              </w:rPr>
            </w:r>
          </w:p>
        </w:tc>
        <w:tc>
          <w:tcPr>
            <w:tcBorders>
              <w:top w:val="single" w:color="808080" w:sz="6" w:space="0"/>
              <w:left w:val="single" w:color="808080" w:sz="6" w:space="0"/>
              <w:bottom w:val="single" w:color="808080" w:sz="6" w:space="0"/>
              <w:right w:val="single" w:color="808080" w:sz="6" w:space="0"/>
            </w:tcBorders>
            <w:tcMar>
              <w:left w:w="45" w:type="dxa"/>
              <w:top w:w="45" w:type="dxa"/>
              <w:right w:w="45" w:type="dxa"/>
              <w:bottom w:w="45" w:type="dxa"/>
            </w:tcMar>
            <w:tcW w:w="2447" w:type="dxa"/>
            <w:vAlign w:val="center"/>
            <w:vMerge w:val="restart"/>
            <w:textDirection w:val="lrTb"/>
            <w:noWrap w:val="false"/>
          </w:tcPr>
          <w:p>
            <w:pPr>
              <w:jc w:val="both"/>
              <w:rPr>
                <w:rFonts w:ascii="Times New Roman" w:hAnsi="Times New Roman" w:eastAsia="Times New Roman"/>
                <w:color w:val="000000" w:themeColor="text1"/>
                <w:sz w:val="24"/>
                <w:szCs w:val="24"/>
              </w:rPr>
            </w:pPr>
            <w:r>
              <w:rPr>
                <w:rFonts w:ascii="Times New Roman" w:hAnsi="Times New Roman" w:eastAsia="Times New Roman"/>
                <w:color w:val="000000" w:themeColor="text1"/>
                <w:sz w:val="24"/>
                <w:szCs w:val="24"/>
              </w:rPr>
              <w:t xml:space="preserve">Картавцев</w:t>
            </w:r>
            <w:r>
              <w:rPr>
                <w:rFonts w:ascii="Times New Roman" w:hAnsi="Times New Roman" w:eastAsia="Times New Roman"/>
                <w:color w:val="000000" w:themeColor="text1"/>
                <w:sz w:val="24"/>
                <w:szCs w:val="24"/>
              </w:rPr>
              <w:t xml:space="preserve"> Владимир Анатольевич</w:t>
            </w:r>
            <w:r>
              <w:rPr>
                <w:rFonts w:ascii="Times New Roman" w:hAnsi="Times New Roman" w:eastAsia="Times New Roman"/>
                <w:color w:val="000000" w:themeColor="text1"/>
                <w:sz w:val="24"/>
                <w:szCs w:val="24"/>
              </w:rPr>
            </w:r>
            <w:r>
              <w:rPr>
                <w:rFonts w:ascii="Times New Roman" w:hAnsi="Times New Roman" w:eastAsia="Times New Roman"/>
                <w:color w:val="000000" w:themeColor="text1"/>
                <w:sz w:val="24"/>
                <w:szCs w:val="24"/>
              </w:rPr>
            </w:r>
          </w:p>
        </w:tc>
        <w:tc>
          <w:tcPr>
            <w:tcBorders>
              <w:top w:val="single" w:color="808080" w:sz="6" w:space="0"/>
              <w:left w:val="single" w:color="808080" w:sz="6" w:space="0"/>
              <w:bottom w:val="single" w:color="808080" w:sz="6" w:space="0"/>
              <w:right w:val="single" w:color="808080" w:sz="6" w:space="0"/>
            </w:tcBorders>
            <w:tcMar>
              <w:left w:w="45" w:type="dxa"/>
              <w:top w:w="45" w:type="dxa"/>
              <w:right w:w="45" w:type="dxa"/>
              <w:bottom w:w="45" w:type="dxa"/>
            </w:tcMar>
            <w:tcW w:w="6386" w:type="dxa"/>
            <w:vAlign w:val="center"/>
            <w:vMerge w:val="restart"/>
            <w:textDirection w:val="lrTb"/>
            <w:noWrap w:val="false"/>
          </w:tcPr>
          <w:p>
            <w:pPr>
              <w:rPr>
                <w:rFonts w:ascii="Times New Roman" w:hAnsi="Times New Roman" w:eastAsia="Times New Roman"/>
                <w:color w:val="000000" w:themeColor="text1"/>
                <w:sz w:val="24"/>
                <w:szCs w:val="24"/>
              </w:rPr>
            </w:pPr>
            <w:r>
              <w:rPr>
                <w:rFonts w:ascii="Times New Roman" w:hAnsi="Times New Roman" w:eastAsia="Times New Roman"/>
                <w:color w:val="000000" w:themeColor="text1"/>
                <w:sz w:val="24"/>
                <w:szCs w:val="24"/>
              </w:rPr>
              <w:t xml:space="preserve">Общественный помощник в городском округе Тейково</w:t>
            </w:r>
            <w:r>
              <w:rPr>
                <w:rFonts w:ascii="Times New Roman" w:hAnsi="Times New Roman" w:eastAsia="Times New Roman"/>
                <w:color w:val="000000" w:themeColor="text1"/>
                <w:sz w:val="24"/>
                <w:szCs w:val="24"/>
              </w:rPr>
            </w:r>
            <w:r>
              <w:rPr>
                <w:rFonts w:ascii="Times New Roman" w:hAnsi="Times New Roman" w:eastAsia="Times New Roman"/>
                <w:color w:val="000000" w:themeColor="text1"/>
                <w:sz w:val="24"/>
                <w:szCs w:val="24"/>
              </w:rPr>
            </w:r>
          </w:p>
        </w:tc>
      </w:tr>
      <w:tr>
        <w:tblPrEx/>
        <w:trPr/>
        <w:tc>
          <w:tcPr>
            <w:tcBorders>
              <w:top w:val="single" w:color="808080" w:sz="6" w:space="0"/>
              <w:left w:val="single" w:color="808080" w:sz="6" w:space="0"/>
              <w:bottom w:val="single" w:color="808080" w:sz="6" w:space="0"/>
              <w:right w:val="single" w:color="808080" w:sz="6" w:space="0"/>
            </w:tcBorders>
            <w:tcMar>
              <w:left w:w="45" w:type="dxa"/>
              <w:top w:w="45" w:type="dxa"/>
              <w:right w:w="45" w:type="dxa"/>
              <w:bottom w:w="45" w:type="dxa"/>
            </w:tcMar>
            <w:tcW w:w="612" w:type="dxa"/>
            <w:vAlign w:val="center"/>
            <w:textDirection w:val="lrTb"/>
            <w:noWrap w:val="false"/>
          </w:tcPr>
          <w:p>
            <w:pPr>
              <w:rPr>
                <w:rFonts w:ascii="Times New Roman" w:hAnsi="Times New Roman" w:eastAsia="Times New Roman"/>
                <w:color w:val="000000" w:themeColor="text1"/>
                <w:sz w:val="24"/>
                <w:szCs w:val="24"/>
              </w:rPr>
            </w:pPr>
            <w:r>
              <w:rPr>
                <w:rFonts w:ascii="Times New Roman" w:hAnsi="Times New Roman" w:eastAsia="Times New Roman"/>
                <w:color w:val="000000" w:themeColor="text1"/>
                <w:sz w:val="24"/>
                <w:szCs w:val="24"/>
              </w:rPr>
              <w:t xml:space="preserve">10</w:t>
            </w:r>
            <w:r>
              <w:rPr>
                <w:rFonts w:ascii="Times New Roman" w:hAnsi="Times New Roman" w:eastAsia="Times New Roman"/>
                <w:color w:val="000000" w:themeColor="text1"/>
                <w:sz w:val="24"/>
                <w:szCs w:val="24"/>
              </w:rPr>
            </w:r>
            <w:r>
              <w:rPr>
                <w:rFonts w:ascii="Times New Roman" w:hAnsi="Times New Roman" w:eastAsia="Times New Roman"/>
                <w:color w:val="000000" w:themeColor="text1"/>
                <w:sz w:val="24"/>
                <w:szCs w:val="24"/>
              </w:rPr>
            </w:r>
          </w:p>
        </w:tc>
        <w:tc>
          <w:tcPr>
            <w:tcBorders>
              <w:top w:val="single" w:color="808080" w:sz="6" w:space="0"/>
              <w:left w:val="single" w:color="808080" w:sz="6" w:space="0"/>
              <w:bottom w:val="single" w:color="808080" w:sz="6" w:space="0"/>
              <w:right w:val="single" w:color="808080" w:sz="6" w:space="0"/>
            </w:tcBorders>
            <w:tcMar>
              <w:left w:w="45" w:type="dxa"/>
              <w:top w:w="45" w:type="dxa"/>
              <w:right w:w="45" w:type="dxa"/>
              <w:bottom w:w="45" w:type="dxa"/>
            </w:tcMar>
            <w:tcW w:w="2447" w:type="dxa"/>
            <w:vAlign w:val="center"/>
            <w:vMerge w:val="restart"/>
            <w:textDirection w:val="lrTb"/>
            <w:noWrap w:val="false"/>
          </w:tcPr>
          <w:p>
            <w:pPr>
              <w:jc w:val="both"/>
              <w:rPr>
                <w:rFonts w:ascii="Times New Roman" w:hAnsi="Times New Roman"/>
                <w:color w:val="000000" w:themeColor="text1"/>
                <w:sz w:val="24"/>
                <w:szCs w:val="24"/>
              </w:rPr>
            </w:pPr>
            <w:r>
              <w:rPr>
                <w:rFonts w:ascii="Times New Roman" w:hAnsi="Times New Roman" w:eastAsia="Times New Roman"/>
                <w:color w:val="000000" w:themeColor="text1"/>
                <w:sz w:val="24"/>
                <w:szCs w:val="24"/>
              </w:rPr>
              <w:t xml:space="preserve">Кошокина</w:t>
            </w:r>
            <w:r>
              <w:rPr>
                <w:rFonts w:ascii="Times New Roman" w:hAnsi="Times New Roman" w:eastAsia="Times New Roman"/>
                <w:color w:val="000000" w:themeColor="text1"/>
                <w:sz w:val="24"/>
                <w:szCs w:val="24"/>
              </w:rPr>
              <w:t xml:space="preserve"> Елена </w:t>
            </w:r>
            <w:r>
              <w:rPr>
                <w:rFonts w:ascii="Times New Roman" w:hAnsi="Times New Roman" w:eastAsia="Times New Roman"/>
                <w:color w:val="000000" w:themeColor="text1"/>
                <w:sz w:val="24"/>
                <w:szCs w:val="24"/>
              </w:rPr>
              <w:t xml:space="preserve">Африкановна</w:t>
            </w:r>
            <w:r>
              <w:rPr>
                <w:rFonts w:ascii="Times New Roman" w:hAnsi="Times New Roman"/>
                <w:color w:val="000000" w:themeColor="text1"/>
                <w:sz w:val="24"/>
                <w:szCs w:val="24"/>
              </w:rPr>
            </w:r>
            <w:r>
              <w:rPr>
                <w:rFonts w:ascii="Times New Roman" w:hAnsi="Times New Roman"/>
                <w:color w:val="000000" w:themeColor="text1"/>
                <w:sz w:val="24"/>
                <w:szCs w:val="24"/>
              </w:rPr>
            </w:r>
          </w:p>
        </w:tc>
        <w:tc>
          <w:tcPr>
            <w:tcBorders>
              <w:top w:val="single" w:color="808080" w:sz="6" w:space="0"/>
              <w:left w:val="single" w:color="808080" w:sz="6" w:space="0"/>
              <w:bottom w:val="single" w:color="808080" w:sz="6" w:space="0"/>
              <w:right w:val="single" w:color="808080" w:sz="6" w:space="0"/>
            </w:tcBorders>
            <w:tcMar>
              <w:left w:w="45" w:type="dxa"/>
              <w:top w:w="45" w:type="dxa"/>
              <w:right w:w="45" w:type="dxa"/>
              <w:bottom w:w="45" w:type="dxa"/>
            </w:tcMar>
            <w:tcW w:w="6386" w:type="dxa"/>
            <w:vAlign w:val="center"/>
            <w:vMerge w:val="restart"/>
            <w:textDirection w:val="lrTb"/>
            <w:noWrap w:val="false"/>
          </w:tcPr>
          <w:p>
            <w:pPr>
              <w:rPr>
                <w:rFonts w:ascii="Times New Roman" w:hAnsi="Times New Roman"/>
                <w:color w:val="000000" w:themeColor="text1"/>
                <w:sz w:val="24"/>
                <w:szCs w:val="24"/>
              </w:rPr>
            </w:pPr>
            <w:r>
              <w:rPr>
                <w:rFonts w:ascii="Times New Roman" w:hAnsi="Times New Roman" w:eastAsia="Times New Roman"/>
                <w:color w:val="000000" w:themeColor="text1"/>
                <w:sz w:val="24"/>
                <w:szCs w:val="24"/>
              </w:rPr>
              <w:t xml:space="preserve">Общественный помощник в </w:t>
            </w:r>
            <w:r>
              <w:rPr>
                <w:rFonts w:ascii="Times New Roman" w:hAnsi="Times New Roman" w:eastAsia="Times New Roman"/>
                <w:color w:val="000000" w:themeColor="text1"/>
                <w:sz w:val="24"/>
                <w:szCs w:val="24"/>
              </w:rPr>
              <w:t xml:space="preserve">Лухском</w:t>
            </w:r>
            <w:r>
              <w:rPr>
                <w:rFonts w:ascii="Times New Roman" w:hAnsi="Times New Roman" w:eastAsia="Times New Roman"/>
                <w:color w:val="000000" w:themeColor="text1"/>
                <w:sz w:val="24"/>
                <w:szCs w:val="24"/>
              </w:rPr>
              <w:t xml:space="preserve"> муниципальном районе</w:t>
            </w:r>
            <w:r>
              <w:rPr>
                <w:rFonts w:ascii="Times New Roman" w:hAnsi="Times New Roman"/>
                <w:color w:val="000000" w:themeColor="text1"/>
                <w:sz w:val="24"/>
                <w:szCs w:val="24"/>
              </w:rPr>
            </w:r>
            <w:r>
              <w:rPr>
                <w:rFonts w:ascii="Times New Roman" w:hAnsi="Times New Roman"/>
                <w:color w:val="000000" w:themeColor="text1"/>
                <w:sz w:val="24"/>
                <w:szCs w:val="24"/>
              </w:rPr>
            </w:r>
          </w:p>
        </w:tc>
      </w:tr>
      <w:tr>
        <w:tblPrEx/>
        <w:trPr/>
        <w:tc>
          <w:tcPr>
            <w:tcBorders>
              <w:top w:val="single" w:color="808080" w:sz="6" w:space="0"/>
              <w:left w:val="single" w:color="808080" w:sz="6" w:space="0"/>
              <w:bottom w:val="single" w:color="808080" w:sz="6" w:space="0"/>
              <w:right w:val="single" w:color="808080" w:sz="6" w:space="0"/>
            </w:tcBorders>
            <w:tcMar>
              <w:left w:w="45" w:type="dxa"/>
              <w:top w:w="45" w:type="dxa"/>
              <w:right w:w="45" w:type="dxa"/>
              <w:bottom w:w="45" w:type="dxa"/>
            </w:tcMar>
            <w:tcW w:w="612" w:type="dxa"/>
            <w:vAlign w:val="center"/>
            <w:textDirection w:val="lrTb"/>
            <w:noWrap w:val="false"/>
          </w:tcPr>
          <w:p>
            <w:pPr>
              <w:rPr>
                <w:rFonts w:ascii="Times New Roman" w:hAnsi="Times New Roman" w:eastAsia="Times New Roman"/>
                <w:color w:val="000000" w:themeColor="text1"/>
                <w:sz w:val="24"/>
                <w:szCs w:val="24"/>
              </w:rPr>
            </w:pPr>
            <w:r>
              <w:rPr>
                <w:rFonts w:ascii="Times New Roman" w:hAnsi="Times New Roman" w:eastAsia="Times New Roman"/>
                <w:color w:val="000000" w:themeColor="text1"/>
                <w:sz w:val="24"/>
                <w:szCs w:val="24"/>
              </w:rPr>
              <w:t xml:space="preserve">11.</w:t>
            </w:r>
            <w:r>
              <w:rPr>
                <w:rFonts w:ascii="Times New Roman" w:hAnsi="Times New Roman" w:eastAsia="Times New Roman"/>
                <w:color w:val="000000" w:themeColor="text1"/>
                <w:sz w:val="24"/>
                <w:szCs w:val="24"/>
              </w:rPr>
            </w:r>
            <w:r>
              <w:rPr>
                <w:rFonts w:ascii="Times New Roman" w:hAnsi="Times New Roman" w:eastAsia="Times New Roman"/>
                <w:color w:val="000000" w:themeColor="text1"/>
                <w:sz w:val="24"/>
                <w:szCs w:val="24"/>
              </w:rPr>
            </w:r>
          </w:p>
        </w:tc>
        <w:tc>
          <w:tcPr>
            <w:tcBorders>
              <w:top w:val="single" w:color="808080" w:sz="6" w:space="0"/>
              <w:left w:val="single" w:color="808080" w:sz="6" w:space="0"/>
              <w:bottom w:val="single" w:color="808080" w:sz="6" w:space="0"/>
              <w:right w:val="single" w:color="808080" w:sz="6" w:space="0"/>
            </w:tcBorders>
            <w:tcMar>
              <w:left w:w="45" w:type="dxa"/>
              <w:top w:w="45" w:type="dxa"/>
              <w:right w:w="45" w:type="dxa"/>
              <w:bottom w:w="45" w:type="dxa"/>
            </w:tcMar>
            <w:tcW w:w="2447" w:type="dxa"/>
            <w:vAlign w:val="center"/>
            <w:vMerge w:val="restart"/>
            <w:textDirection w:val="lrTb"/>
            <w:noWrap w:val="false"/>
          </w:tcPr>
          <w:p>
            <w:pPr>
              <w:jc w:val="both"/>
              <w:rPr>
                <w:rFonts w:ascii="Times New Roman" w:hAnsi="Times New Roman"/>
                <w:color w:val="000000" w:themeColor="text1"/>
                <w:sz w:val="24"/>
                <w:szCs w:val="24"/>
              </w:rPr>
            </w:pPr>
            <w:r>
              <w:rPr>
                <w:rFonts w:ascii="Times New Roman" w:hAnsi="Times New Roman" w:eastAsia="Times New Roman"/>
                <w:color w:val="000000" w:themeColor="text1"/>
                <w:sz w:val="24"/>
                <w:szCs w:val="24"/>
              </w:rPr>
              <w:t xml:space="preserve">Логинова Мария Евгеньевна</w:t>
            </w:r>
            <w:r>
              <w:rPr>
                <w:rFonts w:ascii="Times New Roman" w:hAnsi="Times New Roman"/>
                <w:color w:val="000000" w:themeColor="text1"/>
                <w:sz w:val="24"/>
                <w:szCs w:val="24"/>
              </w:rPr>
            </w:r>
            <w:r>
              <w:rPr>
                <w:rFonts w:ascii="Times New Roman" w:hAnsi="Times New Roman"/>
                <w:color w:val="000000" w:themeColor="text1"/>
                <w:sz w:val="24"/>
                <w:szCs w:val="24"/>
              </w:rPr>
            </w:r>
          </w:p>
        </w:tc>
        <w:tc>
          <w:tcPr>
            <w:tcBorders>
              <w:top w:val="single" w:color="808080" w:sz="6" w:space="0"/>
              <w:left w:val="single" w:color="808080" w:sz="6" w:space="0"/>
              <w:bottom w:val="single" w:color="808080" w:sz="6" w:space="0"/>
              <w:right w:val="single" w:color="808080" w:sz="6" w:space="0"/>
            </w:tcBorders>
            <w:tcMar>
              <w:left w:w="45" w:type="dxa"/>
              <w:top w:w="45" w:type="dxa"/>
              <w:right w:w="45" w:type="dxa"/>
              <w:bottom w:w="45" w:type="dxa"/>
            </w:tcMar>
            <w:tcW w:w="6386" w:type="dxa"/>
            <w:vAlign w:val="center"/>
            <w:vMerge w:val="restart"/>
            <w:textDirection w:val="lrTb"/>
            <w:noWrap w:val="false"/>
          </w:tcPr>
          <w:p>
            <w:pPr>
              <w:rPr>
                <w:rFonts w:ascii="Times New Roman" w:hAnsi="Times New Roman"/>
                <w:color w:val="000000" w:themeColor="text1"/>
                <w:sz w:val="24"/>
                <w:szCs w:val="24"/>
              </w:rPr>
            </w:pPr>
            <w:r>
              <w:rPr>
                <w:rFonts w:ascii="Times New Roman" w:hAnsi="Times New Roman" w:eastAsia="Times New Roman"/>
                <w:color w:val="000000" w:themeColor="text1"/>
                <w:sz w:val="24"/>
                <w:szCs w:val="24"/>
              </w:rPr>
              <w:t xml:space="preserve">Общественный помощник в </w:t>
            </w:r>
            <w:r>
              <w:rPr>
                <w:rFonts w:ascii="Times New Roman" w:hAnsi="Times New Roman" w:eastAsia="Times New Roman"/>
                <w:color w:val="000000" w:themeColor="text1"/>
                <w:sz w:val="24"/>
                <w:szCs w:val="24"/>
              </w:rPr>
              <w:t xml:space="preserve">Лежневском</w:t>
            </w:r>
            <w:r>
              <w:rPr>
                <w:rFonts w:ascii="Times New Roman" w:hAnsi="Times New Roman" w:eastAsia="Times New Roman"/>
                <w:color w:val="000000" w:themeColor="text1"/>
                <w:sz w:val="24"/>
                <w:szCs w:val="24"/>
              </w:rPr>
              <w:t xml:space="preserve"> муниципальном районе</w:t>
            </w:r>
            <w:r>
              <w:rPr>
                <w:rFonts w:ascii="Times New Roman" w:hAnsi="Times New Roman"/>
                <w:color w:val="000000" w:themeColor="text1"/>
                <w:sz w:val="24"/>
                <w:szCs w:val="24"/>
              </w:rPr>
            </w:r>
            <w:r>
              <w:rPr>
                <w:rFonts w:ascii="Times New Roman" w:hAnsi="Times New Roman"/>
                <w:color w:val="000000" w:themeColor="text1"/>
                <w:sz w:val="24"/>
                <w:szCs w:val="24"/>
              </w:rPr>
            </w:r>
          </w:p>
        </w:tc>
      </w:tr>
      <w:tr>
        <w:tblPrEx/>
        <w:trPr/>
        <w:tc>
          <w:tcPr>
            <w:tcBorders>
              <w:top w:val="single" w:color="808080" w:sz="6" w:space="0"/>
              <w:left w:val="single" w:color="808080" w:sz="6" w:space="0"/>
              <w:bottom w:val="single" w:color="808080" w:sz="6" w:space="0"/>
              <w:right w:val="single" w:color="808080" w:sz="6" w:space="0"/>
            </w:tcBorders>
            <w:tcMar>
              <w:left w:w="45" w:type="dxa"/>
              <w:top w:w="45" w:type="dxa"/>
              <w:right w:w="45" w:type="dxa"/>
              <w:bottom w:w="45" w:type="dxa"/>
            </w:tcMar>
            <w:tcW w:w="612" w:type="dxa"/>
            <w:vAlign w:val="center"/>
            <w:textDirection w:val="lrTb"/>
            <w:noWrap w:val="false"/>
          </w:tcPr>
          <w:p>
            <w:pPr>
              <w:rPr>
                <w:rFonts w:ascii="Times New Roman" w:hAnsi="Times New Roman" w:eastAsia="Times New Roman"/>
                <w:color w:val="000000" w:themeColor="text1"/>
                <w:sz w:val="24"/>
                <w:szCs w:val="24"/>
              </w:rPr>
            </w:pPr>
            <w:r>
              <w:rPr>
                <w:rFonts w:ascii="Times New Roman" w:hAnsi="Times New Roman" w:eastAsia="Times New Roman"/>
                <w:color w:val="000000" w:themeColor="text1"/>
                <w:sz w:val="24"/>
                <w:szCs w:val="24"/>
              </w:rPr>
              <w:t xml:space="preserve">12.</w:t>
            </w:r>
            <w:r>
              <w:rPr>
                <w:rFonts w:ascii="Times New Roman" w:hAnsi="Times New Roman" w:eastAsia="Times New Roman"/>
                <w:color w:val="000000" w:themeColor="text1"/>
                <w:sz w:val="24"/>
                <w:szCs w:val="24"/>
              </w:rPr>
            </w:r>
            <w:r>
              <w:rPr>
                <w:rFonts w:ascii="Times New Roman" w:hAnsi="Times New Roman" w:eastAsia="Times New Roman"/>
                <w:color w:val="000000" w:themeColor="text1"/>
                <w:sz w:val="24"/>
                <w:szCs w:val="24"/>
              </w:rPr>
            </w:r>
          </w:p>
        </w:tc>
        <w:tc>
          <w:tcPr>
            <w:tcBorders>
              <w:top w:val="single" w:color="808080" w:sz="6" w:space="0"/>
              <w:left w:val="single" w:color="808080" w:sz="6" w:space="0"/>
              <w:bottom w:val="single" w:color="808080" w:sz="6" w:space="0"/>
              <w:right w:val="single" w:color="808080" w:sz="6" w:space="0"/>
            </w:tcBorders>
            <w:tcMar>
              <w:left w:w="45" w:type="dxa"/>
              <w:top w:w="45" w:type="dxa"/>
              <w:right w:w="45" w:type="dxa"/>
              <w:bottom w:w="45" w:type="dxa"/>
            </w:tcMar>
            <w:tcW w:w="2447" w:type="dxa"/>
            <w:vAlign w:val="center"/>
            <w:vMerge w:val="restart"/>
            <w:textDirection w:val="lrTb"/>
            <w:noWrap w:val="false"/>
          </w:tcPr>
          <w:p>
            <w:pPr>
              <w:jc w:val="both"/>
              <w:rPr>
                <w:rFonts w:ascii="Times New Roman" w:hAnsi="Times New Roman"/>
                <w:color w:val="000000" w:themeColor="text1"/>
                <w:sz w:val="24"/>
                <w:szCs w:val="24"/>
              </w:rPr>
            </w:pPr>
            <w:r>
              <w:rPr>
                <w:rFonts w:ascii="Times New Roman" w:hAnsi="Times New Roman" w:eastAsia="Times New Roman"/>
                <w:color w:val="000000" w:themeColor="text1"/>
                <w:sz w:val="24"/>
                <w:szCs w:val="24"/>
              </w:rPr>
              <w:t xml:space="preserve">Лятова</w:t>
            </w:r>
            <w:r>
              <w:rPr>
                <w:rFonts w:ascii="Times New Roman" w:hAnsi="Times New Roman" w:eastAsia="Times New Roman"/>
                <w:color w:val="000000" w:themeColor="text1"/>
                <w:sz w:val="24"/>
                <w:szCs w:val="24"/>
              </w:rPr>
              <w:t xml:space="preserve"> Татьяна Юрьевна</w:t>
            </w:r>
            <w:r>
              <w:rPr>
                <w:rFonts w:ascii="Times New Roman" w:hAnsi="Times New Roman"/>
                <w:color w:val="000000" w:themeColor="text1"/>
                <w:sz w:val="24"/>
                <w:szCs w:val="24"/>
              </w:rPr>
            </w:r>
            <w:r>
              <w:rPr>
                <w:rFonts w:ascii="Times New Roman" w:hAnsi="Times New Roman"/>
                <w:color w:val="000000" w:themeColor="text1"/>
                <w:sz w:val="24"/>
                <w:szCs w:val="24"/>
              </w:rPr>
            </w:r>
          </w:p>
        </w:tc>
        <w:tc>
          <w:tcPr>
            <w:tcBorders>
              <w:top w:val="single" w:color="808080" w:sz="6" w:space="0"/>
              <w:left w:val="single" w:color="808080" w:sz="6" w:space="0"/>
              <w:bottom w:val="single" w:color="808080" w:sz="6" w:space="0"/>
              <w:right w:val="single" w:color="808080" w:sz="6" w:space="0"/>
            </w:tcBorders>
            <w:tcMar>
              <w:left w:w="45" w:type="dxa"/>
              <w:top w:w="45" w:type="dxa"/>
              <w:right w:w="45" w:type="dxa"/>
              <w:bottom w:w="45" w:type="dxa"/>
            </w:tcMar>
            <w:tcW w:w="6386" w:type="dxa"/>
            <w:vAlign w:val="center"/>
            <w:vMerge w:val="restart"/>
            <w:textDirection w:val="lrTb"/>
            <w:noWrap w:val="false"/>
          </w:tcPr>
          <w:p>
            <w:pPr>
              <w:rPr>
                <w:rFonts w:ascii="Times New Roman" w:hAnsi="Times New Roman"/>
                <w:color w:val="000000" w:themeColor="text1"/>
                <w:sz w:val="24"/>
                <w:szCs w:val="24"/>
              </w:rPr>
            </w:pPr>
            <w:r>
              <w:rPr>
                <w:rFonts w:ascii="Times New Roman" w:hAnsi="Times New Roman" w:eastAsia="Times New Roman"/>
                <w:color w:val="000000" w:themeColor="text1"/>
                <w:sz w:val="24"/>
                <w:szCs w:val="24"/>
              </w:rPr>
              <w:t xml:space="preserve">Общественный помощник в Палехском муниципальном районе</w:t>
            </w:r>
            <w:r>
              <w:rPr>
                <w:rFonts w:ascii="Times New Roman" w:hAnsi="Times New Roman"/>
                <w:color w:val="000000" w:themeColor="text1"/>
                <w:sz w:val="24"/>
                <w:szCs w:val="24"/>
              </w:rPr>
            </w:r>
            <w:r>
              <w:rPr>
                <w:rFonts w:ascii="Times New Roman" w:hAnsi="Times New Roman"/>
                <w:color w:val="000000" w:themeColor="text1"/>
                <w:sz w:val="24"/>
                <w:szCs w:val="24"/>
              </w:rPr>
            </w:r>
          </w:p>
        </w:tc>
      </w:tr>
      <w:tr>
        <w:tblPrEx/>
        <w:trPr/>
        <w:tc>
          <w:tcPr>
            <w:tcBorders>
              <w:top w:val="single" w:color="808080" w:sz="6" w:space="0"/>
              <w:left w:val="single" w:color="808080" w:sz="6" w:space="0"/>
              <w:bottom w:val="single" w:color="808080" w:sz="6" w:space="0"/>
              <w:right w:val="single" w:color="808080" w:sz="6" w:space="0"/>
            </w:tcBorders>
            <w:tcMar>
              <w:left w:w="45" w:type="dxa"/>
              <w:top w:w="45" w:type="dxa"/>
              <w:right w:w="45" w:type="dxa"/>
              <w:bottom w:w="45" w:type="dxa"/>
            </w:tcMar>
            <w:tcW w:w="612" w:type="dxa"/>
            <w:vAlign w:val="center"/>
            <w:textDirection w:val="lrTb"/>
            <w:noWrap w:val="false"/>
          </w:tcPr>
          <w:p>
            <w:pPr>
              <w:rPr>
                <w:rFonts w:ascii="Times New Roman" w:hAnsi="Times New Roman" w:eastAsia="Times New Roman"/>
                <w:color w:val="000000" w:themeColor="text1"/>
                <w:sz w:val="24"/>
                <w:szCs w:val="24"/>
              </w:rPr>
            </w:pPr>
            <w:r>
              <w:rPr>
                <w:rFonts w:ascii="Times New Roman" w:hAnsi="Times New Roman" w:eastAsia="Times New Roman"/>
                <w:color w:val="000000" w:themeColor="text1"/>
                <w:sz w:val="24"/>
                <w:szCs w:val="24"/>
              </w:rPr>
              <w:t xml:space="preserve">13.</w:t>
            </w:r>
            <w:r>
              <w:rPr>
                <w:rFonts w:ascii="Times New Roman" w:hAnsi="Times New Roman" w:eastAsia="Times New Roman"/>
                <w:color w:val="000000" w:themeColor="text1"/>
                <w:sz w:val="24"/>
                <w:szCs w:val="24"/>
              </w:rPr>
            </w:r>
            <w:r>
              <w:rPr>
                <w:rFonts w:ascii="Times New Roman" w:hAnsi="Times New Roman" w:eastAsia="Times New Roman"/>
                <w:color w:val="000000" w:themeColor="text1"/>
                <w:sz w:val="24"/>
                <w:szCs w:val="24"/>
              </w:rPr>
            </w:r>
          </w:p>
        </w:tc>
        <w:tc>
          <w:tcPr>
            <w:tcBorders>
              <w:top w:val="single" w:color="808080" w:sz="6" w:space="0"/>
              <w:left w:val="single" w:color="808080" w:sz="6" w:space="0"/>
              <w:bottom w:val="single" w:color="808080" w:sz="6" w:space="0"/>
              <w:right w:val="single" w:color="808080" w:sz="6" w:space="0"/>
            </w:tcBorders>
            <w:tcMar>
              <w:left w:w="45" w:type="dxa"/>
              <w:top w:w="45" w:type="dxa"/>
              <w:right w:w="45" w:type="dxa"/>
              <w:bottom w:w="45" w:type="dxa"/>
            </w:tcMar>
            <w:tcW w:w="2447" w:type="dxa"/>
            <w:vAlign w:val="center"/>
            <w:textDirection w:val="lrTb"/>
            <w:noWrap w:val="false"/>
          </w:tcPr>
          <w:p>
            <w:pPr>
              <w:jc w:val="both"/>
              <w:rPr>
                <w:rFonts w:ascii="Times New Roman" w:hAnsi="Times New Roman"/>
                <w:color w:val="000000" w:themeColor="text1"/>
                <w:sz w:val="24"/>
                <w:szCs w:val="24"/>
              </w:rPr>
            </w:pPr>
            <w:r>
              <w:rPr>
                <w:rFonts w:ascii="Times New Roman" w:hAnsi="Times New Roman" w:eastAsia="Times New Roman"/>
                <w:color w:val="000000" w:themeColor="text1"/>
                <w:sz w:val="24"/>
                <w:szCs w:val="24"/>
              </w:rPr>
              <w:t xml:space="preserve">Мугаев</w:t>
            </w:r>
            <w:r>
              <w:rPr>
                <w:rFonts w:ascii="Times New Roman" w:hAnsi="Times New Roman" w:eastAsia="Times New Roman"/>
                <w:color w:val="000000" w:themeColor="text1"/>
                <w:sz w:val="24"/>
                <w:szCs w:val="24"/>
              </w:rPr>
              <w:t xml:space="preserve"> </w:t>
            </w:r>
            <w:r>
              <w:rPr>
                <w:rFonts w:ascii="Times New Roman" w:hAnsi="Times New Roman" w:eastAsia="Times New Roman"/>
                <w:color w:val="000000" w:themeColor="text1"/>
                <w:sz w:val="24"/>
                <w:szCs w:val="24"/>
              </w:rPr>
              <w:t xml:space="preserve">Мугай</w:t>
            </w:r>
            <w:r>
              <w:rPr>
                <w:rFonts w:ascii="Times New Roman" w:hAnsi="Times New Roman" w:eastAsia="Times New Roman"/>
                <w:color w:val="000000" w:themeColor="text1"/>
                <w:sz w:val="24"/>
                <w:szCs w:val="24"/>
              </w:rPr>
              <w:t xml:space="preserve"> </w:t>
            </w:r>
            <w:r>
              <w:rPr>
                <w:rFonts w:ascii="Times New Roman" w:hAnsi="Times New Roman" w:eastAsia="Times New Roman"/>
                <w:color w:val="000000" w:themeColor="text1"/>
                <w:sz w:val="24"/>
                <w:szCs w:val="24"/>
              </w:rPr>
              <w:t xml:space="preserve">Айгубович</w:t>
            </w:r>
            <w:r>
              <w:rPr>
                <w:rFonts w:ascii="Times New Roman" w:hAnsi="Times New Roman"/>
                <w:color w:val="000000" w:themeColor="text1"/>
                <w:sz w:val="24"/>
                <w:szCs w:val="24"/>
              </w:rPr>
            </w:r>
            <w:r>
              <w:rPr>
                <w:rFonts w:ascii="Times New Roman" w:hAnsi="Times New Roman"/>
                <w:color w:val="000000" w:themeColor="text1"/>
                <w:sz w:val="24"/>
                <w:szCs w:val="24"/>
              </w:rPr>
            </w:r>
          </w:p>
        </w:tc>
        <w:tc>
          <w:tcPr>
            <w:tcBorders>
              <w:top w:val="single" w:color="808080" w:sz="6" w:space="0"/>
              <w:left w:val="single" w:color="808080" w:sz="6" w:space="0"/>
              <w:bottom w:val="single" w:color="808080" w:sz="6" w:space="0"/>
              <w:right w:val="single" w:color="808080" w:sz="6" w:space="0"/>
            </w:tcBorders>
            <w:tcMar>
              <w:left w:w="45" w:type="dxa"/>
              <w:top w:w="45" w:type="dxa"/>
              <w:right w:w="45" w:type="dxa"/>
              <w:bottom w:w="45" w:type="dxa"/>
            </w:tcMar>
            <w:tcW w:w="6386" w:type="dxa"/>
            <w:vAlign w:val="center"/>
            <w:textDirection w:val="lrTb"/>
            <w:noWrap w:val="false"/>
          </w:tcPr>
          <w:p>
            <w:pPr>
              <w:rPr>
                <w:rFonts w:ascii="Times New Roman" w:hAnsi="Times New Roman"/>
                <w:color w:val="000000" w:themeColor="text1"/>
                <w:sz w:val="24"/>
                <w:szCs w:val="24"/>
              </w:rPr>
              <w:pBdr>
                <w:top w:val="none" w:color="000000" w:sz="4" w:space="0"/>
                <w:left w:val="none" w:color="000000" w:sz="4" w:space="0"/>
                <w:bottom w:val="none" w:color="000000" w:sz="4" w:space="0"/>
                <w:right w:val="none" w:color="000000" w:sz="4" w:space="0"/>
              </w:pBdr>
            </w:pPr>
            <w:r>
              <w:rPr>
                <w:rFonts w:ascii="Times New Roman" w:hAnsi="Times New Roman" w:eastAsia="Times New Roman"/>
                <w:color w:val="000000" w:themeColor="text1"/>
                <w:sz w:val="24"/>
                <w:szCs w:val="24"/>
              </w:rPr>
              <w:t xml:space="preserve">Общественный помощник в </w:t>
            </w:r>
            <w:r>
              <w:rPr>
                <w:rFonts w:ascii="Times New Roman" w:hAnsi="Times New Roman" w:eastAsia="Times New Roman"/>
                <w:color w:val="000000" w:themeColor="text1"/>
                <w:sz w:val="24"/>
                <w:szCs w:val="24"/>
              </w:rPr>
              <w:t xml:space="preserve">Пучежском</w:t>
            </w:r>
            <w:r>
              <w:rPr>
                <w:rFonts w:ascii="Times New Roman" w:hAnsi="Times New Roman" w:eastAsia="Times New Roman"/>
                <w:color w:val="000000" w:themeColor="text1"/>
                <w:sz w:val="24"/>
                <w:szCs w:val="24"/>
              </w:rPr>
              <w:t xml:space="preserve"> муниципальном районе </w:t>
            </w:r>
            <w:r>
              <w:rPr>
                <w:rFonts w:ascii="Times New Roman" w:hAnsi="Times New Roman"/>
                <w:color w:val="000000" w:themeColor="text1"/>
                <w:sz w:val="24"/>
                <w:szCs w:val="24"/>
              </w:rPr>
            </w:r>
            <w:r>
              <w:rPr>
                <w:rFonts w:ascii="Times New Roman" w:hAnsi="Times New Roman"/>
                <w:color w:val="000000" w:themeColor="text1"/>
                <w:sz w:val="24"/>
                <w:szCs w:val="24"/>
              </w:rPr>
            </w:r>
          </w:p>
        </w:tc>
      </w:tr>
      <w:tr>
        <w:tblPrEx/>
        <w:trPr/>
        <w:tc>
          <w:tcPr>
            <w:tcBorders>
              <w:top w:val="single" w:color="808080" w:sz="6" w:space="0"/>
              <w:left w:val="single" w:color="808080" w:sz="6" w:space="0"/>
              <w:bottom w:val="single" w:color="808080" w:sz="6" w:space="0"/>
              <w:right w:val="single" w:color="808080" w:sz="6" w:space="0"/>
            </w:tcBorders>
            <w:tcMar>
              <w:left w:w="45" w:type="dxa"/>
              <w:top w:w="45" w:type="dxa"/>
              <w:right w:w="45" w:type="dxa"/>
              <w:bottom w:w="45" w:type="dxa"/>
            </w:tcMar>
            <w:tcW w:w="612" w:type="dxa"/>
            <w:vAlign w:val="center"/>
            <w:textDirection w:val="lrTb"/>
            <w:noWrap w:val="false"/>
          </w:tcPr>
          <w:p>
            <w:pPr>
              <w:rPr>
                <w:rFonts w:ascii="Times New Roman" w:hAnsi="Times New Roman" w:eastAsia="Times New Roman"/>
                <w:color w:val="000000" w:themeColor="text1"/>
                <w:sz w:val="24"/>
                <w:szCs w:val="24"/>
              </w:rPr>
            </w:pPr>
            <w:r>
              <w:rPr>
                <w:rFonts w:ascii="Times New Roman" w:hAnsi="Times New Roman" w:eastAsia="Times New Roman"/>
                <w:color w:val="000000" w:themeColor="text1"/>
                <w:sz w:val="24"/>
                <w:szCs w:val="24"/>
              </w:rPr>
              <w:t xml:space="preserve">14.</w:t>
            </w:r>
            <w:r>
              <w:rPr>
                <w:rFonts w:ascii="Times New Roman" w:hAnsi="Times New Roman" w:eastAsia="Times New Roman"/>
                <w:color w:val="000000" w:themeColor="text1"/>
                <w:sz w:val="24"/>
                <w:szCs w:val="24"/>
              </w:rPr>
            </w:r>
            <w:r>
              <w:rPr>
                <w:rFonts w:ascii="Times New Roman" w:hAnsi="Times New Roman" w:eastAsia="Times New Roman"/>
                <w:color w:val="000000" w:themeColor="text1"/>
                <w:sz w:val="24"/>
                <w:szCs w:val="24"/>
              </w:rPr>
            </w:r>
          </w:p>
        </w:tc>
        <w:tc>
          <w:tcPr>
            <w:tcBorders>
              <w:top w:val="single" w:color="808080" w:sz="6" w:space="0"/>
              <w:left w:val="single" w:color="808080" w:sz="6" w:space="0"/>
              <w:bottom w:val="single" w:color="808080" w:sz="6" w:space="0"/>
              <w:right w:val="single" w:color="808080" w:sz="6" w:space="0"/>
            </w:tcBorders>
            <w:tcMar>
              <w:left w:w="45" w:type="dxa"/>
              <w:top w:w="45" w:type="dxa"/>
              <w:right w:w="45" w:type="dxa"/>
              <w:bottom w:w="45" w:type="dxa"/>
            </w:tcMar>
            <w:tcW w:w="2447" w:type="dxa"/>
            <w:vAlign w:val="center"/>
            <w:textDirection w:val="lrTb"/>
            <w:noWrap w:val="false"/>
          </w:tcPr>
          <w:p>
            <w:pPr>
              <w:jc w:val="both"/>
              <w:rPr>
                <w:rFonts w:ascii="Times New Roman" w:hAnsi="Times New Roman"/>
                <w:color w:val="000000" w:themeColor="text1"/>
                <w:sz w:val="24"/>
                <w:szCs w:val="24"/>
              </w:rPr>
            </w:pPr>
            <w:r>
              <w:rPr>
                <w:rFonts w:ascii="Times New Roman" w:hAnsi="Times New Roman" w:eastAsia="Times New Roman"/>
                <w:color w:val="000000" w:themeColor="text1"/>
                <w:sz w:val="24"/>
                <w:szCs w:val="24"/>
              </w:rPr>
              <w:t xml:space="preserve">Осокин Александр Константинович</w:t>
            </w:r>
            <w:r>
              <w:rPr>
                <w:rFonts w:ascii="Times New Roman" w:hAnsi="Times New Roman"/>
                <w:color w:val="000000" w:themeColor="text1"/>
                <w:sz w:val="24"/>
                <w:szCs w:val="24"/>
              </w:rPr>
            </w:r>
            <w:r>
              <w:rPr>
                <w:rFonts w:ascii="Times New Roman" w:hAnsi="Times New Roman"/>
                <w:color w:val="000000" w:themeColor="text1"/>
                <w:sz w:val="24"/>
                <w:szCs w:val="24"/>
              </w:rPr>
            </w:r>
          </w:p>
        </w:tc>
        <w:tc>
          <w:tcPr>
            <w:tcBorders>
              <w:top w:val="single" w:color="808080" w:sz="6" w:space="0"/>
              <w:left w:val="single" w:color="808080" w:sz="6" w:space="0"/>
              <w:bottom w:val="single" w:color="808080" w:sz="6" w:space="0"/>
              <w:right w:val="single" w:color="808080" w:sz="6" w:space="0"/>
            </w:tcBorders>
            <w:tcMar>
              <w:left w:w="45" w:type="dxa"/>
              <w:top w:w="45" w:type="dxa"/>
              <w:right w:w="45" w:type="dxa"/>
              <w:bottom w:w="45" w:type="dxa"/>
            </w:tcMar>
            <w:tcW w:w="6386" w:type="dxa"/>
            <w:vAlign w:val="center"/>
            <w:textDirection w:val="lrTb"/>
            <w:noWrap w:val="false"/>
          </w:tcPr>
          <w:p>
            <w:pPr>
              <w:rPr>
                <w:rFonts w:ascii="Times New Roman" w:hAnsi="Times New Roman"/>
                <w:color w:val="000000" w:themeColor="text1"/>
                <w:sz w:val="24"/>
                <w:szCs w:val="24"/>
              </w:rPr>
            </w:pPr>
            <w:r>
              <w:rPr>
                <w:rFonts w:ascii="Times New Roman" w:hAnsi="Times New Roman" w:eastAsia="Times New Roman"/>
                <w:color w:val="000000" w:themeColor="text1"/>
                <w:sz w:val="24"/>
                <w:szCs w:val="24"/>
              </w:rPr>
              <w:t xml:space="preserve">Общественный помощник  в Кинешемском муниципальном районе</w:t>
            </w:r>
            <w:r>
              <w:rPr>
                <w:rFonts w:ascii="Times New Roman" w:hAnsi="Times New Roman"/>
                <w:color w:val="000000" w:themeColor="text1"/>
                <w:sz w:val="24"/>
                <w:szCs w:val="24"/>
              </w:rPr>
            </w:r>
            <w:r>
              <w:rPr>
                <w:rFonts w:ascii="Times New Roman" w:hAnsi="Times New Roman"/>
                <w:color w:val="000000" w:themeColor="text1"/>
                <w:sz w:val="24"/>
                <w:szCs w:val="24"/>
              </w:rPr>
            </w:r>
          </w:p>
        </w:tc>
      </w:tr>
      <w:tr>
        <w:tblPrEx/>
        <w:trPr/>
        <w:tc>
          <w:tcPr>
            <w:tcBorders>
              <w:top w:val="single" w:color="808080" w:sz="6" w:space="0"/>
              <w:left w:val="single" w:color="808080" w:sz="6" w:space="0"/>
              <w:bottom w:val="single" w:color="808080" w:sz="6" w:space="0"/>
              <w:right w:val="single" w:color="808080" w:sz="6" w:space="0"/>
            </w:tcBorders>
            <w:tcMar>
              <w:left w:w="45" w:type="dxa"/>
              <w:top w:w="45" w:type="dxa"/>
              <w:right w:w="45" w:type="dxa"/>
              <w:bottom w:w="45" w:type="dxa"/>
            </w:tcMar>
            <w:tcW w:w="612" w:type="dxa"/>
            <w:vAlign w:val="center"/>
            <w:textDirection w:val="lrTb"/>
            <w:noWrap w:val="false"/>
          </w:tcPr>
          <w:p>
            <w:pPr>
              <w:rPr>
                <w:rFonts w:ascii="Times New Roman" w:hAnsi="Times New Roman" w:eastAsia="Times New Roman"/>
                <w:color w:val="000000" w:themeColor="text1"/>
                <w:sz w:val="24"/>
                <w:szCs w:val="24"/>
              </w:rPr>
            </w:pPr>
            <w:r>
              <w:rPr>
                <w:rFonts w:ascii="Times New Roman" w:hAnsi="Times New Roman" w:eastAsia="Times New Roman"/>
                <w:color w:val="000000" w:themeColor="text1"/>
                <w:sz w:val="24"/>
                <w:szCs w:val="24"/>
              </w:rPr>
              <w:t xml:space="preserve">15.</w:t>
            </w:r>
            <w:r>
              <w:rPr>
                <w:rFonts w:ascii="Times New Roman" w:hAnsi="Times New Roman" w:eastAsia="Times New Roman"/>
                <w:color w:val="000000" w:themeColor="text1"/>
                <w:sz w:val="24"/>
                <w:szCs w:val="24"/>
              </w:rPr>
            </w:r>
            <w:r>
              <w:rPr>
                <w:rFonts w:ascii="Times New Roman" w:hAnsi="Times New Roman" w:eastAsia="Times New Roman"/>
                <w:color w:val="000000" w:themeColor="text1"/>
                <w:sz w:val="24"/>
                <w:szCs w:val="24"/>
              </w:rPr>
            </w:r>
          </w:p>
        </w:tc>
        <w:tc>
          <w:tcPr>
            <w:tcBorders>
              <w:top w:val="single" w:color="808080" w:sz="6" w:space="0"/>
              <w:left w:val="single" w:color="808080" w:sz="6" w:space="0"/>
              <w:bottom w:val="single" w:color="808080" w:sz="6" w:space="0"/>
              <w:right w:val="single" w:color="808080" w:sz="6" w:space="0"/>
            </w:tcBorders>
            <w:tcMar>
              <w:left w:w="45" w:type="dxa"/>
              <w:top w:w="45" w:type="dxa"/>
              <w:right w:w="45" w:type="dxa"/>
              <w:bottom w:w="45" w:type="dxa"/>
            </w:tcMar>
            <w:tcW w:w="2447" w:type="dxa"/>
            <w:vAlign w:val="center"/>
            <w:vMerge w:val="restart"/>
            <w:textDirection w:val="lrTb"/>
            <w:noWrap w:val="false"/>
          </w:tcPr>
          <w:p>
            <w:pPr>
              <w:jc w:val="both"/>
              <w:rPr>
                <w:rFonts w:ascii="Times New Roman" w:hAnsi="Times New Roman"/>
                <w:color w:val="000000" w:themeColor="text1"/>
                <w:sz w:val="24"/>
                <w:szCs w:val="24"/>
              </w:rPr>
            </w:pPr>
            <w:r>
              <w:rPr>
                <w:rFonts w:ascii="Times New Roman" w:hAnsi="Times New Roman" w:eastAsia="Times New Roman"/>
                <w:color w:val="000000" w:themeColor="text1"/>
                <w:sz w:val="24"/>
                <w:szCs w:val="24"/>
              </w:rPr>
              <w:t xml:space="preserve">Ошанина</w:t>
            </w:r>
            <w:r>
              <w:rPr>
                <w:rFonts w:ascii="Times New Roman" w:hAnsi="Times New Roman" w:eastAsia="Times New Roman"/>
                <w:color w:val="000000" w:themeColor="text1"/>
                <w:sz w:val="24"/>
                <w:szCs w:val="24"/>
              </w:rPr>
              <w:t xml:space="preserve"> Ольга Ивановна</w:t>
            </w:r>
            <w:r>
              <w:rPr>
                <w:rFonts w:ascii="Times New Roman" w:hAnsi="Times New Roman"/>
                <w:color w:val="000000" w:themeColor="text1"/>
                <w:sz w:val="24"/>
                <w:szCs w:val="24"/>
              </w:rPr>
            </w:r>
            <w:r>
              <w:rPr>
                <w:rFonts w:ascii="Times New Roman" w:hAnsi="Times New Roman"/>
                <w:color w:val="000000" w:themeColor="text1"/>
                <w:sz w:val="24"/>
                <w:szCs w:val="24"/>
              </w:rPr>
            </w:r>
          </w:p>
        </w:tc>
        <w:tc>
          <w:tcPr>
            <w:tcBorders>
              <w:top w:val="single" w:color="808080" w:sz="6" w:space="0"/>
              <w:left w:val="single" w:color="808080" w:sz="6" w:space="0"/>
              <w:bottom w:val="single" w:color="808080" w:sz="6" w:space="0"/>
              <w:right w:val="single" w:color="808080" w:sz="6" w:space="0"/>
            </w:tcBorders>
            <w:tcMar>
              <w:left w:w="45" w:type="dxa"/>
              <w:top w:w="45" w:type="dxa"/>
              <w:right w:w="45" w:type="dxa"/>
              <w:bottom w:w="45" w:type="dxa"/>
            </w:tcMar>
            <w:tcW w:w="6386" w:type="dxa"/>
            <w:vAlign w:val="center"/>
            <w:vMerge w:val="restart"/>
            <w:textDirection w:val="lrTb"/>
            <w:noWrap w:val="false"/>
          </w:tcPr>
          <w:p>
            <w:pPr>
              <w:rPr>
                <w:rFonts w:ascii="Times New Roman" w:hAnsi="Times New Roman"/>
                <w:color w:val="000000" w:themeColor="text1"/>
                <w:sz w:val="24"/>
                <w:szCs w:val="24"/>
              </w:rPr>
            </w:pPr>
            <w:r>
              <w:rPr>
                <w:rFonts w:ascii="Times New Roman" w:hAnsi="Times New Roman" w:eastAsia="Times New Roman"/>
                <w:color w:val="000000" w:themeColor="text1"/>
                <w:sz w:val="24"/>
                <w:szCs w:val="24"/>
              </w:rPr>
              <w:t xml:space="preserve">Общественный помощник в Ильинском муниципальном районе </w:t>
            </w:r>
            <w:r>
              <w:rPr>
                <w:rFonts w:ascii="Times New Roman" w:hAnsi="Times New Roman"/>
                <w:color w:val="000000" w:themeColor="text1"/>
                <w:sz w:val="24"/>
                <w:szCs w:val="24"/>
              </w:rPr>
            </w:r>
            <w:r>
              <w:rPr>
                <w:rFonts w:ascii="Times New Roman" w:hAnsi="Times New Roman"/>
                <w:color w:val="000000" w:themeColor="text1"/>
                <w:sz w:val="24"/>
                <w:szCs w:val="24"/>
              </w:rPr>
            </w:r>
          </w:p>
        </w:tc>
      </w:tr>
      <w:tr>
        <w:tblPrEx/>
        <w:trPr/>
        <w:tc>
          <w:tcPr>
            <w:tcBorders>
              <w:top w:val="single" w:color="808080" w:sz="6" w:space="0"/>
              <w:left w:val="single" w:color="808080" w:sz="6" w:space="0"/>
              <w:bottom w:val="single" w:color="808080" w:sz="6" w:space="0"/>
              <w:right w:val="single" w:color="808080" w:sz="6" w:space="0"/>
            </w:tcBorders>
            <w:tcMar>
              <w:left w:w="45" w:type="dxa"/>
              <w:top w:w="45" w:type="dxa"/>
              <w:right w:w="45" w:type="dxa"/>
              <w:bottom w:w="45" w:type="dxa"/>
            </w:tcMar>
            <w:tcW w:w="612" w:type="dxa"/>
            <w:vAlign w:val="center"/>
            <w:textDirection w:val="lrTb"/>
            <w:noWrap w:val="false"/>
          </w:tcPr>
          <w:p>
            <w:pPr>
              <w:rPr>
                <w:rFonts w:ascii="Times New Roman" w:hAnsi="Times New Roman" w:eastAsia="Times New Roman"/>
                <w:color w:val="000000" w:themeColor="text1"/>
                <w:sz w:val="24"/>
                <w:szCs w:val="24"/>
              </w:rPr>
            </w:pPr>
            <w:r>
              <w:rPr>
                <w:rFonts w:ascii="Times New Roman" w:hAnsi="Times New Roman" w:eastAsia="Times New Roman"/>
                <w:color w:val="000000" w:themeColor="text1"/>
                <w:sz w:val="24"/>
                <w:szCs w:val="24"/>
              </w:rPr>
              <w:t xml:space="preserve">16.</w:t>
            </w:r>
            <w:r>
              <w:rPr>
                <w:rFonts w:ascii="Times New Roman" w:hAnsi="Times New Roman" w:eastAsia="Times New Roman"/>
                <w:color w:val="000000" w:themeColor="text1"/>
                <w:sz w:val="24"/>
                <w:szCs w:val="24"/>
              </w:rPr>
            </w:r>
            <w:r>
              <w:rPr>
                <w:rFonts w:ascii="Times New Roman" w:hAnsi="Times New Roman" w:eastAsia="Times New Roman"/>
                <w:color w:val="000000" w:themeColor="text1"/>
                <w:sz w:val="24"/>
                <w:szCs w:val="24"/>
              </w:rPr>
            </w:r>
          </w:p>
        </w:tc>
        <w:tc>
          <w:tcPr>
            <w:tcBorders>
              <w:top w:val="single" w:color="808080" w:sz="6" w:space="0"/>
              <w:left w:val="single" w:color="808080" w:sz="6" w:space="0"/>
              <w:bottom w:val="single" w:color="808080" w:sz="6" w:space="0"/>
              <w:right w:val="single" w:color="808080" w:sz="6" w:space="0"/>
            </w:tcBorders>
            <w:tcMar>
              <w:left w:w="45" w:type="dxa"/>
              <w:top w:w="45" w:type="dxa"/>
              <w:right w:w="45" w:type="dxa"/>
              <w:bottom w:w="45" w:type="dxa"/>
            </w:tcMar>
            <w:tcW w:w="2447" w:type="dxa"/>
            <w:vAlign w:val="center"/>
            <w:vMerge w:val="restart"/>
            <w:textDirection w:val="lrTb"/>
            <w:noWrap w:val="false"/>
          </w:tcPr>
          <w:p>
            <w:pPr>
              <w:jc w:val="both"/>
              <w:rPr>
                <w:rFonts w:ascii="Times New Roman" w:hAnsi="Times New Roman"/>
                <w:color w:val="000000" w:themeColor="text1"/>
                <w:sz w:val="24"/>
                <w:szCs w:val="24"/>
              </w:rPr>
            </w:pPr>
            <w:r>
              <w:rPr>
                <w:rFonts w:ascii="Times New Roman" w:hAnsi="Times New Roman" w:eastAsia="Times New Roman"/>
                <w:color w:val="000000" w:themeColor="text1"/>
                <w:sz w:val="24"/>
                <w:szCs w:val="24"/>
              </w:rPr>
              <w:t xml:space="preserve">Попова Елена Борисовна</w:t>
            </w:r>
            <w:r>
              <w:rPr>
                <w:rFonts w:ascii="Times New Roman" w:hAnsi="Times New Roman"/>
                <w:color w:val="000000" w:themeColor="text1"/>
                <w:sz w:val="24"/>
                <w:szCs w:val="24"/>
              </w:rPr>
            </w:r>
            <w:r>
              <w:rPr>
                <w:rFonts w:ascii="Times New Roman" w:hAnsi="Times New Roman"/>
                <w:color w:val="000000" w:themeColor="text1"/>
                <w:sz w:val="24"/>
                <w:szCs w:val="24"/>
              </w:rPr>
            </w:r>
          </w:p>
        </w:tc>
        <w:tc>
          <w:tcPr>
            <w:tcBorders>
              <w:top w:val="single" w:color="808080" w:sz="6" w:space="0"/>
              <w:left w:val="single" w:color="808080" w:sz="6" w:space="0"/>
              <w:bottom w:val="single" w:color="808080" w:sz="6" w:space="0"/>
              <w:right w:val="single" w:color="808080" w:sz="6" w:space="0"/>
            </w:tcBorders>
            <w:tcMar>
              <w:left w:w="45" w:type="dxa"/>
              <w:top w:w="45" w:type="dxa"/>
              <w:right w:w="45" w:type="dxa"/>
              <w:bottom w:w="45" w:type="dxa"/>
            </w:tcMar>
            <w:tcW w:w="6386" w:type="dxa"/>
            <w:vAlign w:val="center"/>
            <w:vMerge w:val="restart"/>
            <w:textDirection w:val="lrTb"/>
            <w:noWrap w:val="false"/>
          </w:tcPr>
          <w:p>
            <w:pPr>
              <w:rPr>
                <w:rFonts w:ascii="Times New Roman" w:hAnsi="Times New Roman"/>
                <w:color w:val="000000" w:themeColor="text1"/>
                <w:sz w:val="24"/>
                <w:szCs w:val="24"/>
              </w:rPr>
            </w:pPr>
            <w:r>
              <w:rPr>
                <w:rFonts w:ascii="Times New Roman" w:hAnsi="Times New Roman" w:eastAsia="Times New Roman"/>
                <w:color w:val="000000" w:themeColor="text1"/>
                <w:sz w:val="24"/>
                <w:szCs w:val="24"/>
              </w:rPr>
              <w:t xml:space="preserve">Общественный помощник в Комсомольском муниципальном районе</w:t>
            </w:r>
            <w:r>
              <w:rPr>
                <w:rFonts w:ascii="Times New Roman" w:hAnsi="Times New Roman"/>
                <w:color w:val="000000" w:themeColor="text1"/>
                <w:sz w:val="24"/>
                <w:szCs w:val="24"/>
              </w:rPr>
            </w:r>
            <w:r>
              <w:rPr>
                <w:rFonts w:ascii="Times New Roman" w:hAnsi="Times New Roman"/>
                <w:color w:val="000000" w:themeColor="text1"/>
                <w:sz w:val="24"/>
                <w:szCs w:val="24"/>
              </w:rPr>
            </w:r>
          </w:p>
        </w:tc>
      </w:tr>
      <w:tr>
        <w:tblPrEx/>
        <w:trPr/>
        <w:tc>
          <w:tcPr>
            <w:tcBorders>
              <w:top w:val="single" w:color="808080" w:sz="6" w:space="0"/>
              <w:left w:val="single" w:color="808080" w:sz="6" w:space="0"/>
              <w:bottom w:val="single" w:color="808080" w:sz="6" w:space="0"/>
              <w:right w:val="single" w:color="808080" w:sz="6" w:space="0"/>
            </w:tcBorders>
            <w:tcMar>
              <w:left w:w="45" w:type="dxa"/>
              <w:top w:w="45" w:type="dxa"/>
              <w:right w:w="45" w:type="dxa"/>
              <w:bottom w:w="45" w:type="dxa"/>
            </w:tcMar>
            <w:tcW w:w="612" w:type="dxa"/>
            <w:vAlign w:val="center"/>
            <w:textDirection w:val="lrTb"/>
            <w:noWrap w:val="false"/>
          </w:tcPr>
          <w:p>
            <w:pPr>
              <w:rPr>
                <w:rFonts w:ascii="Times New Roman" w:hAnsi="Times New Roman" w:eastAsia="Times New Roman"/>
                <w:color w:val="000000" w:themeColor="text1"/>
                <w:sz w:val="24"/>
                <w:szCs w:val="24"/>
              </w:rPr>
            </w:pPr>
            <w:r>
              <w:rPr>
                <w:rFonts w:ascii="Times New Roman" w:hAnsi="Times New Roman" w:eastAsia="Times New Roman"/>
                <w:color w:val="000000" w:themeColor="text1"/>
                <w:sz w:val="24"/>
                <w:szCs w:val="24"/>
              </w:rPr>
              <w:t xml:space="preserve">17.</w:t>
            </w:r>
            <w:r>
              <w:rPr>
                <w:rFonts w:ascii="Times New Roman" w:hAnsi="Times New Roman" w:eastAsia="Times New Roman"/>
                <w:color w:val="000000" w:themeColor="text1"/>
                <w:sz w:val="24"/>
                <w:szCs w:val="24"/>
              </w:rPr>
            </w:r>
            <w:r>
              <w:rPr>
                <w:rFonts w:ascii="Times New Roman" w:hAnsi="Times New Roman" w:eastAsia="Times New Roman"/>
                <w:color w:val="000000" w:themeColor="text1"/>
                <w:sz w:val="24"/>
                <w:szCs w:val="24"/>
              </w:rPr>
            </w:r>
          </w:p>
        </w:tc>
        <w:tc>
          <w:tcPr>
            <w:tcBorders>
              <w:top w:val="single" w:color="808080" w:sz="6" w:space="0"/>
              <w:left w:val="single" w:color="808080" w:sz="6" w:space="0"/>
              <w:bottom w:val="single" w:color="808080" w:sz="6" w:space="0"/>
              <w:right w:val="single" w:color="808080" w:sz="6" w:space="0"/>
            </w:tcBorders>
            <w:tcMar>
              <w:left w:w="45" w:type="dxa"/>
              <w:top w:w="45" w:type="dxa"/>
              <w:right w:w="45" w:type="dxa"/>
              <w:bottom w:w="45" w:type="dxa"/>
            </w:tcMar>
            <w:tcW w:w="2447" w:type="dxa"/>
            <w:vAlign w:val="center"/>
            <w:vMerge w:val="restart"/>
            <w:textDirection w:val="lrTb"/>
            <w:noWrap w:val="false"/>
          </w:tcPr>
          <w:p>
            <w:pPr>
              <w:jc w:val="both"/>
              <w:rPr>
                <w:rFonts w:ascii="Times New Roman" w:hAnsi="Times New Roman"/>
                <w:color w:val="000000" w:themeColor="text1"/>
                <w:sz w:val="24"/>
                <w:szCs w:val="24"/>
              </w:rPr>
            </w:pPr>
            <w:r>
              <w:rPr>
                <w:rFonts w:ascii="Times New Roman" w:hAnsi="Times New Roman" w:eastAsia="Times New Roman"/>
                <w:color w:val="000000" w:themeColor="text1"/>
                <w:sz w:val="24"/>
                <w:szCs w:val="24"/>
              </w:rPr>
              <w:t xml:space="preserve">Сухова Наталья Викторовна</w:t>
            </w:r>
            <w:r>
              <w:rPr>
                <w:rFonts w:ascii="Times New Roman" w:hAnsi="Times New Roman"/>
                <w:color w:val="000000" w:themeColor="text1"/>
                <w:sz w:val="24"/>
                <w:szCs w:val="24"/>
              </w:rPr>
            </w:r>
            <w:r>
              <w:rPr>
                <w:rFonts w:ascii="Times New Roman" w:hAnsi="Times New Roman"/>
                <w:color w:val="000000" w:themeColor="text1"/>
                <w:sz w:val="24"/>
                <w:szCs w:val="24"/>
              </w:rPr>
            </w:r>
          </w:p>
        </w:tc>
        <w:tc>
          <w:tcPr>
            <w:tcBorders>
              <w:top w:val="single" w:color="808080" w:sz="6" w:space="0"/>
              <w:left w:val="single" w:color="808080" w:sz="6" w:space="0"/>
              <w:bottom w:val="single" w:color="808080" w:sz="6" w:space="0"/>
              <w:right w:val="single" w:color="808080" w:sz="6" w:space="0"/>
            </w:tcBorders>
            <w:tcMar>
              <w:left w:w="45" w:type="dxa"/>
              <w:top w:w="45" w:type="dxa"/>
              <w:right w:w="45" w:type="dxa"/>
              <w:bottom w:w="45" w:type="dxa"/>
            </w:tcMar>
            <w:tcW w:w="6386" w:type="dxa"/>
            <w:vAlign w:val="center"/>
            <w:vMerge w:val="restart"/>
            <w:textDirection w:val="lrTb"/>
            <w:noWrap w:val="false"/>
          </w:tcPr>
          <w:p>
            <w:pPr>
              <w:rPr>
                <w:rFonts w:ascii="Times New Roman" w:hAnsi="Times New Roman"/>
                <w:color w:val="000000" w:themeColor="text1"/>
                <w:sz w:val="24"/>
                <w:szCs w:val="24"/>
              </w:rPr>
            </w:pPr>
            <w:r>
              <w:rPr>
                <w:rFonts w:ascii="Times New Roman" w:hAnsi="Times New Roman" w:eastAsia="Times New Roman"/>
                <w:color w:val="000000" w:themeColor="text1"/>
                <w:sz w:val="24"/>
                <w:szCs w:val="24"/>
              </w:rPr>
              <w:t xml:space="preserve">Общественный помощник в Заволжском муниципальном районе</w:t>
            </w:r>
            <w:r>
              <w:rPr>
                <w:rFonts w:ascii="Times New Roman" w:hAnsi="Times New Roman"/>
                <w:color w:val="000000" w:themeColor="text1"/>
                <w:sz w:val="24"/>
                <w:szCs w:val="24"/>
              </w:rPr>
            </w:r>
            <w:r>
              <w:rPr>
                <w:rFonts w:ascii="Times New Roman" w:hAnsi="Times New Roman"/>
                <w:color w:val="000000" w:themeColor="text1"/>
                <w:sz w:val="24"/>
                <w:szCs w:val="24"/>
              </w:rPr>
            </w:r>
          </w:p>
        </w:tc>
      </w:tr>
      <w:tr>
        <w:tblPrEx/>
        <w:trPr/>
        <w:tc>
          <w:tcPr>
            <w:tcBorders>
              <w:top w:val="single" w:color="808080" w:sz="6" w:space="0"/>
              <w:left w:val="single" w:color="808080" w:sz="6" w:space="0"/>
              <w:bottom w:val="single" w:color="808080" w:sz="6" w:space="0"/>
              <w:right w:val="single" w:color="808080" w:sz="6" w:space="0"/>
            </w:tcBorders>
            <w:tcMar>
              <w:left w:w="45" w:type="dxa"/>
              <w:top w:w="45" w:type="dxa"/>
              <w:right w:w="45" w:type="dxa"/>
              <w:bottom w:w="45" w:type="dxa"/>
            </w:tcMar>
            <w:tcW w:w="612" w:type="dxa"/>
            <w:vAlign w:val="center"/>
            <w:textDirection w:val="lrTb"/>
            <w:noWrap w:val="false"/>
          </w:tcPr>
          <w:p>
            <w:pPr>
              <w:rPr>
                <w:rFonts w:ascii="Times New Roman" w:hAnsi="Times New Roman" w:eastAsia="Times New Roman"/>
                <w:color w:val="000000" w:themeColor="text1"/>
                <w:sz w:val="24"/>
                <w:szCs w:val="24"/>
              </w:rPr>
            </w:pPr>
            <w:r>
              <w:rPr>
                <w:rFonts w:ascii="Times New Roman" w:hAnsi="Times New Roman" w:eastAsia="Times New Roman"/>
                <w:color w:val="000000" w:themeColor="text1"/>
                <w:sz w:val="24"/>
                <w:szCs w:val="24"/>
              </w:rPr>
              <w:t xml:space="preserve">18.</w:t>
            </w:r>
            <w:r>
              <w:rPr>
                <w:rFonts w:ascii="Times New Roman" w:hAnsi="Times New Roman" w:eastAsia="Times New Roman"/>
                <w:color w:val="000000" w:themeColor="text1"/>
                <w:sz w:val="24"/>
                <w:szCs w:val="24"/>
              </w:rPr>
            </w:r>
            <w:r>
              <w:rPr>
                <w:rFonts w:ascii="Times New Roman" w:hAnsi="Times New Roman" w:eastAsia="Times New Roman"/>
                <w:color w:val="000000" w:themeColor="text1"/>
                <w:sz w:val="24"/>
                <w:szCs w:val="24"/>
              </w:rPr>
            </w:r>
          </w:p>
        </w:tc>
        <w:tc>
          <w:tcPr>
            <w:tcBorders>
              <w:top w:val="single" w:color="808080" w:sz="6" w:space="0"/>
              <w:left w:val="single" w:color="808080" w:sz="6" w:space="0"/>
              <w:bottom w:val="single" w:color="808080" w:sz="6" w:space="0"/>
              <w:right w:val="single" w:color="808080" w:sz="6" w:space="0"/>
            </w:tcBorders>
            <w:tcMar>
              <w:left w:w="45" w:type="dxa"/>
              <w:top w:w="45" w:type="dxa"/>
              <w:right w:w="45" w:type="dxa"/>
              <w:bottom w:w="45" w:type="dxa"/>
            </w:tcMar>
            <w:tcW w:w="2447" w:type="dxa"/>
            <w:vAlign w:val="center"/>
            <w:textDirection w:val="lrTb"/>
            <w:noWrap w:val="false"/>
          </w:tcPr>
          <w:p>
            <w:pPr>
              <w:jc w:val="both"/>
              <w:rPr>
                <w:rFonts w:ascii="Times New Roman" w:hAnsi="Times New Roman"/>
                <w:color w:val="000000" w:themeColor="text1"/>
                <w:sz w:val="24"/>
                <w:szCs w:val="24"/>
              </w:rPr>
            </w:pPr>
            <w:r>
              <w:rPr>
                <w:rFonts w:ascii="Times New Roman" w:hAnsi="Times New Roman" w:eastAsia="Times New Roman"/>
                <w:color w:val="000000" w:themeColor="text1"/>
                <w:sz w:val="24"/>
                <w:szCs w:val="24"/>
              </w:rPr>
              <w:t xml:space="preserve">Трухина Надежда Игоревна</w:t>
            </w:r>
            <w:r>
              <w:rPr>
                <w:rFonts w:ascii="Times New Roman" w:hAnsi="Times New Roman"/>
                <w:color w:val="000000" w:themeColor="text1"/>
                <w:sz w:val="24"/>
                <w:szCs w:val="24"/>
              </w:rPr>
            </w:r>
            <w:r>
              <w:rPr>
                <w:rFonts w:ascii="Times New Roman" w:hAnsi="Times New Roman"/>
                <w:color w:val="000000" w:themeColor="text1"/>
                <w:sz w:val="24"/>
                <w:szCs w:val="24"/>
              </w:rPr>
            </w:r>
          </w:p>
        </w:tc>
        <w:tc>
          <w:tcPr>
            <w:tcBorders>
              <w:top w:val="single" w:color="808080" w:sz="6" w:space="0"/>
              <w:left w:val="single" w:color="808080" w:sz="6" w:space="0"/>
              <w:bottom w:val="single" w:color="808080" w:sz="6" w:space="0"/>
              <w:right w:val="single" w:color="808080" w:sz="6" w:space="0"/>
            </w:tcBorders>
            <w:tcMar>
              <w:left w:w="45" w:type="dxa"/>
              <w:top w:w="45" w:type="dxa"/>
              <w:right w:w="45" w:type="dxa"/>
              <w:bottom w:w="45" w:type="dxa"/>
            </w:tcMar>
            <w:tcW w:w="6386" w:type="dxa"/>
            <w:vAlign w:val="center"/>
            <w:textDirection w:val="lrTb"/>
            <w:noWrap w:val="false"/>
          </w:tcPr>
          <w:p>
            <w:pPr>
              <w:rPr>
                <w:rFonts w:ascii="Times New Roman" w:hAnsi="Times New Roman"/>
                <w:color w:val="000000" w:themeColor="text1"/>
                <w:sz w:val="24"/>
                <w:szCs w:val="24"/>
              </w:rPr>
            </w:pPr>
            <w:r>
              <w:rPr>
                <w:rFonts w:ascii="Times New Roman" w:hAnsi="Times New Roman" w:eastAsia="Times New Roman"/>
                <w:color w:val="000000" w:themeColor="text1"/>
                <w:sz w:val="24"/>
                <w:szCs w:val="24"/>
              </w:rPr>
              <w:t xml:space="preserve">Общественный помощник в городском округе Вичуга и </w:t>
            </w:r>
            <w:r>
              <w:rPr>
                <w:rFonts w:ascii="Times New Roman" w:hAnsi="Times New Roman" w:eastAsia="Times New Roman"/>
                <w:color w:val="000000" w:themeColor="text1"/>
                <w:sz w:val="24"/>
                <w:szCs w:val="24"/>
              </w:rPr>
              <w:t xml:space="preserve">Вичугском</w:t>
            </w:r>
            <w:r>
              <w:rPr>
                <w:rFonts w:ascii="Times New Roman" w:hAnsi="Times New Roman" w:eastAsia="Times New Roman"/>
                <w:color w:val="000000" w:themeColor="text1"/>
                <w:sz w:val="24"/>
                <w:szCs w:val="24"/>
              </w:rPr>
              <w:t xml:space="preserve"> муниципальном районе</w:t>
            </w:r>
            <w:r>
              <w:rPr>
                <w:rFonts w:ascii="Times New Roman" w:hAnsi="Times New Roman"/>
                <w:color w:val="000000" w:themeColor="text1"/>
                <w:sz w:val="24"/>
                <w:szCs w:val="24"/>
              </w:rPr>
            </w:r>
            <w:r>
              <w:rPr>
                <w:rFonts w:ascii="Times New Roman" w:hAnsi="Times New Roman"/>
                <w:color w:val="000000" w:themeColor="text1"/>
                <w:sz w:val="24"/>
                <w:szCs w:val="24"/>
              </w:rPr>
            </w:r>
          </w:p>
        </w:tc>
      </w:tr>
      <w:tr>
        <w:tblPrEx/>
        <w:trPr/>
        <w:tc>
          <w:tcPr>
            <w:tcBorders>
              <w:top w:val="single" w:color="808080" w:sz="6" w:space="0"/>
              <w:left w:val="single" w:color="808080" w:sz="6" w:space="0"/>
              <w:bottom w:val="single" w:color="808080" w:sz="6" w:space="0"/>
              <w:right w:val="single" w:color="808080" w:sz="6" w:space="0"/>
            </w:tcBorders>
            <w:tcMar>
              <w:left w:w="45" w:type="dxa"/>
              <w:top w:w="45" w:type="dxa"/>
              <w:right w:w="45" w:type="dxa"/>
              <w:bottom w:w="45" w:type="dxa"/>
            </w:tcMar>
            <w:tcW w:w="612" w:type="dxa"/>
            <w:vAlign w:val="center"/>
            <w:textDirection w:val="lrTb"/>
            <w:noWrap w:val="false"/>
          </w:tcPr>
          <w:p>
            <w:pPr>
              <w:rPr>
                <w:rFonts w:ascii="Times New Roman" w:hAnsi="Times New Roman" w:eastAsia="Times New Roman"/>
                <w:color w:val="000000" w:themeColor="text1"/>
                <w:sz w:val="24"/>
                <w:szCs w:val="24"/>
              </w:rPr>
            </w:pPr>
            <w:r>
              <w:rPr>
                <w:rFonts w:ascii="Times New Roman" w:hAnsi="Times New Roman" w:eastAsia="Times New Roman"/>
                <w:color w:val="000000" w:themeColor="text1"/>
                <w:sz w:val="24"/>
                <w:szCs w:val="24"/>
              </w:rPr>
              <w:t xml:space="preserve">19.</w:t>
            </w:r>
            <w:r>
              <w:rPr>
                <w:rFonts w:ascii="Times New Roman" w:hAnsi="Times New Roman" w:eastAsia="Times New Roman"/>
                <w:color w:val="000000" w:themeColor="text1"/>
                <w:sz w:val="24"/>
                <w:szCs w:val="24"/>
              </w:rPr>
            </w:r>
            <w:r>
              <w:rPr>
                <w:rFonts w:ascii="Times New Roman" w:hAnsi="Times New Roman" w:eastAsia="Times New Roman"/>
                <w:color w:val="000000" w:themeColor="text1"/>
                <w:sz w:val="24"/>
                <w:szCs w:val="24"/>
              </w:rPr>
            </w:r>
          </w:p>
        </w:tc>
        <w:tc>
          <w:tcPr>
            <w:tcBorders>
              <w:top w:val="single" w:color="808080" w:sz="6" w:space="0"/>
              <w:left w:val="single" w:color="808080" w:sz="6" w:space="0"/>
              <w:bottom w:val="single" w:color="808080" w:sz="6" w:space="0"/>
              <w:right w:val="single" w:color="808080" w:sz="6" w:space="0"/>
            </w:tcBorders>
            <w:tcMar>
              <w:left w:w="45" w:type="dxa"/>
              <w:top w:w="45" w:type="dxa"/>
              <w:right w:w="45" w:type="dxa"/>
              <w:bottom w:w="45" w:type="dxa"/>
            </w:tcMar>
            <w:tcW w:w="2447" w:type="dxa"/>
            <w:vAlign w:val="center"/>
            <w:vMerge w:val="restart"/>
            <w:textDirection w:val="lrTb"/>
            <w:noWrap w:val="false"/>
          </w:tcPr>
          <w:p>
            <w:pPr>
              <w:jc w:val="both"/>
              <w:rPr>
                <w:rFonts w:ascii="Times New Roman" w:hAnsi="Times New Roman"/>
                <w:color w:val="000000" w:themeColor="text1"/>
                <w:sz w:val="24"/>
                <w:szCs w:val="24"/>
              </w:rPr>
            </w:pPr>
            <w:r>
              <w:rPr>
                <w:rFonts w:ascii="Times New Roman" w:hAnsi="Times New Roman" w:eastAsia="Times New Roman"/>
                <w:color w:val="000000" w:themeColor="text1"/>
                <w:sz w:val="24"/>
                <w:szCs w:val="24"/>
              </w:rPr>
              <w:t xml:space="preserve">Ульшина</w:t>
            </w:r>
            <w:r>
              <w:rPr>
                <w:rFonts w:ascii="Times New Roman" w:hAnsi="Times New Roman" w:eastAsia="Times New Roman"/>
                <w:color w:val="000000" w:themeColor="text1"/>
                <w:sz w:val="24"/>
                <w:szCs w:val="24"/>
              </w:rPr>
              <w:t xml:space="preserve"> Ирина Валентиновна</w:t>
            </w:r>
            <w:r>
              <w:rPr>
                <w:rFonts w:ascii="Times New Roman" w:hAnsi="Times New Roman"/>
                <w:color w:val="000000" w:themeColor="text1"/>
                <w:sz w:val="24"/>
                <w:szCs w:val="24"/>
              </w:rPr>
            </w:r>
            <w:r>
              <w:rPr>
                <w:rFonts w:ascii="Times New Roman" w:hAnsi="Times New Roman"/>
                <w:color w:val="000000" w:themeColor="text1"/>
                <w:sz w:val="24"/>
                <w:szCs w:val="24"/>
              </w:rPr>
            </w:r>
          </w:p>
        </w:tc>
        <w:tc>
          <w:tcPr>
            <w:tcBorders>
              <w:top w:val="single" w:color="808080" w:sz="6" w:space="0"/>
              <w:left w:val="single" w:color="808080" w:sz="6" w:space="0"/>
              <w:bottom w:val="single" w:color="808080" w:sz="6" w:space="0"/>
              <w:right w:val="single" w:color="808080" w:sz="6" w:space="0"/>
            </w:tcBorders>
            <w:tcMar>
              <w:left w:w="45" w:type="dxa"/>
              <w:top w:w="45" w:type="dxa"/>
              <w:right w:w="45" w:type="dxa"/>
              <w:bottom w:w="45" w:type="dxa"/>
            </w:tcMar>
            <w:tcW w:w="6386" w:type="dxa"/>
            <w:vAlign w:val="center"/>
            <w:vMerge w:val="restart"/>
            <w:textDirection w:val="lrTb"/>
            <w:noWrap w:val="false"/>
          </w:tcPr>
          <w:p>
            <w:pPr>
              <w:rPr>
                <w:rFonts w:ascii="Times New Roman" w:hAnsi="Times New Roman"/>
                <w:color w:val="000000" w:themeColor="text1"/>
                <w:sz w:val="24"/>
                <w:szCs w:val="24"/>
              </w:rPr>
            </w:pPr>
            <w:r>
              <w:rPr>
                <w:rFonts w:ascii="Times New Roman" w:hAnsi="Times New Roman" w:eastAsia="Times New Roman"/>
                <w:color w:val="000000" w:themeColor="text1"/>
                <w:sz w:val="24"/>
                <w:szCs w:val="24"/>
              </w:rPr>
              <w:t xml:space="preserve">Общественный помощник в </w:t>
            </w:r>
            <w:r>
              <w:rPr>
                <w:rFonts w:ascii="Times New Roman" w:hAnsi="Times New Roman" w:eastAsia="Times New Roman"/>
                <w:color w:val="000000" w:themeColor="text1"/>
                <w:sz w:val="24"/>
                <w:szCs w:val="24"/>
              </w:rPr>
              <w:t xml:space="preserve">Пестяковском</w:t>
            </w:r>
            <w:r>
              <w:rPr>
                <w:rFonts w:ascii="Times New Roman" w:hAnsi="Times New Roman" w:eastAsia="Times New Roman"/>
                <w:color w:val="000000" w:themeColor="text1"/>
                <w:sz w:val="24"/>
                <w:szCs w:val="24"/>
              </w:rPr>
              <w:t xml:space="preserve"> муниципальном районе </w:t>
            </w:r>
            <w:r>
              <w:rPr>
                <w:rFonts w:ascii="Times New Roman" w:hAnsi="Times New Roman"/>
                <w:color w:val="000000" w:themeColor="text1"/>
                <w:sz w:val="24"/>
                <w:szCs w:val="24"/>
              </w:rPr>
            </w:r>
            <w:r>
              <w:rPr>
                <w:rFonts w:ascii="Times New Roman" w:hAnsi="Times New Roman"/>
                <w:color w:val="000000" w:themeColor="text1"/>
                <w:sz w:val="24"/>
                <w:szCs w:val="24"/>
              </w:rPr>
            </w:r>
          </w:p>
        </w:tc>
      </w:tr>
      <w:tr>
        <w:tblPrEx/>
        <w:trPr/>
        <w:tc>
          <w:tcPr>
            <w:tcBorders>
              <w:top w:val="single" w:color="808080" w:sz="6" w:space="0"/>
              <w:left w:val="single" w:color="808080" w:sz="6" w:space="0"/>
              <w:bottom w:val="single" w:color="808080" w:sz="6" w:space="0"/>
              <w:right w:val="single" w:color="808080" w:sz="6" w:space="0"/>
            </w:tcBorders>
            <w:tcMar>
              <w:left w:w="45" w:type="dxa"/>
              <w:top w:w="45" w:type="dxa"/>
              <w:right w:w="45" w:type="dxa"/>
              <w:bottom w:w="45" w:type="dxa"/>
            </w:tcMar>
            <w:tcW w:w="612" w:type="dxa"/>
            <w:vAlign w:val="center"/>
            <w:textDirection w:val="lrTb"/>
            <w:noWrap w:val="false"/>
          </w:tcPr>
          <w:p>
            <w:pPr>
              <w:rPr>
                <w:rFonts w:ascii="Times New Roman" w:hAnsi="Times New Roman" w:eastAsia="Times New Roman"/>
                <w:color w:val="000000" w:themeColor="text1"/>
                <w:sz w:val="24"/>
                <w:szCs w:val="24"/>
              </w:rPr>
            </w:pPr>
            <w:r>
              <w:rPr>
                <w:rFonts w:ascii="Times New Roman" w:hAnsi="Times New Roman" w:eastAsia="Times New Roman"/>
                <w:color w:val="000000" w:themeColor="text1"/>
                <w:sz w:val="24"/>
                <w:szCs w:val="24"/>
              </w:rPr>
              <w:t xml:space="preserve">20.</w:t>
            </w:r>
            <w:r>
              <w:rPr>
                <w:rFonts w:ascii="Times New Roman" w:hAnsi="Times New Roman" w:eastAsia="Times New Roman"/>
                <w:color w:val="000000" w:themeColor="text1"/>
                <w:sz w:val="24"/>
                <w:szCs w:val="24"/>
              </w:rPr>
            </w:r>
            <w:r>
              <w:rPr>
                <w:rFonts w:ascii="Times New Roman" w:hAnsi="Times New Roman" w:eastAsia="Times New Roman"/>
                <w:color w:val="000000" w:themeColor="text1"/>
                <w:sz w:val="24"/>
                <w:szCs w:val="24"/>
              </w:rPr>
            </w:r>
          </w:p>
        </w:tc>
        <w:tc>
          <w:tcPr>
            <w:tcBorders>
              <w:top w:val="single" w:color="808080" w:sz="6" w:space="0"/>
              <w:left w:val="single" w:color="808080" w:sz="6" w:space="0"/>
              <w:bottom w:val="single" w:color="808080" w:sz="6" w:space="0"/>
              <w:right w:val="single" w:color="808080" w:sz="6" w:space="0"/>
            </w:tcBorders>
            <w:tcMar>
              <w:left w:w="45" w:type="dxa"/>
              <w:top w:w="45" w:type="dxa"/>
              <w:right w:w="45" w:type="dxa"/>
              <w:bottom w:w="45" w:type="dxa"/>
            </w:tcMar>
            <w:tcW w:w="2447" w:type="dxa"/>
            <w:vAlign w:val="center"/>
            <w:vMerge w:val="restart"/>
            <w:textDirection w:val="lrTb"/>
            <w:noWrap w:val="false"/>
          </w:tcPr>
          <w:p>
            <w:pPr>
              <w:jc w:val="both"/>
              <w:rPr>
                <w:rFonts w:ascii="Times New Roman" w:hAnsi="Times New Roman"/>
                <w:color w:val="000000" w:themeColor="text1"/>
                <w:sz w:val="24"/>
                <w:szCs w:val="24"/>
              </w:rPr>
            </w:pPr>
            <w:r>
              <w:rPr>
                <w:rFonts w:ascii="Times New Roman" w:hAnsi="Times New Roman" w:eastAsia="Times New Roman"/>
                <w:color w:val="000000" w:themeColor="text1"/>
                <w:sz w:val="24"/>
                <w:szCs w:val="24"/>
              </w:rPr>
              <w:t xml:space="preserve">Филенков</w:t>
            </w:r>
            <w:r>
              <w:rPr>
                <w:rFonts w:ascii="Times New Roman" w:hAnsi="Times New Roman" w:eastAsia="Times New Roman"/>
                <w:color w:val="000000" w:themeColor="text1"/>
                <w:sz w:val="24"/>
                <w:szCs w:val="24"/>
              </w:rPr>
              <w:t xml:space="preserve"> Илья Эдуардович</w:t>
            </w:r>
            <w:r>
              <w:rPr>
                <w:rFonts w:ascii="Times New Roman" w:hAnsi="Times New Roman"/>
                <w:color w:val="000000" w:themeColor="text1"/>
                <w:sz w:val="24"/>
                <w:szCs w:val="24"/>
              </w:rPr>
            </w:r>
            <w:r>
              <w:rPr>
                <w:rFonts w:ascii="Times New Roman" w:hAnsi="Times New Roman"/>
                <w:color w:val="000000" w:themeColor="text1"/>
                <w:sz w:val="24"/>
                <w:szCs w:val="24"/>
              </w:rPr>
            </w:r>
          </w:p>
        </w:tc>
        <w:tc>
          <w:tcPr>
            <w:tcBorders>
              <w:top w:val="single" w:color="808080" w:sz="6" w:space="0"/>
              <w:left w:val="single" w:color="808080" w:sz="6" w:space="0"/>
              <w:bottom w:val="single" w:color="808080" w:sz="6" w:space="0"/>
              <w:right w:val="single" w:color="808080" w:sz="6" w:space="0"/>
            </w:tcBorders>
            <w:tcMar>
              <w:left w:w="45" w:type="dxa"/>
              <w:top w:w="45" w:type="dxa"/>
              <w:right w:w="45" w:type="dxa"/>
              <w:bottom w:w="45" w:type="dxa"/>
            </w:tcMar>
            <w:tcW w:w="6386" w:type="dxa"/>
            <w:vAlign w:val="center"/>
            <w:vMerge w:val="restart"/>
            <w:textDirection w:val="lrTb"/>
            <w:noWrap w:val="false"/>
          </w:tcPr>
          <w:p>
            <w:pPr>
              <w:rPr>
                <w:rFonts w:ascii="Times New Roman" w:hAnsi="Times New Roman"/>
                <w:color w:val="000000" w:themeColor="text1"/>
                <w:sz w:val="24"/>
                <w:szCs w:val="24"/>
              </w:rPr>
            </w:pPr>
            <w:r>
              <w:rPr>
                <w:rFonts w:ascii="Times New Roman" w:hAnsi="Times New Roman" w:eastAsia="Times New Roman"/>
                <w:color w:val="000000" w:themeColor="text1"/>
                <w:sz w:val="24"/>
                <w:szCs w:val="24"/>
              </w:rPr>
              <w:t xml:space="preserve">Общественный помощник в г</w:t>
            </w:r>
            <w:r>
              <w:rPr>
                <w:rFonts w:ascii="Times New Roman" w:hAnsi="Times New Roman" w:eastAsia="Times New Roman"/>
                <w:color w:val="000000" w:themeColor="text1"/>
                <w:sz w:val="24"/>
                <w:szCs w:val="24"/>
              </w:rPr>
              <w:t xml:space="preserve">.И</w:t>
            </w:r>
            <w:r>
              <w:rPr>
                <w:rFonts w:ascii="Times New Roman" w:hAnsi="Times New Roman" w:eastAsia="Times New Roman"/>
                <w:color w:val="000000" w:themeColor="text1"/>
                <w:sz w:val="24"/>
                <w:szCs w:val="24"/>
              </w:rPr>
              <w:t xml:space="preserve">ваново </w:t>
            </w:r>
            <w:r>
              <w:rPr>
                <w:rFonts w:ascii="Times New Roman" w:hAnsi="Times New Roman"/>
                <w:color w:val="000000" w:themeColor="text1"/>
                <w:sz w:val="24"/>
                <w:szCs w:val="24"/>
              </w:rPr>
            </w:r>
            <w:r>
              <w:rPr>
                <w:rFonts w:ascii="Times New Roman" w:hAnsi="Times New Roman"/>
                <w:color w:val="000000" w:themeColor="text1"/>
                <w:sz w:val="24"/>
                <w:szCs w:val="24"/>
              </w:rPr>
            </w:r>
          </w:p>
        </w:tc>
      </w:tr>
      <w:tr>
        <w:tblPrEx/>
        <w:trPr/>
        <w:tc>
          <w:tcPr>
            <w:tcBorders>
              <w:top w:val="single" w:color="808080" w:sz="6" w:space="0"/>
              <w:left w:val="single" w:color="808080" w:sz="6" w:space="0"/>
              <w:bottom w:val="single" w:color="808080" w:sz="6" w:space="0"/>
              <w:right w:val="single" w:color="808080" w:sz="6" w:space="0"/>
            </w:tcBorders>
            <w:tcMar>
              <w:left w:w="45" w:type="dxa"/>
              <w:top w:w="45" w:type="dxa"/>
              <w:right w:w="45" w:type="dxa"/>
              <w:bottom w:w="45" w:type="dxa"/>
            </w:tcMar>
            <w:tcW w:w="612" w:type="dxa"/>
            <w:vAlign w:val="center"/>
            <w:textDirection w:val="lrTb"/>
            <w:noWrap w:val="false"/>
          </w:tcPr>
          <w:p>
            <w:pPr>
              <w:rPr>
                <w:rFonts w:ascii="Times New Roman" w:hAnsi="Times New Roman" w:eastAsia="Times New Roman"/>
                <w:color w:val="000000" w:themeColor="text1"/>
                <w:sz w:val="24"/>
                <w:szCs w:val="24"/>
              </w:rPr>
            </w:pPr>
            <w:r>
              <w:rPr>
                <w:rFonts w:ascii="Times New Roman" w:hAnsi="Times New Roman" w:eastAsia="Times New Roman"/>
                <w:color w:val="000000" w:themeColor="text1"/>
                <w:sz w:val="24"/>
                <w:szCs w:val="24"/>
              </w:rPr>
              <w:t xml:space="preserve">21.</w:t>
            </w:r>
            <w:r>
              <w:rPr>
                <w:rFonts w:ascii="Times New Roman" w:hAnsi="Times New Roman" w:eastAsia="Times New Roman"/>
                <w:color w:val="000000" w:themeColor="text1"/>
                <w:sz w:val="24"/>
                <w:szCs w:val="24"/>
              </w:rPr>
            </w:r>
            <w:r>
              <w:rPr>
                <w:rFonts w:ascii="Times New Roman" w:hAnsi="Times New Roman" w:eastAsia="Times New Roman"/>
                <w:color w:val="000000" w:themeColor="text1"/>
                <w:sz w:val="24"/>
                <w:szCs w:val="24"/>
              </w:rPr>
            </w:r>
          </w:p>
        </w:tc>
        <w:tc>
          <w:tcPr>
            <w:tcBorders>
              <w:top w:val="single" w:color="808080" w:sz="6" w:space="0"/>
              <w:left w:val="single" w:color="808080" w:sz="6" w:space="0"/>
              <w:bottom w:val="single" w:color="808080" w:sz="6" w:space="0"/>
              <w:right w:val="single" w:color="808080" w:sz="6" w:space="0"/>
            </w:tcBorders>
            <w:tcMar>
              <w:left w:w="45" w:type="dxa"/>
              <w:top w:w="45" w:type="dxa"/>
              <w:right w:w="45" w:type="dxa"/>
              <w:bottom w:w="45" w:type="dxa"/>
            </w:tcMar>
            <w:tcW w:w="2447" w:type="dxa"/>
            <w:vAlign w:val="center"/>
            <w:textDirection w:val="lrTb"/>
            <w:noWrap w:val="false"/>
          </w:tcPr>
          <w:p>
            <w:pPr>
              <w:jc w:val="both"/>
              <w:rPr>
                <w:rFonts w:ascii="Times New Roman" w:hAnsi="Times New Roman"/>
                <w:color w:val="000000" w:themeColor="text1"/>
                <w:sz w:val="24"/>
                <w:szCs w:val="24"/>
              </w:rPr>
            </w:pPr>
            <w:r>
              <w:rPr>
                <w:rFonts w:ascii="Times New Roman" w:hAnsi="Times New Roman" w:eastAsia="Times New Roman"/>
                <w:color w:val="000000" w:themeColor="text1"/>
                <w:sz w:val="24"/>
                <w:szCs w:val="24"/>
              </w:rPr>
              <w:t xml:space="preserve">Школова</w:t>
            </w:r>
            <w:r>
              <w:rPr>
                <w:rFonts w:ascii="Times New Roman" w:hAnsi="Times New Roman" w:eastAsia="Times New Roman"/>
                <w:color w:val="000000" w:themeColor="text1"/>
                <w:sz w:val="24"/>
                <w:szCs w:val="24"/>
              </w:rPr>
              <w:t xml:space="preserve"> Ольга Ивановна</w:t>
            </w:r>
            <w:r>
              <w:rPr>
                <w:rFonts w:ascii="Times New Roman" w:hAnsi="Times New Roman"/>
                <w:color w:val="000000" w:themeColor="text1"/>
                <w:sz w:val="24"/>
                <w:szCs w:val="24"/>
              </w:rPr>
            </w:r>
            <w:r>
              <w:rPr>
                <w:rFonts w:ascii="Times New Roman" w:hAnsi="Times New Roman"/>
                <w:color w:val="000000" w:themeColor="text1"/>
                <w:sz w:val="24"/>
                <w:szCs w:val="24"/>
              </w:rPr>
            </w:r>
          </w:p>
        </w:tc>
        <w:tc>
          <w:tcPr>
            <w:tcBorders>
              <w:top w:val="single" w:color="808080" w:sz="6" w:space="0"/>
              <w:left w:val="single" w:color="808080" w:sz="6" w:space="0"/>
              <w:bottom w:val="single" w:color="808080" w:sz="6" w:space="0"/>
              <w:right w:val="single" w:color="808080" w:sz="6" w:space="0"/>
            </w:tcBorders>
            <w:tcMar>
              <w:left w:w="45" w:type="dxa"/>
              <w:top w:w="45" w:type="dxa"/>
              <w:right w:w="45" w:type="dxa"/>
              <w:bottom w:w="45" w:type="dxa"/>
            </w:tcMar>
            <w:tcW w:w="6386" w:type="dxa"/>
            <w:vAlign w:val="center"/>
            <w:textDirection w:val="lrTb"/>
            <w:noWrap w:val="false"/>
          </w:tcPr>
          <w:p>
            <w:pPr>
              <w:rPr>
                <w:rFonts w:ascii="Times New Roman" w:hAnsi="Times New Roman"/>
                <w:color w:val="000000" w:themeColor="text1"/>
                <w:sz w:val="24"/>
                <w:szCs w:val="24"/>
              </w:rPr>
            </w:pPr>
            <w:r>
              <w:rPr>
                <w:rFonts w:ascii="Times New Roman" w:hAnsi="Times New Roman" w:eastAsia="Times New Roman"/>
                <w:color w:val="000000" w:themeColor="text1"/>
                <w:sz w:val="24"/>
                <w:szCs w:val="24"/>
              </w:rPr>
              <w:t xml:space="preserve"> Общественный помощник в Савинском муниципальном районе</w:t>
            </w:r>
            <w:r>
              <w:rPr>
                <w:rFonts w:ascii="Times New Roman" w:hAnsi="Times New Roman"/>
                <w:color w:val="000000" w:themeColor="text1"/>
                <w:sz w:val="24"/>
                <w:szCs w:val="24"/>
              </w:rPr>
            </w:r>
            <w:r>
              <w:rPr>
                <w:rFonts w:ascii="Times New Roman" w:hAnsi="Times New Roman"/>
                <w:color w:val="000000" w:themeColor="text1"/>
                <w:sz w:val="24"/>
                <w:szCs w:val="24"/>
              </w:rPr>
            </w:r>
          </w:p>
        </w:tc>
      </w:tr>
      <w:tr>
        <w:tblPrEx/>
        <w:trPr/>
        <w:tc>
          <w:tcPr>
            <w:tcBorders>
              <w:top w:val="single" w:color="808080" w:sz="6" w:space="0"/>
              <w:left w:val="single" w:color="808080" w:sz="6" w:space="0"/>
              <w:bottom w:val="single" w:color="808080" w:sz="6" w:space="0"/>
              <w:right w:val="single" w:color="808080" w:sz="6" w:space="0"/>
            </w:tcBorders>
            <w:tcMar>
              <w:left w:w="45" w:type="dxa"/>
              <w:top w:w="45" w:type="dxa"/>
              <w:right w:w="45" w:type="dxa"/>
              <w:bottom w:w="45" w:type="dxa"/>
            </w:tcMar>
            <w:tcW w:w="612" w:type="dxa"/>
            <w:vAlign w:val="center"/>
            <w:textDirection w:val="lrTb"/>
            <w:noWrap w:val="false"/>
          </w:tcPr>
          <w:p>
            <w:pPr>
              <w:rPr>
                <w:rFonts w:ascii="Times New Roman" w:hAnsi="Times New Roman" w:eastAsia="Times New Roman"/>
                <w:color w:val="000000" w:themeColor="text1"/>
                <w:sz w:val="24"/>
                <w:szCs w:val="24"/>
              </w:rPr>
            </w:pPr>
            <w:r>
              <w:rPr>
                <w:rFonts w:ascii="Times New Roman" w:hAnsi="Times New Roman" w:eastAsia="Times New Roman"/>
                <w:color w:val="000000" w:themeColor="text1"/>
                <w:sz w:val="24"/>
                <w:szCs w:val="24"/>
              </w:rPr>
              <w:t xml:space="preserve">22.</w:t>
            </w:r>
            <w:r>
              <w:rPr>
                <w:rFonts w:ascii="Times New Roman" w:hAnsi="Times New Roman" w:eastAsia="Times New Roman"/>
                <w:color w:val="000000" w:themeColor="text1"/>
                <w:sz w:val="24"/>
                <w:szCs w:val="24"/>
              </w:rPr>
            </w:r>
            <w:r>
              <w:rPr>
                <w:rFonts w:ascii="Times New Roman" w:hAnsi="Times New Roman" w:eastAsia="Times New Roman"/>
                <w:color w:val="000000" w:themeColor="text1"/>
                <w:sz w:val="24"/>
                <w:szCs w:val="24"/>
              </w:rPr>
            </w:r>
          </w:p>
        </w:tc>
        <w:tc>
          <w:tcPr>
            <w:tcBorders>
              <w:top w:val="single" w:color="808080" w:sz="6" w:space="0"/>
              <w:left w:val="single" w:color="808080" w:sz="6" w:space="0"/>
              <w:bottom w:val="single" w:color="808080" w:sz="6" w:space="0"/>
              <w:right w:val="single" w:color="808080" w:sz="6" w:space="0"/>
            </w:tcBorders>
            <w:tcMar>
              <w:left w:w="45" w:type="dxa"/>
              <w:top w:w="45" w:type="dxa"/>
              <w:right w:w="45" w:type="dxa"/>
              <w:bottom w:w="45" w:type="dxa"/>
            </w:tcMar>
            <w:tcW w:w="2447" w:type="dxa"/>
            <w:vAlign w:val="center"/>
            <w:vMerge w:val="restart"/>
            <w:textDirection w:val="lrTb"/>
            <w:noWrap w:val="false"/>
          </w:tcPr>
          <w:p>
            <w:pPr>
              <w:jc w:val="both"/>
              <w:rPr>
                <w:rFonts w:ascii="Times New Roman" w:hAnsi="Times New Roman"/>
                <w:color w:val="000000" w:themeColor="text1"/>
                <w:sz w:val="24"/>
                <w:szCs w:val="24"/>
              </w:rPr>
            </w:pPr>
            <w:r>
              <w:rPr>
                <w:rFonts w:ascii="Times New Roman" w:hAnsi="Times New Roman" w:eastAsia="Times New Roman"/>
                <w:color w:val="000000" w:themeColor="text1"/>
                <w:sz w:val="24"/>
                <w:szCs w:val="24"/>
              </w:rPr>
              <w:t xml:space="preserve">Ягода Марина Вячеславовна</w:t>
            </w:r>
            <w:r>
              <w:rPr>
                <w:rFonts w:ascii="Times New Roman" w:hAnsi="Times New Roman"/>
                <w:color w:val="000000" w:themeColor="text1"/>
                <w:sz w:val="24"/>
                <w:szCs w:val="24"/>
              </w:rPr>
            </w:r>
            <w:r>
              <w:rPr>
                <w:rFonts w:ascii="Times New Roman" w:hAnsi="Times New Roman"/>
                <w:color w:val="000000" w:themeColor="text1"/>
                <w:sz w:val="24"/>
                <w:szCs w:val="24"/>
              </w:rPr>
            </w:r>
          </w:p>
        </w:tc>
        <w:tc>
          <w:tcPr>
            <w:tcBorders>
              <w:top w:val="single" w:color="808080" w:sz="6" w:space="0"/>
              <w:left w:val="single" w:color="808080" w:sz="6" w:space="0"/>
              <w:bottom w:val="single" w:color="808080" w:sz="6" w:space="0"/>
              <w:right w:val="single" w:color="808080" w:sz="6" w:space="0"/>
            </w:tcBorders>
            <w:tcMar>
              <w:left w:w="45" w:type="dxa"/>
              <w:top w:w="45" w:type="dxa"/>
              <w:right w:w="45" w:type="dxa"/>
              <w:bottom w:w="45" w:type="dxa"/>
            </w:tcMar>
            <w:tcW w:w="6386" w:type="dxa"/>
            <w:vAlign w:val="center"/>
            <w:vMerge w:val="restart"/>
            <w:textDirection w:val="lrTb"/>
            <w:noWrap w:val="false"/>
          </w:tcPr>
          <w:p>
            <w:pPr>
              <w:rPr>
                <w:rFonts w:ascii="Times New Roman" w:hAnsi="Times New Roman"/>
                <w:color w:val="000000" w:themeColor="text1"/>
                <w:sz w:val="24"/>
                <w:szCs w:val="24"/>
              </w:rPr>
            </w:pPr>
            <w:r>
              <w:rPr>
                <w:rFonts w:ascii="Times New Roman" w:hAnsi="Times New Roman" w:eastAsia="Times New Roman"/>
                <w:color w:val="000000" w:themeColor="text1"/>
                <w:sz w:val="24"/>
                <w:szCs w:val="24"/>
              </w:rPr>
              <w:t xml:space="preserve">Общественный помощник в </w:t>
            </w:r>
            <w:r>
              <w:rPr>
                <w:rFonts w:ascii="Times New Roman" w:hAnsi="Times New Roman" w:eastAsia="Times New Roman"/>
                <w:color w:val="000000" w:themeColor="text1"/>
                <w:sz w:val="24"/>
                <w:szCs w:val="24"/>
              </w:rPr>
              <w:t xml:space="preserve">Гаврилово-Посадском</w:t>
            </w:r>
            <w:r>
              <w:rPr>
                <w:rFonts w:ascii="Times New Roman" w:hAnsi="Times New Roman" w:eastAsia="Times New Roman"/>
                <w:color w:val="000000" w:themeColor="text1"/>
                <w:sz w:val="24"/>
                <w:szCs w:val="24"/>
              </w:rPr>
              <w:t xml:space="preserve"> муниципальном районе </w:t>
            </w:r>
            <w:r>
              <w:rPr>
                <w:rFonts w:ascii="Times New Roman" w:hAnsi="Times New Roman"/>
                <w:color w:val="000000" w:themeColor="text1"/>
                <w:sz w:val="24"/>
                <w:szCs w:val="24"/>
              </w:rPr>
            </w:r>
            <w:r>
              <w:rPr>
                <w:rFonts w:ascii="Times New Roman" w:hAnsi="Times New Roman"/>
                <w:color w:val="000000" w:themeColor="text1"/>
                <w:sz w:val="24"/>
                <w:szCs w:val="24"/>
              </w:rPr>
            </w:r>
          </w:p>
        </w:tc>
      </w:tr>
    </w:tbl>
    <w:p>
      <w:pPr>
        <w:ind w:firstLine="708"/>
        <w:jc w:val="both"/>
        <w:rPr>
          <w:rFonts w:ascii="Times New Roman" w:hAnsi="Times New Roman"/>
          <w:sz w:val="28"/>
          <w:szCs w:val="28"/>
        </w:rPr>
      </w:pPr>
      <w:r>
        <w:rPr>
          <w:rFonts w:ascii="Times New Roman" w:hAnsi="Times New Roman"/>
          <w:sz w:val="28"/>
          <w:szCs w:val="28"/>
        </w:rPr>
      </w:r>
      <w:r>
        <w:rPr>
          <w:rFonts w:ascii="Times New Roman" w:hAnsi="Times New Roman"/>
          <w:sz w:val="28"/>
          <w:szCs w:val="28"/>
        </w:rPr>
      </w:r>
      <w:r>
        <w:rPr>
          <w:rFonts w:ascii="Times New Roman" w:hAnsi="Times New Roman"/>
          <w:sz w:val="28"/>
          <w:szCs w:val="28"/>
        </w:rPr>
      </w:r>
    </w:p>
    <w:p>
      <w:pPr>
        <w:ind w:firstLine="708"/>
        <w:jc w:val="both"/>
        <w:spacing w:after="0"/>
        <w:rPr>
          <w:rFonts w:ascii="Times New Roman" w:hAnsi="Times New Roman" w:eastAsia="Times New Roman"/>
          <w:sz w:val="28"/>
          <w:szCs w:val="28"/>
        </w:rPr>
      </w:pPr>
      <w:r>
        <w:rPr>
          <w:rFonts w:ascii="Times New Roman" w:hAnsi="Times New Roman" w:eastAsia="Times New Roman"/>
          <w:sz w:val="28"/>
          <w:szCs w:val="28"/>
        </w:rPr>
        <w:t xml:space="preserve">Необходимо отметить, что институт общественных помощников регионального омбудсмена за 15 лет расширился с 3 до </w:t>
      </w:r>
      <w:r>
        <w:rPr>
          <w:rFonts w:ascii="Times New Roman" w:hAnsi="Times New Roman" w:eastAsia="Times New Roman"/>
          <w:color w:val="000000" w:themeColor="text1"/>
          <w:sz w:val="28"/>
          <w:szCs w:val="28"/>
        </w:rPr>
        <w:t xml:space="preserve">22 представителей</w:t>
      </w:r>
      <w:r>
        <w:rPr>
          <w:rFonts w:ascii="Times New Roman" w:hAnsi="Times New Roman" w:eastAsia="Times New Roman"/>
          <w:color w:val="ff0000"/>
          <w:sz w:val="28"/>
          <w:szCs w:val="28"/>
        </w:rPr>
        <w:t xml:space="preserve"> </w:t>
      </w:r>
      <w:r>
        <w:rPr>
          <w:rFonts w:ascii="Times New Roman" w:hAnsi="Times New Roman" w:eastAsia="Times New Roman"/>
          <w:sz w:val="28"/>
          <w:szCs w:val="28"/>
        </w:rPr>
        <w:t xml:space="preserve">муниципалитетов. Двое общественных помощников совмещают – Владимир </w:t>
      </w:r>
      <w:r>
        <w:rPr>
          <w:rFonts w:ascii="Times New Roman" w:hAnsi="Times New Roman" w:eastAsia="Times New Roman"/>
          <w:sz w:val="28"/>
          <w:szCs w:val="28"/>
        </w:rPr>
        <w:t xml:space="preserve">Береснев</w:t>
      </w:r>
      <w:r>
        <w:rPr>
          <w:rFonts w:ascii="Times New Roman" w:hAnsi="Times New Roman" w:eastAsia="Times New Roman"/>
          <w:sz w:val="28"/>
          <w:szCs w:val="28"/>
        </w:rPr>
        <w:t xml:space="preserve"> и Надежда Трухина, совмещают раб</w:t>
      </w:r>
      <w:r>
        <w:rPr>
          <w:rFonts w:ascii="Times New Roman" w:hAnsi="Times New Roman" w:eastAsia="Times New Roman"/>
          <w:sz w:val="28"/>
          <w:szCs w:val="28"/>
        </w:rPr>
        <w:t xml:space="preserve">оту, как в городском округе, так и в муниципальном районе. Таким образом, из 27-ми муниципальных образований Ивановской области в 24-х имеется свой общественный помощник. Работа по формированию Команды общественных помощников в 2026 году будет продолжена. </w:t>
      </w:r>
      <w:r>
        <w:rPr>
          <w:rFonts w:ascii="Times New Roman" w:hAnsi="Times New Roman" w:eastAsia="Times New Roman"/>
          <w:sz w:val="28"/>
          <w:szCs w:val="28"/>
        </w:rPr>
      </w:r>
      <w:r>
        <w:rPr>
          <w:rFonts w:ascii="Times New Roman" w:hAnsi="Times New Roman" w:eastAsia="Times New Roman"/>
          <w:sz w:val="28"/>
          <w:szCs w:val="28"/>
        </w:rPr>
      </w:r>
    </w:p>
    <w:p>
      <w:pPr>
        <w:ind w:firstLine="709"/>
        <w:jc w:val="both"/>
        <w:spacing w:after="0"/>
        <w:rPr>
          <w:rFonts w:ascii="Times New Roman" w:hAnsi="Times New Roman" w:eastAsia="Times New Roman"/>
          <w:sz w:val="28"/>
          <w:szCs w:val="28"/>
        </w:rPr>
      </w:pPr>
      <w:r>
        <w:rPr>
          <w:rFonts w:ascii="Times New Roman" w:hAnsi="Times New Roman" w:eastAsia="Times New Roman"/>
          <w:sz w:val="28"/>
          <w:szCs w:val="28"/>
        </w:rPr>
        <w:t xml:space="preserve">  Особое внимание во взаимодействии с лидерами общественного мнения Уполномоченным уделялось провед</w:t>
      </w:r>
      <w:r>
        <w:rPr>
          <w:rFonts w:ascii="Times New Roman" w:hAnsi="Times New Roman" w:eastAsia="Times New Roman"/>
          <w:sz w:val="28"/>
          <w:szCs w:val="28"/>
        </w:rPr>
        <w:t xml:space="preserve">ению обучающих семинаров. Пополнение багажа знаний общественными помощниками повышает </w:t>
      </w:r>
      <w:r>
        <w:rPr>
          <w:rFonts w:ascii="Times New Roman" w:hAnsi="Times New Roman" w:eastAsia="Times New Roman"/>
          <w:sz w:val="28"/>
          <w:szCs w:val="28"/>
        </w:rPr>
        <w:t xml:space="preserve">их компетентность через изучение актуальных норм законодательства, изменений в</w:t>
      </w:r>
      <w:r>
        <w:rPr>
          <w:rFonts w:ascii="Times New Roman" w:hAnsi="Times New Roman" w:eastAsia="Times New Roman"/>
          <w:sz w:val="28"/>
          <w:szCs w:val="28"/>
        </w:rPr>
        <w:t xml:space="preserve"> правовых актах, </w:t>
      </w:r>
      <w:r>
        <w:rPr>
          <w:rFonts w:ascii="Times New Roman" w:hAnsi="Times New Roman" w:eastAsia="Times New Roman"/>
          <w:sz w:val="28"/>
          <w:szCs w:val="28"/>
        </w:rPr>
        <w:t xml:space="preserve">укрепляет систему защиты прав граждан. </w:t>
      </w:r>
      <w:r>
        <w:rPr>
          <w:rFonts w:ascii="Times New Roman" w:hAnsi="Times New Roman" w:eastAsia="Times New Roman"/>
          <w:sz w:val="28"/>
          <w:szCs w:val="28"/>
        </w:rPr>
        <w:t xml:space="preserve">Семинары помогают стандартизировать методы работы общественников, обеспечить уровень качества деятельности, с учётом специфики местных территорий. Обмен опытом даёт возможность делиться успешными кейсами, развивать общественное сообщество.</w:t>
      </w:r>
      <w:r>
        <w:rPr>
          <w:rFonts w:ascii="Times New Roman" w:hAnsi="Times New Roman" w:eastAsia="Times New Roman"/>
          <w:sz w:val="28"/>
          <w:szCs w:val="28"/>
        </w:rPr>
      </w:r>
      <w:r>
        <w:rPr>
          <w:rFonts w:ascii="Times New Roman" w:hAnsi="Times New Roman" w:eastAsia="Times New Roman"/>
          <w:sz w:val="28"/>
          <w:szCs w:val="28"/>
        </w:rPr>
      </w:r>
    </w:p>
    <w:p>
      <w:pPr>
        <w:ind w:firstLine="709"/>
        <w:jc w:val="both"/>
        <w:spacing w:after="0"/>
        <w:rPr>
          <w:rFonts w:ascii="Times New Roman" w:hAnsi="Times New Roman"/>
          <w:sz w:val="28"/>
          <w:szCs w:val="28"/>
        </w:rPr>
      </w:pPr>
      <w:r>
        <w:rPr>
          <w:rFonts w:ascii="Times New Roman" w:hAnsi="Times New Roman" w:eastAsia="Times New Roman"/>
          <w:sz w:val="28"/>
          <w:szCs w:val="28"/>
        </w:rPr>
        <w:t xml:space="preserve"> Так, в июле 2025 года</w:t>
      </w:r>
      <w:r>
        <w:rPr>
          <w:rFonts w:ascii="Times New Roman" w:hAnsi="Times New Roman" w:eastAsia="Times New Roman"/>
          <w:color w:val="000000"/>
          <w:sz w:val="28"/>
          <w:szCs w:val="28"/>
        </w:rPr>
        <w:t xml:space="preserve"> Уполномоченным по правам человека в Ивановской области проведён практикум для общественных помощников  на </w:t>
      </w:r>
      <w:r>
        <w:rPr>
          <w:rFonts w:ascii="Times New Roman" w:hAnsi="Times New Roman" w:eastAsia="Times New Roman"/>
          <w:color w:val="000000"/>
          <w:sz w:val="28"/>
          <w:szCs w:val="28"/>
        </w:rPr>
        <w:t xml:space="preserve">гаврилово-посадской</w:t>
      </w:r>
      <w:r>
        <w:rPr>
          <w:rFonts w:ascii="Times New Roman" w:hAnsi="Times New Roman" w:eastAsia="Times New Roman"/>
          <w:color w:val="000000"/>
          <w:sz w:val="28"/>
          <w:szCs w:val="28"/>
        </w:rPr>
        <w:t xml:space="preserve"> земле. Почему была выбрана именно эта площадка? Глава муниципального образования Владимир Лаптев умеет слушать, чувствовать, понимать про</w:t>
      </w:r>
      <w:r>
        <w:rPr>
          <w:rFonts w:ascii="Times New Roman" w:hAnsi="Times New Roman" w:eastAsia="Times New Roman"/>
          <w:color w:val="000000"/>
          <w:sz w:val="28"/>
          <w:szCs w:val="28"/>
        </w:rPr>
        <w:t xml:space="preserve">блемы земляков, выстраивает профессионально адресную помощь попавшим в беду. При поддержке Губернатора Ивановской области Станислава Воскресенского за последние 6 лет здесь произошли серьезные изменения в развитии инфраструктуры, преображении малой родины.</w:t>
      </w:r>
      <w:r>
        <w:rPr>
          <w:rFonts w:ascii="Times New Roman" w:hAnsi="Times New Roman"/>
          <w:sz w:val="28"/>
          <w:szCs w:val="28"/>
        </w:rPr>
      </w:r>
      <w:r>
        <w:rPr>
          <w:rFonts w:ascii="Times New Roman" w:hAnsi="Times New Roman"/>
          <w:sz w:val="28"/>
          <w:szCs w:val="28"/>
        </w:rPr>
      </w:r>
    </w:p>
    <w:p>
      <w:pPr>
        <w:ind w:firstLine="709"/>
        <w:jc w:val="both"/>
        <w:spacing w:after="0"/>
        <w:shd w:val="clear" w:color="ffffff" w:fill="ffffff"/>
        <w:rPr>
          <w:rFonts w:ascii="Times New Roman" w:hAnsi="Times New Roman" w:eastAsia="Times New Roman"/>
          <w:color w:val="000000"/>
          <w:sz w:val="28"/>
          <w:szCs w:val="28"/>
        </w:rPr>
        <w:pBdr>
          <w:top w:val="none" w:color="000000" w:sz="4" w:space="0"/>
          <w:left w:val="none" w:color="000000" w:sz="4" w:space="0"/>
          <w:bottom w:val="none" w:color="000000" w:sz="4" w:space="0"/>
          <w:right w:val="none" w:color="000000" w:sz="4" w:space="0"/>
        </w:pBdr>
      </w:pPr>
      <w:r>
        <w:rPr>
          <w:rFonts w:ascii="Times New Roman" w:hAnsi="Times New Roman" w:eastAsia="Times New Roman"/>
          <w:color w:val="000000"/>
          <w:sz w:val="28"/>
          <w:szCs w:val="28"/>
        </w:rPr>
        <w:t xml:space="preserve">Выступая перед участниками семинара, местное руководство остановилось, прежде всего, и на проблемных вопросах, которые требуют решений. Были представлены полезные практики и алгоритм действий по решению наболевших проблем. </w:t>
      </w:r>
      <w:r>
        <w:rPr>
          <w:rFonts w:ascii="Times New Roman" w:hAnsi="Times New Roman" w:eastAsia="Times New Roman"/>
          <w:color w:val="000000"/>
          <w:sz w:val="28"/>
          <w:szCs w:val="28"/>
        </w:rPr>
      </w:r>
      <w:r>
        <w:rPr>
          <w:rFonts w:ascii="Times New Roman" w:hAnsi="Times New Roman" w:eastAsia="Times New Roman"/>
          <w:color w:val="000000"/>
          <w:sz w:val="28"/>
          <w:szCs w:val="28"/>
        </w:rPr>
      </w:r>
    </w:p>
    <w:p>
      <w:pPr>
        <w:ind w:firstLine="709"/>
        <w:jc w:val="both"/>
        <w:spacing w:after="0"/>
        <w:shd w:val="clear" w:color="ffffff" w:fill="ffffff"/>
        <w:rPr>
          <w:rFonts w:ascii="Times New Roman" w:hAnsi="Times New Roman" w:eastAsia="Times New Roman"/>
          <w:color w:val="000000"/>
          <w:sz w:val="28"/>
          <w:szCs w:val="28"/>
        </w:rPr>
        <w:pBdr>
          <w:top w:val="none" w:color="000000" w:sz="4" w:space="0"/>
          <w:left w:val="none" w:color="000000" w:sz="4" w:space="0"/>
          <w:bottom w:val="none" w:color="000000" w:sz="4" w:space="0"/>
          <w:right w:val="none" w:color="000000" w:sz="4" w:space="0"/>
        </w:pBdr>
      </w:pPr>
      <w:r>
        <w:rPr>
          <w:rFonts w:ascii="Times New Roman" w:hAnsi="Times New Roman" w:eastAsia="Times New Roman"/>
          <w:color w:val="000000"/>
          <w:sz w:val="28"/>
          <w:szCs w:val="28"/>
        </w:rPr>
        <w:t xml:space="preserve">В ходе рабочей повестки обсуждены темы по взаимодействию регионального института </w:t>
      </w:r>
      <w:r>
        <w:rPr>
          <w:rFonts w:ascii="Times New Roman" w:hAnsi="Times New Roman" w:eastAsia="Times New Roman"/>
          <w:color w:val="000000"/>
          <w:sz w:val="28"/>
          <w:szCs w:val="28"/>
        </w:rPr>
        <w:t xml:space="preserve">правозащиты</w:t>
      </w:r>
      <w:r>
        <w:rPr>
          <w:rFonts w:ascii="Times New Roman" w:hAnsi="Times New Roman" w:eastAsia="Times New Roman"/>
          <w:color w:val="000000"/>
          <w:sz w:val="28"/>
          <w:szCs w:val="28"/>
        </w:rPr>
        <w:t xml:space="preserve"> с муниципальными образованиями по предупреждению и восстановлению нарушенных прав человека и гражданина. </w:t>
      </w:r>
      <w:r>
        <w:rPr>
          <w:rFonts w:ascii="Times New Roman" w:hAnsi="Times New Roman" w:eastAsia="Times New Roman"/>
          <w:color w:val="000000"/>
          <w:sz w:val="28"/>
          <w:szCs w:val="28"/>
        </w:rPr>
      </w:r>
      <w:r>
        <w:rPr>
          <w:rFonts w:ascii="Times New Roman" w:hAnsi="Times New Roman" w:eastAsia="Times New Roman"/>
          <w:color w:val="000000"/>
          <w:sz w:val="28"/>
          <w:szCs w:val="28"/>
        </w:rPr>
      </w:r>
    </w:p>
    <w:p>
      <w:pPr>
        <w:ind w:firstLine="709"/>
        <w:jc w:val="both"/>
        <w:spacing w:after="0"/>
        <w:shd w:val="clear" w:color="ffffff" w:fill="ffffff"/>
        <w:rPr>
          <w:rFonts w:ascii="Times New Roman" w:hAnsi="Times New Roman" w:eastAsia="Times New Roman"/>
          <w:color w:val="000000"/>
          <w:sz w:val="28"/>
          <w:szCs w:val="28"/>
        </w:rPr>
        <w:pBdr>
          <w:top w:val="none" w:color="000000" w:sz="4" w:space="0"/>
          <w:left w:val="none" w:color="000000" w:sz="4" w:space="0"/>
          <w:bottom w:val="none" w:color="000000" w:sz="4" w:space="0"/>
          <w:right w:val="none" w:color="000000" w:sz="4" w:space="0"/>
        </w:pBdr>
      </w:pPr>
      <w:r>
        <w:rPr>
          <w:rFonts w:ascii="Times New Roman" w:hAnsi="Times New Roman" w:eastAsia="Times New Roman"/>
          <w:color w:val="000000"/>
          <w:sz w:val="28"/>
          <w:szCs w:val="28"/>
        </w:rPr>
        <w:t xml:space="preserve">Правоз</w:t>
      </w:r>
      <w:r>
        <w:rPr>
          <w:rFonts w:ascii="Times New Roman" w:hAnsi="Times New Roman" w:eastAsia="Times New Roman"/>
          <w:color w:val="000000"/>
          <w:sz w:val="28"/>
          <w:szCs w:val="28"/>
        </w:rPr>
        <w:t xml:space="preserve">ащитник Светлана Шмелева рассказала об актуальных вопросах, с которыми обращаются заявители в ее адрес. Руководитель аппарата Уполномоченного Светлана Черемисина поделилась информацией о законодательном регулировании деятельности института государственной </w:t>
      </w:r>
      <w:r>
        <w:rPr>
          <w:rFonts w:ascii="Times New Roman" w:hAnsi="Times New Roman" w:eastAsia="Times New Roman"/>
          <w:color w:val="000000"/>
          <w:sz w:val="28"/>
          <w:szCs w:val="28"/>
        </w:rPr>
        <w:t xml:space="preserve">правозащиты</w:t>
      </w:r>
      <w:r>
        <w:rPr>
          <w:rFonts w:ascii="Times New Roman" w:hAnsi="Times New Roman" w:eastAsia="Times New Roman"/>
          <w:color w:val="000000"/>
          <w:sz w:val="28"/>
          <w:szCs w:val="28"/>
        </w:rPr>
        <w:t xml:space="preserve">, механизме работы с обращениями граждан. Консультант-юрист аппарата Сергей Грачев представил информацию о работе с заявлениями участников СВО и членов их семей, взаимодействии с рабочим </w:t>
      </w:r>
      <w:r>
        <w:rPr>
          <w:rFonts w:ascii="Times New Roman" w:hAnsi="Times New Roman" w:eastAsia="Times New Roman"/>
          <w:color w:val="000000"/>
          <w:sz w:val="28"/>
          <w:szCs w:val="28"/>
        </w:rPr>
        <w:t xml:space="preserve">аппаратом Уполномоченного по правам человека в РФ в решении вопросов военнослужащих и их родных и близких.</w:t>
      </w:r>
      <w:r>
        <w:rPr>
          <w:rFonts w:ascii="Times New Roman" w:hAnsi="Times New Roman" w:eastAsia="Times New Roman"/>
          <w:color w:val="000000"/>
          <w:sz w:val="28"/>
          <w:szCs w:val="28"/>
        </w:rPr>
      </w:r>
      <w:r>
        <w:rPr>
          <w:rFonts w:ascii="Times New Roman" w:hAnsi="Times New Roman" w:eastAsia="Times New Roman"/>
          <w:color w:val="000000"/>
          <w:sz w:val="28"/>
          <w:szCs w:val="28"/>
        </w:rPr>
      </w:r>
    </w:p>
    <w:p>
      <w:pPr>
        <w:ind w:firstLine="709"/>
        <w:jc w:val="both"/>
        <w:spacing w:after="0"/>
        <w:shd w:val="clear" w:color="ffffff" w:fill="ffffff"/>
        <w:rPr>
          <w:rFonts w:ascii="Times New Roman" w:hAnsi="Times New Roman" w:eastAsia="Times New Roman"/>
          <w:sz w:val="28"/>
          <w:szCs w:val="28"/>
        </w:rPr>
        <w:pBdr>
          <w:top w:val="none" w:color="000000" w:sz="4" w:space="0"/>
          <w:left w:val="none" w:color="000000" w:sz="4" w:space="0"/>
          <w:bottom w:val="none" w:color="000000" w:sz="4" w:space="0"/>
          <w:right w:val="none" w:color="000000" w:sz="4" w:space="0"/>
        </w:pBdr>
      </w:pPr>
      <w:r>
        <w:rPr>
          <w:rFonts w:ascii="Times New Roman" w:hAnsi="Times New Roman" w:eastAsia="Times New Roman"/>
          <w:color w:val="000000"/>
          <w:sz w:val="28"/>
          <w:szCs w:val="28"/>
        </w:rPr>
        <w:t xml:space="preserve">Полезными</w:t>
      </w:r>
      <w:r>
        <w:rPr>
          <w:rFonts w:ascii="Times New Roman" w:hAnsi="Times New Roman" w:eastAsia="Times New Roman"/>
          <w:color w:val="000000"/>
          <w:sz w:val="28"/>
          <w:szCs w:val="28"/>
        </w:rPr>
        <w:t xml:space="preserve"> для собравшихся стали выступления представителей Департамента здравоохранения о реализации прав граждан на охрану здоровья и медицинскую помощь и службы социальной защиты населения. </w:t>
      </w:r>
      <w:r>
        <w:rPr>
          <w:rFonts w:ascii="Times New Roman" w:hAnsi="Times New Roman" w:eastAsia="Times New Roman"/>
          <w:color w:val="000000"/>
          <w:sz w:val="28"/>
          <w:szCs w:val="28"/>
        </w:rPr>
        <w:tab/>
        <w:t xml:space="preserve">Общественные помощники смогли задать интересующие их вопросы представителям органов власти. Региональный омбудсмен выполнила почетную миссию, вручив Благодарственное письмо Губернатора Ивановской области общественному помощнику в г</w:t>
      </w:r>
      <w:r>
        <w:rPr>
          <w:rFonts w:ascii="Times New Roman" w:hAnsi="Times New Roman" w:eastAsia="Times New Roman"/>
          <w:color w:val="000000"/>
          <w:sz w:val="28"/>
          <w:szCs w:val="28"/>
        </w:rPr>
        <w:t xml:space="preserve">.В</w:t>
      </w:r>
      <w:r>
        <w:rPr>
          <w:rFonts w:ascii="Times New Roman" w:hAnsi="Times New Roman" w:eastAsia="Times New Roman"/>
          <w:color w:val="000000"/>
          <w:sz w:val="28"/>
          <w:szCs w:val="28"/>
        </w:rPr>
        <w:t xml:space="preserve">ичуге и </w:t>
      </w:r>
      <w:r>
        <w:rPr>
          <w:rFonts w:ascii="Times New Roman" w:hAnsi="Times New Roman" w:eastAsia="Times New Roman"/>
          <w:color w:val="000000"/>
          <w:sz w:val="28"/>
          <w:szCs w:val="28"/>
        </w:rPr>
        <w:t xml:space="preserve">Вичугском</w:t>
      </w:r>
      <w:r>
        <w:rPr>
          <w:rFonts w:ascii="Times New Roman" w:hAnsi="Times New Roman" w:eastAsia="Times New Roman"/>
          <w:color w:val="000000"/>
          <w:sz w:val="28"/>
          <w:szCs w:val="28"/>
        </w:rPr>
        <w:t xml:space="preserve"> муниципальном районе Надежде Трухиной и награду института </w:t>
      </w:r>
      <w:r>
        <w:rPr>
          <w:rFonts w:ascii="Times New Roman" w:hAnsi="Times New Roman" w:eastAsia="Times New Roman"/>
          <w:color w:val="000000"/>
          <w:sz w:val="28"/>
          <w:szCs w:val="28"/>
        </w:rPr>
        <w:t xml:space="preserve">правозащиты</w:t>
      </w:r>
      <w:r>
        <w:rPr>
          <w:rFonts w:ascii="Times New Roman" w:hAnsi="Times New Roman" w:eastAsia="Times New Roman"/>
          <w:color w:val="000000"/>
          <w:sz w:val="28"/>
          <w:szCs w:val="28"/>
        </w:rPr>
        <w:t xml:space="preserve"> Елене Поповой из Комсомольского муниципального района. </w:t>
      </w:r>
      <w:r>
        <w:rPr>
          <w:rFonts w:ascii="Times New Roman" w:hAnsi="Times New Roman" w:eastAsia="Times New Roman"/>
          <w:sz w:val="28"/>
          <w:szCs w:val="28"/>
        </w:rPr>
      </w:r>
      <w:r>
        <w:rPr>
          <w:rFonts w:ascii="Times New Roman" w:hAnsi="Times New Roman" w:eastAsia="Times New Roman"/>
          <w:sz w:val="28"/>
          <w:szCs w:val="28"/>
        </w:rPr>
      </w:r>
    </w:p>
    <w:p>
      <w:pPr>
        <w:pStyle w:val="1236"/>
        <w:ind w:firstLine="709"/>
        <w:jc w:val="both"/>
        <w:spacing w:before="0" w:beforeAutospacing="0" w:after="0" w:afterAutospacing="0" w:line="276" w:lineRule="auto"/>
        <w:shd w:val="clear" w:color="auto" w:fill="ffffff"/>
        <w:rPr>
          <w:b w:val="0"/>
          <w:bCs w:val="0"/>
          <w:i/>
          <w:iCs/>
          <w:color w:val="000000"/>
          <w:sz w:val="28"/>
          <w:szCs w:val="28"/>
        </w:rPr>
      </w:pPr>
      <w:r>
        <w:rPr>
          <w:b w:val="0"/>
          <w:bCs w:val="0"/>
          <w:i/>
          <w:iCs/>
          <w:color w:val="000000"/>
          <w:sz w:val="28"/>
          <w:szCs w:val="28"/>
        </w:rPr>
        <w:t xml:space="preserve">Благодарю каждого общественного помощника за проявление внимательности и чуткости к </w:t>
      </w:r>
      <w:r>
        <w:rPr>
          <w:b w:val="0"/>
          <w:bCs w:val="0"/>
          <w:i/>
          <w:iCs/>
          <w:color w:val="000000"/>
          <w:sz w:val="28"/>
          <w:szCs w:val="28"/>
        </w:rPr>
        <w:t xml:space="preserve">обратившимся</w:t>
      </w:r>
      <w:r>
        <w:rPr>
          <w:b w:val="0"/>
          <w:bCs w:val="0"/>
          <w:i/>
          <w:iCs/>
          <w:color w:val="000000"/>
          <w:sz w:val="28"/>
          <w:szCs w:val="28"/>
        </w:rPr>
        <w:t xml:space="preserve">, умение выстраивать деловые взаимоотношения с органами власти для решения волнующих проблем местных жителей.</w:t>
      </w:r>
      <w:r>
        <w:rPr>
          <w:b w:val="0"/>
          <w:bCs w:val="0"/>
          <w:i/>
          <w:iCs/>
          <w:color w:val="000000"/>
          <w:sz w:val="28"/>
          <w:szCs w:val="28"/>
        </w:rPr>
      </w:r>
      <w:r>
        <w:rPr>
          <w:b w:val="0"/>
          <w:bCs w:val="0"/>
          <w:i/>
          <w:iCs/>
          <w:color w:val="000000"/>
          <w:sz w:val="28"/>
          <w:szCs w:val="28"/>
        </w:rPr>
      </w:r>
    </w:p>
    <w:p>
      <w:pPr>
        <w:pStyle w:val="1236"/>
        <w:ind w:firstLine="709"/>
        <w:jc w:val="both"/>
        <w:spacing w:before="0" w:beforeAutospacing="0" w:after="0" w:afterAutospacing="0" w:line="276" w:lineRule="auto"/>
        <w:shd w:val="clear" w:color="auto" w:fill="ffffff"/>
        <w:rPr>
          <w:color w:val="000000"/>
          <w:sz w:val="28"/>
          <w:szCs w:val="28"/>
        </w:rPr>
      </w:pPr>
      <w:r>
        <w:rPr>
          <w:color w:val="000000"/>
          <w:sz w:val="28"/>
          <w:szCs w:val="28"/>
        </w:rPr>
      </w:r>
      <w:r>
        <w:rPr>
          <w:color w:val="000000"/>
          <w:sz w:val="28"/>
          <w:szCs w:val="28"/>
        </w:rPr>
      </w:r>
      <w:r>
        <w:rPr>
          <w:color w:val="000000"/>
          <w:sz w:val="28"/>
          <w:szCs w:val="28"/>
        </w:rPr>
      </w:r>
    </w:p>
    <w:p>
      <w:pPr>
        <w:ind w:left="0" w:right="0" w:firstLine="0"/>
        <w:jc w:val="center"/>
        <w:spacing w:after="0"/>
        <w:rPr>
          <w:rFonts w:ascii="Times New Roman" w:hAnsi="Times New Roman" w:eastAsia="Times New Roman"/>
          <w:b/>
          <w:sz w:val="28"/>
          <w:szCs w:val="28"/>
        </w:rPr>
      </w:pPr>
      <w:r>
        <w:rPr>
          <w:rFonts w:ascii="Times New Roman" w:hAnsi="Times New Roman" w:eastAsia="Times New Roman"/>
          <w:b/>
          <w:sz w:val="28"/>
          <w:szCs w:val="28"/>
        </w:rPr>
        <w:t xml:space="preserve">Работа Экспертного совета</w:t>
      </w:r>
      <w:r>
        <w:rPr>
          <w:rFonts w:ascii="Times New Roman" w:hAnsi="Times New Roman" w:eastAsia="Times New Roman"/>
          <w:b/>
          <w:sz w:val="28"/>
          <w:szCs w:val="28"/>
        </w:rPr>
      </w:r>
      <w:r>
        <w:rPr>
          <w:rFonts w:ascii="Times New Roman" w:hAnsi="Times New Roman" w:eastAsia="Times New Roman"/>
          <w:b/>
          <w:sz w:val="28"/>
          <w:szCs w:val="28"/>
        </w:rPr>
      </w:r>
    </w:p>
    <w:p>
      <w:pPr>
        <w:ind w:firstLine="708"/>
        <w:jc w:val="both"/>
        <w:spacing w:after="0"/>
        <w:rPr>
          <w:rFonts w:ascii="Times New Roman" w:hAnsi="Times New Roman" w:eastAsia="Times New Roman"/>
          <w:sz w:val="28"/>
          <w:szCs w:val="28"/>
        </w:rPr>
      </w:pPr>
      <w:r>
        <w:rPr>
          <w:rFonts w:ascii="Times New Roman" w:hAnsi="Times New Roman" w:eastAsia="Times New Roman"/>
          <w:sz w:val="28"/>
          <w:szCs w:val="28"/>
        </w:rPr>
        <w:t xml:space="preserve">Экспертный совет является коллегиальным совещательным органом, сформированным в целях оказания экспертной, консультативной, организационной помощи и иного содействия Уполномоченному при реализации его полномочий.</w:t>
      </w:r>
      <w:r>
        <w:rPr>
          <w:rFonts w:ascii="Times New Roman" w:hAnsi="Times New Roman" w:eastAsia="Times New Roman"/>
          <w:sz w:val="28"/>
          <w:szCs w:val="28"/>
        </w:rPr>
      </w:r>
      <w:r>
        <w:rPr>
          <w:rFonts w:ascii="Times New Roman" w:hAnsi="Times New Roman" w:eastAsia="Times New Roman"/>
          <w:sz w:val="28"/>
          <w:szCs w:val="28"/>
        </w:rPr>
      </w:r>
    </w:p>
    <w:p>
      <w:pPr>
        <w:pStyle w:val="1241"/>
        <w:ind w:firstLine="708"/>
        <w:spacing w:line="375" w:lineRule="exact"/>
        <w:shd w:val="clear" w:color="auto" w:fill="auto"/>
        <w:rPr>
          <w:rFonts w:ascii="Times New Roman" w:hAnsi="Times New Roman" w:cs="Times New Roman"/>
          <w:sz w:val="28"/>
          <w:szCs w:val="28"/>
        </w:rPr>
      </w:pPr>
      <w:r>
        <w:rPr>
          <w:rFonts w:ascii="Times New Roman" w:hAnsi="Times New Roman" w:cs="Times New Roman"/>
          <w:sz w:val="28"/>
          <w:szCs w:val="28"/>
        </w:rPr>
        <w:t xml:space="preserve">Основными задачами Экспертного совета являются:</w:t>
      </w:r>
      <w:r>
        <w:rPr>
          <w:rFonts w:ascii="Times New Roman" w:hAnsi="Times New Roman" w:cs="Times New Roman"/>
          <w:sz w:val="28"/>
          <w:szCs w:val="28"/>
        </w:rPr>
      </w:r>
      <w:r>
        <w:rPr>
          <w:rFonts w:ascii="Times New Roman" w:hAnsi="Times New Roman" w:cs="Times New Roman"/>
          <w:sz w:val="28"/>
          <w:szCs w:val="28"/>
        </w:rPr>
      </w:r>
    </w:p>
    <w:p>
      <w:pPr>
        <w:pStyle w:val="1241"/>
        <w:numPr>
          <w:ilvl w:val="0"/>
          <w:numId w:val="87"/>
        </w:numPr>
        <w:ind w:left="0" w:firstLine="709"/>
        <w:spacing w:line="375" w:lineRule="exact"/>
        <w:shd w:val="clear" w:color="auto" w:fill="auto"/>
        <w:tabs>
          <w:tab w:val="left" w:pos="995" w:leader="none"/>
        </w:tabs>
        <w:rPr>
          <w:rFonts w:ascii="Times New Roman" w:hAnsi="Times New Roman" w:cs="Times New Roman"/>
          <w:sz w:val="28"/>
          <w:szCs w:val="28"/>
        </w:rPr>
        <w:pBdr>
          <w:top w:val="none" w:color="000000" w:sz="4" w:space="0"/>
          <w:left w:val="none" w:color="000000" w:sz="4" w:space="0"/>
          <w:bottom w:val="none" w:color="000000" w:sz="4" w:space="0"/>
          <w:right w:val="none" w:color="000000" w:sz="4" w:space="0"/>
          <w:between w:val="none" w:color="000000" w:sz="4" w:space="0"/>
        </w:pBdr>
      </w:pPr>
      <w:r>
        <w:rPr>
          <w:rFonts w:ascii="Times New Roman" w:hAnsi="Times New Roman" w:cs="Times New Roman"/>
          <w:sz w:val="28"/>
          <w:szCs w:val="28"/>
        </w:rPr>
        <w:t xml:space="preserve">    оказание консультативной и организационной помощи Уполномоченному при реализации его полномочий в сфере обеспечения и защиты прав человека и гражданина на территории Ивановской области;</w:t>
      </w:r>
      <w:r>
        <w:rPr>
          <w:rFonts w:ascii="Times New Roman" w:hAnsi="Times New Roman" w:cs="Times New Roman"/>
          <w:sz w:val="28"/>
          <w:szCs w:val="28"/>
        </w:rPr>
      </w:r>
      <w:r>
        <w:rPr>
          <w:rFonts w:ascii="Times New Roman" w:hAnsi="Times New Roman" w:cs="Times New Roman"/>
          <w:sz w:val="28"/>
          <w:szCs w:val="28"/>
        </w:rPr>
      </w:r>
    </w:p>
    <w:p>
      <w:pPr>
        <w:pStyle w:val="1241"/>
        <w:numPr>
          <w:ilvl w:val="0"/>
          <w:numId w:val="87"/>
        </w:numPr>
        <w:ind w:left="0" w:firstLine="709"/>
        <w:spacing w:line="375" w:lineRule="exact"/>
        <w:shd w:val="clear" w:color="auto" w:fill="auto"/>
        <w:tabs>
          <w:tab w:val="left" w:pos="706" w:leader="none"/>
        </w:tabs>
        <w:rPr>
          <w:rFonts w:ascii="Times New Roman" w:hAnsi="Times New Roman" w:cs="Times New Roman"/>
          <w:sz w:val="28"/>
          <w:szCs w:val="28"/>
        </w:rPr>
        <w:pBdr>
          <w:top w:val="none" w:color="000000" w:sz="4" w:space="0"/>
          <w:left w:val="none" w:color="000000" w:sz="4" w:space="0"/>
          <w:bottom w:val="none" w:color="000000" w:sz="4" w:space="0"/>
          <w:right w:val="none" w:color="000000" w:sz="4" w:space="0"/>
          <w:between w:val="none" w:color="000000" w:sz="4" w:space="0"/>
        </w:pBdr>
      </w:pPr>
      <w:r>
        <w:rPr>
          <w:rFonts w:ascii="Times New Roman" w:hAnsi="Times New Roman" w:cs="Times New Roman"/>
          <w:sz w:val="28"/>
          <w:szCs w:val="28"/>
        </w:rPr>
        <w:t xml:space="preserve">информирование Уполномоченного о положении дел в сфере соблюдения прав и свобод человека и гражданина;</w:t>
      </w:r>
      <w:r>
        <w:rPr>
          <w:rFonts w:ascii="Times New Roman" w:hAnsi="Times New Roman" w:cs="Times New Roman"/>
          <w:sz w:val="28"/>
          <w:szCs w:val="28"/>
        </w:rPr>
      </w:r>
      <w:r>
        <w:rPr>
          <w:rFonts w:ascii="Times New Roman" w:hAnsi="Times New Roman" w:cs="Times New Roman"/>
          <w:sz w:val="28"/>
          <w:szCs w:val="28"/>
        </w:rPr>
      </w:r>
    </w:p>
    <w:p>
      <w:pPr>
        <w:pStyle w:val="1241"/>
        <w:numPr>
          <w:ilvl w:val="0"/>
          <w:numId w:val="87"/>
        </w:numPr>
        <w:ind w:left="0" w:firstLine="709"/>
        <w:spacing w:line="380" w:lineRule="exact"/>
        <w:shd w:val="clear" w:color="auto" w:fill="auto"/>
        <w:tabs>
          <w:tab w:val="left" w:pos="910" w:leader="none"/>
        </w:tabs>
        <w:rPr>
          <w:rFonts w:ascii="Times New Roman" w:hAnsi="Times New Roman" w:cs="Times New Roman"/>
          <w:sz w:val="28"/>
          <w:szCs w:val="28"/>
        </w:rPr>
        <w:pBdr>
          <w:top w:val="none" w:color="000000" w:sz="4" w:space="0"/>
          <w:left w:val="none" w:color="000000" w:sz="4" w:space="0"/>
          <w:bottom w:val="none" w:color="000000" w:sz="4" w:space="0"/>
          <w:right w:val="none" w:color="000000" w:sz="4" w:space="0"/>
          <w:between w:val="none" w:color="000000" w:sz="4" w:space="0"/>
        </w:pBdr>
      </w:pPr>
      <w:r>
        <w:rPr>
          <w:rFonts w:ascii="Times New Roman" w:hAnsi="Times New Roman" w:cs="Times New Roman"/>
          <w:sz w:val="28"/>
          <w:szCs w:val="28"/>
        </w:rPr>
        <w:t xml:space="preserve">       подготовка предложений Уполномоченному по вопросам взаимодействия с правозащитными организациями и общественными объединениями, иными институтами гражданского общества и их представителями;</w:t>
      </w:r>
      <w:r>
        <w:rPr>
          <w:rFonts w:ascii="Times New Roman" w:hAnsi="Times New Roman" w:cs="Times New Roman"/>
          <w:sz w:val="28"/>
          <w:szCs w:val="28"/>
        </w:rPr>
      </w:r>
      <w:r>
        <w:rPr>
          <w:rFonts w:ascii="Times New Roman" w:hAnsi="Times New Roman" w:cs="Times New Roman"/>
          <w:sz w:val="28"/>
          <w:szCs w:val="28"/>
        </w:rPr>
      </w:r>
    </w:p>
    <w:p>
      <w:pPr>
        <w:pStyle w:val="1241"/>
        <w:numPr>
          <w:ilvl w:val="0"/>
          <w:numId w:val="87"/>
        </w:numPr>
        <w:ind w:left="0" w:firstLine="709"/>
        <w:spacing w:line="380" w:lineRule="exact"/>
        <w:shd w:val="clear" w:color="auto" w:fill="auto"/>
        <w:tabs>
          <w:tab w:val="left" w:pos="604" w:leader="none"/>
        </w:tabs>
        <w:rPr>
          <w:rFonts w:ascii="Times New Roman" w:hAnsi="Times New Roman" w:cs="Times New Roman"/>
          <w:sz w:val="28"/>
          <w:szCs w:val="28"/>
        </w:rPr>
        <w:pBdr>
          <w:top w:val="none" w:color="000000" w:sz="4" w:space="0"/>
          <w:left w:val="none" w:color="000000" w:sz="4" w:space="0"/>
          <w:bottom w:val="none" w:color="000000" w:sz="4" w:space="0"/>
          <w:right w:val="none" w:color="000000" w:sz="4" w:space="0"/>
          <w:between w:val="none" w:color="000000" w:sz="4" w:space="0"/>
        </w:pBdr>
      </w:pPr>
      <w:r>
        <w:rPr>
          <w:rFonts w:ascii="Times New Roman" w:hAnsi="Times New Roman" w:cs="Times New Roman"/>
          <w:sz w:val="28"/>
          <w:szCs w:val="28"/>
        </w:rPr>
        <w:t xml:space="preserve">подготовка предложений в рекомендации органам государственной власти и местного самоуправления Ивановской области, иным организациям, о соблюдении прав и свобод человека и гражданина на территории Ивановской области.</w:t>
      </w:r>
      <w:r>
        <w:rPr>
          <w:rFonts w:ascii="Times New Roman" w:hAnsi="Times New Roman" w:cs="Times New Roman"/>
          <w:sz w:val="28"/>
          <w:szCs w:val="28"/>
        </w:rPr>
      </w:r>
      <w:r>
        <w:rPr>
          <w:rFonts w:ascii="Times New Roman" w:hAnsi="Times New Roman" w:cs="Times New Roman"/>
          <w:sz w:val="28"/>
          <w:szCs w:val="28"/>
        </w:rPr>
      </w:r>
    </w:p>
    <w:p>
      <w:pPr>
        <w:pStyle w:val="1241"/>
        <w:numPr>
          <w:ilvl w:val="0"/>
          <w:numId w:val="87"/>
        </w:numPr>
        <w:ind w:left="0" w:firstLine="709"/>
        <w:spacing w:line="380" w:lineRule="exact"/>
        <w:shd w:val="clear" w:color="auto" w:fill="auto"/>
        <w:tabs>
          <w:tab w:val="left" w:pos="604" w:leader="none"/>
        </w:tabs>
        <w:rPr>
          <w:rFonts w:ascii="Times New Roman" w:hAnsi="Times New Roman" w:cs="Times New Roman"/>
          <w:sz w:val="28"/>
          <w:szCs w:val="28"/>
        </w:rPr>
        <w:pBdr>
          <w:top w:val="none" w:color="000000" w:sz="4" w:space="0"/>
          <w:left w:val="none" w:color="000000" w:sz="4" w:space="0"/>
          <w:bottom w:val="none" w:color="000000" w:sz="4" w:space="0"/>
          <w:right w:val="none" w:color="000000" w:sz="4" w:space="0"/>
          <w:between w:val="none" w:color="000000" w:sz="4" w:space="0"/>
        </w:pBdr>
      </w:pPr>
      <w:r>
        <w:rPr>
          <w:rFonts w:ascii="Times New Roman" w:hAnsi="Times New Roman" w:cs="Times New Roman"/>
          <w:sz w:val="28"/>
          <w:szCs w:val="28"/>
        </w:rPr>
        <w:t xml:space="preserve">анализ информации, в том числе публикаций в средствах массовой информации, о массовых или грубых нарушениях прав и свобод человека и гражданина на территории Ивановской области или в отношении </w:t>
      </w:r>
      <w:r>
        <w:rPr>
          <w:rFonts w:ascii="Times New Roman" w:hAnsi="Times New Roman" w:cs="Times New Roman"/>
          <w:sz w:val="28"/>
          <w:szCs w:val="28"/>
        </w:rPr>
        <w:t xml:space="preserve">жителей Ивановской области, информирование об этих нарушениях Уполномоченного.</w:t>
      </w:r>
      <w:r>
        <w:rPr>
          <w:rFonts w:ascii="Times New Roman" w:hAnsi="Times New Roman" w:cs="Times New Roman"/>
          <w:sz w:val="28"/>
          <w:szCs w:val="28"/>
        </w:rPr>
      </w:r>
      <w:r>
        <w:rPr>
          <w:rFonts w:ascii="Times New Roman" w:hAnsi="Times New Roman" w:cs="Times New Roman"/>
          <w:sz w:val="28"/>
          <w:szCs w:val="28"/>
        </w:rPr>
      </w:r>
    </w:p>
    <w:p>
      <w:pPr>
        <w:pStyle w:val="1241"/>
        <w:ind w:firstLine="709"/>
        <w:spacing w:line="380" w:lineRule="exact"/>
        <w:shd w:val="clear" w:color="auto" w:fill="auto"/>
        <w:tabs>
          <w:tab w:val="left" w:pos="142" w:leader="none"/>
        </w:tabs>
        <w:rPr>
          <w:rFonts w:ascii="Times New Roman" w:hAnsi="Times New Roman" w:cs="Times New Roman"/>
          <w:sz w:val="28"/>
          <w:szCs w:val="28"/>
        </w:rPr>
      </w:pPr>
      <w:r>
        <w:rPr>
          <w:rFonts w:ascii="Times New Roman" w:hAnsi="Times New Roman" w:cs="Times New Roman"/>
          <w:sz w:val="28"/>
          <w:szCs w:val="28"/>
        </w:rPr>
        <w:t xml:space="preserve">В состав совета входят представители органов власти, юридического и научного сообщества, известные адвокаты, лидеры общественного мнения.</w:t>
      </w:r>
      <w:r>
        <w:rPr>
          <w:rFonts w:ascii="Times New Roman" w:hAnsi="Times New Roman" w:cs="Times New Roman"/>
          <w:sz w:val="28"/>
          <w:szCs w:val="28"/>
        </w:rPr>
      </w:r>
      <w:r>
        <w:rPr>
          <w:rFonts w:ascii="Times New Roman" w:hAnsi="Times New Roman" w:cs="Times New Roman"/>
          <w:sz w:val="28"/>
          <w:szCs w:val="28"/>
        </w:rPr>
      </w:r>
    </w:p>
    <w:p>
      <w:pPr>
        <w:pStyle w:val="1241"/>
        <w:ind w:firstLine="709"/>
        <w:spacing w:line="380" w:lineRule="exact"/>
        <w:shd w:val="clear" w:color="auto" w:fill="auto"/>
        <w:tabs>
          <w:tab w:val="left" w:pos="142" w:leader="none"/>
        </w:tabs>
        <w:rPr>
          <w:rFonts w:ascii="Times New Roman" w:hAnsi="Times New Roman" w:cs="Times New Roman"/>
          <w:sz w:val="28"/>
          <w:szCs w:val="28"/>
        </w:rPr>
      </w:pPr>
      <w:r>
        <w:rPr>
          <w:rFonts w:ascii="Times New Roman" w:hAnsi="Times New Roman" w:cs="Times New Roman"/>
          <w:sz w:val="28"/>
          <w:szCs w:val="28"/>
        </w:rPr>
        <w:t xml:space="preserve">Тематика заседаний Экспертного совета выбирается коллегиально на основании поступающих жалоб, волнующих тем </w:t>
      </w:r>
      <w:r>
        <w:rPr>
          <w:rFonts w:ascii="Times New Roman" w:hAnsi="Times New Roman" w:cs="Times New Roman"/>
          <w:sz w:val="28"/>
          <w:szCs w:val="28"/>
        </w:rPr>
        <w:t xml:space="preserve">ивановцев</w:t>
      </w:r>
      <w:r>
        <w:rPr>
          <w:rFonts w:ascii="Times New Roman" w:hAnsi="Times New Roman" w:cs="Times New Roman"/>
          <w:sz w:val="28"/>
          <w:szCs w:val="28"/>
        </w:rPr>
        <w:t xml:space="preserve">.  </w:t>
      </w:r>
      <w:r>
        <w:rPr>
          <w:rFonts w:ascii="Times New Roman" w:hAnsi="Times New Roman" w:cs="Times New Roman"/>
          <w:sz w:val="28"/>
          <w:szCs w:val="28"/>
        </w:rPr>
      </w:r>
      <w:r>
        <w:rPr>
          <w:rFonts w:ascii="Times New Roman" w:hAnsi="Times New Roman" w:cs="Times New Roman"/>
          <w:sz w:val="28"/>
          <w:szCs w:val="28"/>
        </w:rPr>
      </w:r>
    </w:p>
    <w:p>
      <w:pPr>
        <w:ind w:firstLine="709"/>
        <w:jc w:val="both"/>
        <w:spacing w:after="0"/>
        <w:rPr>
          <w:rFonts w:ascii="Times New Roman" w:hAnsi="Times New Roman"/>
          <w:sz w:val="28"/>
          <w:szCs w:val="28"/>
        </w:rPr>
      </w:pPr>
      <w:r>
        <w:rPr>
          <w:rFonts w:ascii="Times New Roman" w:hAnsi="Times New Roman"/>
          <w:sz w:val="28"/>
          <w:szCs w:val="28"/>
        </w:rPr>
        <w:t xml:space="preserve">В 2025 г. состоялись заседания Экспертного совета  по следующим темам: </w:t>
      </w:r>
      <w:r>
        <w:rPr>
          <w:rFonts w:ascii="Times New Roman" w:hAnsi="Times New Roman"/>
          <w:sz w:val="28"/>
          <w:szCs w:val="28"/>
        </w:rPr>
      </w:r>
      <w:r>
        <w:rPr>
          <w:rFonts w:ascii="Times New Roman" w:hAnsi="Times New Roman"/>
          <w:sz w:val="28"/>
          <w:szCs w:val="28"/>
        </w:rPr>
      </w:r>
    </w:p>
    <w:p>
      <w:pPr>
        <w:pStyle w:val="1227"/>
        <w:numPr>
          <w:ilvl w:val="0"/>
          <w:numId w:val="88"/>
        </w:numPr>
        <w:ind w:left="0" w:firstLine="709"/>
        <w:jc w:val="both"/>
        <w:spacing w:line="276" w:lineRule="auto"/>
        <w:rPr>
          <w:rFonts w:ascii="Times New Roman" w:hAnsi="Times New Roman"/>
          <w:b w:val="0"/>
          <w:bCs w:val="0"/>
          <w:sz w:val="28"/>
          <w:szCs w:val="28"/>
        </w:rPr>
      </w:pPr>
      <w:r>
        <w:rPr>
          <w:rFonts w:ascii="Times New Roman" w:hAnsi="Times New Roman" w:eastAsia="Times New Roman"/>
          <w:b w:val="0"/>
          <w:bCs w:val="0"/>
          <w:color w:val="000000"/>
          <w:sz w:val="28"/>
          <w:szCs w:val="28"/>
          <w:shd w:val="clear" w:color="auto" w:fill="ffffff"/>
          <w:lang w:val="ru-RU" w:eastAsia="ru-RU"/>
        </w:rPr>
        <w:t xml:space="preserve">«Защита права на охрану здоровья и медицинскую реабилитацию участников СВО и членов их семей», июнь 2026 года; </w:t>
      </w:r>
      <w:r>
        <w:rPr>
          <w:rFonts w:ascii="Times New Roman" w:hAnsi="Times New Roman"/>
          <w:b w:val="0"/>
          <w:bCs w:val="0"/>
          <w:sz w:val="28"/>
          <w:szCs w:val="28"/>
          <w:lang w:val="ru-RU"/>
        </w:rPr>
      </w:r>
      <w:r>
        <w:rPr>
          <w:rFonts w:ascii="Times New Roman" w:hAnsi="Times New Roman"/>
          <w:b w:val="0"/>
          <w:bCs w:val="0"/>
          <w:sz w:val="28"/>
          <w:szCs w:val="28"/>
        </w:rPr>
      </w:r>
    </w:p>
    <w:p>
      <w:pPr>
        <w:pStyle w:val="1236"/>
        <w:numPr>
          <w:ilvl w:val="0"/>
          <w:numId w:val="89"/>
        </w:numPr>
        <w:ind w:left="0" w:firstLine="709"/>
        <w:jc w:val="both"/>
        <w:spacing w:before="0" w:beforeAutospacing="0" w:after="0" w:afterAutospacing="0" w:line="276" w:lineRule="auto"/>
        <w:shd w:val="clear" w:color="auto" w:fill="ffffff"/>
        <w:rPr>
          <w:b w:val="0"/>
          <w:bCs w:val="0"/>
          <w:color w:val="000000"/>
          <w:sz w:val="28"/>
          <w:szCs w:val="28"/>
        </w:rPr>
      </w:pPr>
      <w:r>
        <w:rPr>
          <w:b w:val="0"/>
          <w:bCs w:val="0"/>
          <w:color w:val="000000"/>
          <w:sz w:val="28"/>
          <w:szCs w:val="28"/>
        </w:rPr>
        <w:t xml:space="preserve"> «Домашнее насилие как нарушение прав человека», ноябрь 2025 года. </w:t>
      </w:r>
      <w:r>
        <w:rPr>
          <w:b w:val="0"/>
          <w:bCs w:val="0"/>
          <w:color w:val="000000"/>
          <w:sz w:val="28"/>
          <w:szCs w:val="28"/>
        </w:rPr>
      </w:r>
      <w:r>
        <w:rPr>
          <w:b w:val="0"/>
          <w:bCs w:val="0"/>
          <w:color w:val="000000"/>
          <w:sz w:val="28"/>
          <w:szCs w:val="28"/>
        </w:rPr>
      </w:r>
    </w:p>
    <w:p>
      <w:pPr>
        <w:ind w:firstLine="709"/>
        <w:jc w:val="both"/>
        <w:spacing w:after="0"/>
        <w:rPr>
          <w:rFonts w:ascii="Times New Roman" w:hAnsi="Times New Roman" w:eastAsia="Times New Roman"/>
          <w:color w:val="000000"/>
          <w:sz w:val="28"/>
          <w:szCs w:val="28"/>
          <w:shd w:val="clear" w:color="auto" w:fill="ffffff"/>
          <w:lang w:eastAsia="ru-RU"/>
        </w:rPr>
      </w:pPr>
      <w:r>
        <w:rPr>
          <w:rFonts w:ascii="Times New Roman" w:hAnsi="Times New Roman" w:eastAsia="Times New Roman"/>
          <w:color w:val="000000"/>
          <w:sz w:val="28"/>
          <w:szCs w:val="28"/>
          <w:shd w:val="clear" w:color="auto" w:fill="ffffff"/>
          <w:lang w:eastAsia="ru-RU"/>
        </w:rPr>
        <w:t xml:space="preserve">Более подробно об итогах заседаний Экспертного совета рассказывалось в соответствующих разделах данного доклада.</w:t>
      </w:r>
      <w:r>
        <w:rPr>
          <w:rFonts w:ascii="Times New Roman" w:hAnsi="Times New Roman" w:eastAsia="Times New Roman"/>
          <w:color w:val="000000"/>
          <w:sz w:val="28"/>
          <w:szCs w:val="28"/>
          <w:shd w:val="clear" w:color="auto" w:fill="ffffff"/>
          <w:lang w:eastAsia="ru-RU"/>
        </w:rPr>
      </w:r>
      <w:r>
        <w:rPr>
          <w:rFonts w:ascii="Times New Roman" w:hAnsi="Times New Roman" w:eastAsia="Times New Roman"/>
          <w:color w:val="000000"/>
          <w:sz w:val="28"/>
          <w:szCs w:val="28"/>
          <w:shd w:val="clear" w:color="auto" w:fill="ffffff"/>
          <w:lang w:eastAsia="ru-RU"/>
        </w:rPr>
      </w:r>
    </w:p>
    <w:p>
      <w:pPr>
        <w:ind w:firstLine="709"/>
        <w:jc w:val="both"/>
        <w:spacing w:after="0"/>
        <w:rPr>
          <w:rFonts w:ascii="Times New Roman" w:hAnsi="Times New Roman" w:eastAsia="Times New Roman"/>
          <w:color w:val="000000"/>
          <w:sz w:val="28"/>
          <w:szCs w:val="28"/>
          <w:shd w:val="clear" w:color="auto" w:fill="ffffff"/>
          <w:lang w:eastAsia="ru-RU"/>
        </w:rPr>
      </w:pPr>
      <w:r>
        <w:rPr>
          <w:rFonts w:ascii="Times New Roman" w:hAnsi="Times New Roman" w:eastAsia="Times New Roman"/>
          <w:color w:val="000000"/>
          <w:sz w:val="28"/>
          <w:szCs w:val="28"/>
          <w:shd w:val="clear" w:color="auto" w:fill="ffffff"/>
          <w:lang w:eastAsia="ru-RU"/>
        </w:rPr>
      </w:r>
      <w:r>
        <w:rPr>
          <w:rFonts w:ascii="Times New Roman" w:hAnsi="Times New Roman" w:eastAsia="Times New Roman"/>
          <w:color w:val="000000"/>
          <w:sz w:val="28"/>
          <w:szCs w:val="28"/>
          <w:shd w:val="clear" w:color="auto" w:fill="ffffff"/>
          <w:lang w:eastAsia="ru-RU"/>
        </w:rPr>
      </w:r>
      <w:r>
        <w:rPr>
          <w:rFonts w:ascii="Times New Roman" w:hAnsi="Times New Roman" w:eastAsia="Times New Roman"/>
          <w:color w:val="000000"/>
          <w:sz w:val="28"/>
          <w:szCs w:val="28"/>
          <w:shd w:val="clear" w:color="auto" w:fill="ffffff"/>
          <w:lang w:eastAsia="ru-RU"/>
        </w:rPr>
      </w:r>
    </w:p>
    <w:p>
      <w:pPr>
        <w:ind w:firstLine="709"/>
        <w:jc w:val="center"/>
        <w:spacing w:after="0"/>
        <w:rPr>
          <w:rFonts w:ascii="Times New Roman" w:hAnsi="Times New Roman" w:eastAsia="Times New Roman"/>
          <w:b/>
          <w:color w:val="000000"/>
          <w:sz w:val="28"/>
          <w:szCs w:val="28"/>
          <w:shd w:val="clear" w:color="auto" w:fill="ffffff"/>
          <w:lang w:eastAsia="ru-RU"/>
        </w:rPr>
      </w:pPr>
      <w:r>
        <w:rPr>
          <w:rFonts w:ascii="Times New Roman" w:hAnsi="Times New Roman" w:eastAsia="Times New Roman"/>
          <w:b/>
          <w:color w:val="000000"/>
          <w:sz w:val="28"/>
          <w:szCs w:val="28"/>
          <w:shd w:val="clear" w:color="auto" w:fill="ffffff"/>
          <w:lang w:eastAsia="ru-RU"/>
        </w:rPr>
        <w:t xml:space="preserve">Деятельность Молодежного общественного совета</w:t>
      </w:r>
      <w:r>
        <w:rPr>
          <w:rFonts w:ascii="Times New Roman" w:hAnsi="Times New Roman" w:eastAsia="Times New Roman"/>
          <w:b/>
          <w:color w:val="000000"/>
          <w:sz w:val="28"/>
          <w:szCs w:val="28"/>
          <w:shd w:val="clear" w:color="auto" w:fill="ffffff"/>
          <w:lang w:eastAsia="ru-RU"/>
        </w:rPr>
      </w:r>
      <w:r>
        <w:rPr>
          <w:rFonts w:ascii="Times New Roman" w:hAnsi="Times New Roman" w:eastAsia="Times New Roman"/>
          <w:b/>
          <w:color w:val="000000"/>
          <w:sz w:val="28"/>
          <w:szCs w:val="28"/>
          <w:shd w:val="clear" w:color="auto" w:fill="ffffff"/>
          <w:lang w:eastAsia="ru-RU"/>
        </w:rPr>
      </w:r>
    </w:p>
    <w:p>
      <w:pPr>
        <w:ind w:firstLine="709"/>
        <w:jc w:val="both"/>
        <w:spacing w:after="0"/>
        <w:rPr>
          <w:rFonts w:ascii="Times New Roman" w:hAnsi="Times New Roman" w:eastAsia="Times New Roman"/>
          <w:color w:val="000000"/>
          <w:sz w:val="28"/>
          <w:szCs w:val="28"/>
          <w:shd w:val="clear" w:color="auto" w:fill="ffffff"/>
          <w:lang w:eastAsia="ru-RU"/>
        </w:rPr>
      </w:pPr>
      <w:r>
        <w:rPr>
          <w:rFonts w:ascii="Times New Roman" w:hAnsi="Times New Roman" w:eastAsia="Times New Roman"/>
          <w:color w:val="000000"/>
          <w:sz w:val="28"/>
          <w:szCs w:val="28"/>
          <w:shd w:val="clear" w:color="auto" w:fill="ffffff"/>
          <w:lang w:eastAsia="ru-RU"/>
        </w:rPr>
        <w:t xml:space="preserve">Свою важную роль в защите прав молодых людей играет Молодежный общественный совет при Уполномоченном. </w:t>
      </w:r>
      <w:r>
        <w:rPr>
          <w:rFonts w:ascii="Times New Roman" w:hAnsi="Times New Roman" w:eastAsia="Times New Roman"/>
          <w:color w:val="000000"/>
          <w:sz w:val="28"/>
          <w:szCs w:val="28"/>
          <w:shd w:val="clear" w:color="auto" w:fill="ffffff"/>
          <w:lang w:eastAsia="ru-RU"/>
        </w:rPr>
      </w:r>
      <w:r>
        <w:rPr>
          <w:rFonts w:ascii="Times New Roman" w:hAnsi="Times New Roman" w:eastAsia="Times New Roman"/>
          <w:color w:val="000000"/>
          <w:sz w:val="28"/>
          <w:szCs w:val="28"/>
          <w:shd w:val="clear" w:color="auto" w:fill="ffffff"/>
          <w:lang w:eastAsia="ru-RU"/>
        </w:rPr>
      </w:r>
    </w:p>
    <w:p>
      <w:pPr>
        <w:ind w:firstLine="709"/>
        <w:jc w:val="both"/>
        <w:spacing w:after="0"/>
        <w:rPr>
          <w:rFonts w:ascii="Times New Roman" w:hAnsi="Times New Roman" w:eastAsia="Times New Roman"/>
          <w:color w:val="000000"/>
          <w:sz w:val="28"/>
          <w:szCs w:val="28"/>
          <w:shd w:val="clear" w:color="auto" w:fill="ffffff"/>
          <w:lang w:eastAsia="ru-RU"/>
        </w:rPr>
      </w:pPr>
      <w:r>
        <w:rPr>
          <w:rFonts w:ascii="Times New Roman" w:hAnsi="Times New Roman" w:eastAsia="Times New Roman"/>
          <w:color w:val="000000"/>
          <w:sz w:val="28"/>
          <w:szCs w:val="28"/>
          <w:shd w:val="clear" w:color="auto" w:fill="ffffff"/>
          <w:lang w:eastAsia="ru-RU"/>
        </w:rPr>
        <w:t xml:space="preserve">Всего за 2025 год в молодежном правозащитном органе произошло  около 100 событий. Среди них:</w:t>
      </w:r>
      <w:r>
        <w:rPr>
          <w:rFonts w:ascii="Times New Roman" w:hAnsi="Times New Roman" w:eastAsia="Times New Roman"/>
          <w:color w:val="000000"/>
          <w:sz w:val="28"/>
          <w:szCs w:val="28"/>
          <w:shd w:val="clear" w:color="auto" w:fill="ffffff"/>
          <w:lang w:eastAsia="ru-RU"/>
        </w:rPr>
      </w:r>
      <w:r>
        <w:rPr>
          <w:rFonts w:ascii="Times New Roman" w:hAnsi="Times New Roman" w:eastAsia="Times New Roman"/>
          <w:color w:val="000000"/>
          <w:sz w:val="28"/>
          <w:szCs w:val="28"/>
          <w:shd w:val="clear" w:color="auto" w:fill="ffffff"/>
          <w:lang w:eastAsia="ru-RU"/>
        </w:rPr>
      </w:r>
    </w:p>
    <w:p>
      <w:pPr>
        <w:pStyle w:val="1227"/>
        <w:numPr>
          <w:ilvl w:val="0"/>
          <w:numId w:val="90"/>
        </w:numPr>
        <w:ind w:left="0" w:firstLine="709"/>
        <w:jc w:val="both"/>
        <w:spacing w:line="276" w:lineRule="auto"/>
        <w:rPr>
          <w:rFonts w:ascii="Times New Roman" w:hAnsi="Times New Roman" w:eastAsia="Times New Roman"/>
          <w:color w:val="000000"/>
          <w:sz w:val="28"/>
          <w:szCs w:val="28"/>
          <w:shd w:val="clear" w:color="auto" w:fill="ffffff"/>
          <w:lang w:val="ru-RU" w:eastAsia="ru-RU"/>
        </w:rPr>
      </w:pPr>
      <w:r>
        <w:rPr>
          <w:rFonts w:ascii="Times New Roman" w:hAnsi="Times New Roman" w:eastAsia="Times New Roman"/>
          <w:color w:val="000000"/>
          <w:sz w:val="28"/>
          <w:szCs w:val="28"/>
          <w:shd w:val="clear" w:color="auto" w:fill="ffffff"/>
          <w:lang w:val="ru-RU" w:eastAsia="ru-RU"/>
        </w:rPr>
        <w:t xml:space="preserve">6 заседаний Совета по актуальным проблемам молодежи;</w:t>
      </w:r>
      <w:r>
        <w:rPr>
          <w:rFonts w:ascii="Times New Roman" w:hAnsi="Times New Roman" w:eastAsia="Times New Roman"/>
          <w:color w:val="000000"/>
          <w:sz w:val="28"/>
          <w:szCs w:val="28"/>
          <w:shd w:val="clear" w:color="auto" w:fill="ffffff"/>
          <w:lang w:val="ru-RU" w:eastAsia="ru-RU"/>
        </w:rPr>
      </w:r>
      <w:r>
        <w:rPr>
          <w:rFonts w:ascii="Times New Roman" w:hAnsi="Times New Roman" w:eastAsia="Times New Roman"/>
          <w:color w:val="000000"/>
          <w:sz w:val="28"/>
          <w:szCs w:val="28"/>
          <w:shd w:val="clear" w:color="auto" w:fill="ffffff"/>
          <w:lang w:val="ru-RU" w:eastAsia="ru-RU"/>
        </w:rPr>
      </w:r>
    </w:p>
    <w:p>
      <w:pPr>
        <w:pStyle w:val="1227"/>
        <w:numPr>
          <w:ilvl w:val="0"/>
          <w:numId w:val="90"/>
        </w:numPr>
        <w:ind w:left="0" w:firstLine="709"/>
        <w:jc w:val="both"/>
        <w:spacing w:line="276" w:lineRule="auto"/>
        <w:rPr>
          <w:rFonts w:ascii="Times New Roman" w:hAnsi="Times New Roman" w:eastAsia="Times New Roman"/>
          <w:color w:val="000000"/>
          <w:sz w:val="28"/>
          <w:szCs w:val="28"/>
          <w:shd w:val="clear" w:color="auto" w:fill="ffffff"/>
          <w:lang w:val="ru-RU" w:eastAsia="ru-RU"/>
        </w:rPr>
      </w:pPr>
      <w:r>
        <w:rPr>
          <w:rFonts w:ascii="Times New Roman" w:hAnsi="Times New Roman" w:eastAsia="Times New Roman"/>
          <w:color w:val="000000"/>
          <w:sz w:val="28"/>
          <w:szCs w:val="28"/>
          <w:shd w:val="clear" w:color="auto" w:fill="ffffff"/>
          <w:lang w:val="ru-RU" w:eastAsia="ru-RU"/>
        </w:rPr>
        <w:t xml:space="preserve">16 </w:t>
      </w:r>
      <w:r>
        <w:rPr>
          <w:rFonts w:ascii="Times New Roman" w:hAnsi="Times New Roman" w:eastAsia="Times New Roman"/>
          <w:color w:val="000000"/>
          <w:sz w:val="28"/>
          <w:szCs w:val="28"/>
          <w:shd w:val="clear" w:color="auto" w:fill="ffffff"/>
          <w:lang w:val="ru-RU" w:eastAsia="ru-RU"/>
        </w:rPr>
        <w:t xml:space="preserve">правопросветительских</w:t>
      </w:r>
      <w:r>
        <w:rPr>
          <w:rFonts w:ascii="Times New Roman" w:hAnsi="Times New Roman" w:eastAsia="Times New Roman"/>
          <w:color w:val="000000"/>
          <w:sz w:val="28"/>
          <w:szCs w:val="28"/>
          <w:shd w:val="clear" w:color="auto" w:fill="ffffff"/>
          <w:lang w:val="ru-RU" w:eastAsia="ru-RU"/>
        </w:rPr>
        <w:t xml:space="preserve"> мероприятий и 23 разработанных правовых сценария;</w:t>
      </w:r>
      <w:r>
        <w:rPr>
          <w:rFonts w:ascii="Times New Roman" w:hAnsi="Times New Roman" w:eastAsia="Times New Roman"/>
          <w:color w:val="000000"/>
          <w:sz w:val="28"/>
          <w:szCs w:val="28"/>
          <w:shd w:val="clear" w:color="auto" w:fill="ffffff"/>
          <w:lang w:val="ru-RU" w:eastAsia="ru-RU"/>
        </w:rPr>
      </w:r>
      <w:r>
        <w:rPr>
          <w:rFonts w:ascii="Times New Roman" w:hAnsi="Times New Roman" w:eastAsia="Times New Roman"/>
          <w:color w:val="000000"/>
          <w:sz w:val="28"/>
          <w:szCs w:val="28"/>
          <w:shd w:val="clear" w:color="auto" w:fill="ffffff"/>
          <w:lang w:val="ru-RU" w:eastAsia="ru-RU"/>
        </w:rPr>
      </w:r>
    </w:p>
    <w:p>
      <w:pPr>
        <w:pStyle w:val="1227"/>
        <w:numPr>
          <w:ilvl w:val="0"/>
          <w:numId w:val="90"/>
        </w:numPr>
        <w:ind w:left="0" w:firstLine="709"/>
        <w:jc w:val="both"/>
        <w:spacing w:line="276" w:lineRule="auto"/>
        <w:rPr>
          <w:rFonts w:ascii="Times New Roman" w:hAnsi="Times New Roman" w:eastAsia="Times New Roman"/>
          <w:color w:val="000000"/>
          <w:sz w:val="28"/>
          <w:szCs w:val="28"/>
          <w:shd w:val="clear" w:color="auto" w:fill="ffffff"/>
          <w:lang w:val="ru-RU" w:eastAsia="ru-RU"/>
        </w:rPr>
      </w:pPr>
      <w:r>
        <w:rPr>
          <w:rFonts w:ascii="Times New Roman" w:hAnsi="Times New Roman" w:eastAsia="Times New Roman"/>
          <w:color w:val="000000"/>
          <w:sz w:val="28"/>
          <w:szCs w:val="28"/>
          <w:shd w:val="clear" w:color="auto" w:fill="ffffff"/>
          <w:lang w:val="ru-RU" w:eastAsia="ru-RU"/>
        </w:rPr>
        <w:t xml:space="preserve">3 мониторинга ситуаций по соблюдению прав человека;</w:t>
      </w:r>
      <w:r>
        <w:rPr>
          <w:rFonts w:ascii="Times New Roman" w:hAnsi="Times New Roman" w:eastAsia="Times New Roman"/>
          <w:color w:val="000000"/>
          <w:sz w:val="28"/>
          <w:szCs w:val="28"/>
          <w:shd w:val="clear" w:color="auto" w:fill="ffffff"/>
          <w:lang w:val="ru-RU" w:eastAsia="ru-RU"/>
        </w:rPr>
      </w:r>
      <w:r>
        <w:rPr>
          <w:rFonts w:ascii="Times New Roman" w:hAnsi="Times New Roman" w:eastAsia="Times New Roman"/>
          <w:color w:val="000000"/>
          <w:sz w:val="28"/>
          <w:szCs w:val="28"/>
          <w:shd w:val="clear" w:color="auto" w:fill="ffffff"/>
          <w:lang w:val="ru-RU" w:eastAsia="ru-RU"/>
        </w:rPr>
      </w:r>
    </w:p>
    <w:p>
      <w:pPr>
        <w:pStyle w:val="1227"/>
        <w:numPr>
          <w:ilvl w:val="0"/>
          <w:numId w:val="90"/>
        </w:numPr>
        <w:ind w:left="0" w:firstLine="709"/>
        <w:jc w:val="both"/>
        <w:spacing w:line="276" w:lineRule="auto"/>
        <w:rPr>
          <w:rFonts w:ascii="Times New Roman" w:hAnsi="Times New Roman" w:eastAsia="Times New Roman"/>
          <w:color w:val="000000"/>
          <w:sz w:val="28"/>
          <w:szCs w:val="28"/>
          <w:shd w:val="clear" w:color="auto" w:fill="ffffff"/>
          <w:lang w:eastAsia="ru-RU"/>
        </w:rPr>
      </w:pPr>
      <w:r>
        <w:rPr>
          <w:rFonts w:ascii="Times New Roman" w:hAnsi="Times New Roman" w:eastAsia="Times New Roman"/>
          <w:color w:val="000000"/>
          <w:sz w:val="28"/>
          <w:szCs w:val="28"/>
          <w:shd w:val="clear" w:color="auto" w:fill="ffffff"/>
          <w:lang w:eastAsia="ru-RU"/>
        </w:rPr>
        <w:t xml:space="preserve">21 </w:t>
      </w:r>
      <w:r>
        <w:rPr>
          <w:rFonts w:ascii="Times New Roman" w:hAnsi="Times New Roman" w:eastAsia="Times New Roman"/>
          <w:color w:val="000000"/>
          <w:sz w:val="28"/>
          <w:szCs w:val="28"/>
          <w:shd w:val="clear" w:color="auto" w:fill="ffffff"/>
          <w:lang w:eastAsia="ru-RU"/>
        </w:rPr>
        <w:t xml:space="preserve">акция</w:t>
      </w:r>
      <w:r>
        <w:rPr>
          <w:rFonts w:ascii="Times New Roman" w:hAnsi="Times New Roman" w:eastAsia="Times New Roman"/>
          <w:color w:val="000000"/>
          <w:sz w:val="28"/>
          <w:szCs w:val="28"/>
          <w:shd w:val="clear" w:color="auto" w:fill="ffffff"/>
          <w:lang w:eastAsia="ru-RU"/>
        </w:rPr>
        <w:t xml:space="preserve">;</w:t>
      </w:r>
      <w:r>
        <w:rPr>
          <w:rFonts w:ascii="Times New Roman" w:hAnsi="Times New Roman" w:eastAsia="Times New Roman"/>
          <w:color w:val="000000"/>
          <w:sz w:val="28"/>
          <w:szCs w:val="28"/>
          <w:shd w:val="clear" w:color="auto" w:fill="ffffff"/>
          <w:lang w:eastAsia="ru-RU"/>
        </w:rPr>
      </w:r>
      <w:r>
        <w:rPr>
          <w:rFonts w:ascii="Times New Roman" w:hAnsi="Times New Roman" w:eastAsia="Times New Roman"/>
          <w:color w:val="000000"/>
          <w:sz w:val="28"/>
          <w:szCs w:val="28"/>
          <w:shd w:val="clear" w:color="auto" w:fill="ffffff"/>
          <w:lang w:eastAsia="ru-RU"/>
        </w:rPr>
      </w:r>
    </w:p>
    <w:p>
      <w:pPr>
        <w:pStyle w:val="1227"/>
        <w:numPr>
          <w:ilvl w:val="0"/>
          <w:numId w:val="90"/>
        </w:numPr>
        <w:ind w:left="0" w:firstLine="709"/>
        <w:jc w:val="both"/>
        <w:spacing w:line="276" w:lineRule="auto"/>
        <w:rPr>
          <w:rFonts w:ascii="Times New Roman" w:hAnsi="Times New Roman" w:eastAsia="Times New Roman"/>
          <w:color w:val="000000"/>
          <w:sz w:val="28"/>
          <w:szCs w:val="28"/>
          <w:shd w:val="clear" w:color="auto" w:fill="ffffff"/>
          <w:lang w:val="ru-RU" w:eastAsia="ru-RU"/>
        </w:rPr>
      </w:pPr>
      <w:r>
        <w:rPr>
          <w:rFonts w:ascii="Times New Roman" w:hAnsi="Times New Roman" w:eastAsia="Times New Roman"/>
          <w:color w:val="000000"/>
          <w:sz w:val="28"/>
          <w:szCs w:val="28"/>
          <w:shd w:val="clear" w:color="auto" w:fill="ffffff"/>
          <w:lang w:val="ru-RU" w:eastAsia="ru-RU"/>
        </w:rPr>
        <w:t xml:space="preserve">20 событий с участием членов Совета (конференции, круглые столы, заседания рабочих групп);</w:t>
      </w:r>
      <w:r>
        <w:rPr>
          <w:rFonts w:ascii="Times New Roman" w:hAnsi="Times New Roman" w:eastAsia="Times New Roman"/>
          <w:color w:val="000000"/>
          <w:sz w:val="28"/>
          <w:szCs w:val="28"/>
          <w:shd w:val="clear" w:color="auto" w:fill="ffffff"/>
          <w:lang w:val="ru-RU" w:eastAsia="ru-RU"/>
        </w:rPr>
      </w:r>
      <w:r>
        <w:rPr>
          <w:rFonts w:ascii="Times New Roman" w:hAnsi="Times New Roman" w:eastAsia="Times New Roman"/>
          <w:color w:val="000000"/>
          <w:sz w:val="28"/>
          <w:szCs w:val="28"/>
          <w:shd w:val="clear" w:color="auto" w:fill="ffffff"/>
          <w:lang w:val="ru-RU" w:eastAsia="ru-RU"/>
        </w:rPr>
      </w:r>
    </w:p>
    <w:p>
      <w:pPr>
        <w:pStyle w:val="1227"/>
        <w:numPr>
          <w:ilvl w:val="0"/>
          <w:numId w:val="90"/>
        </w:numPr>
        <w:ind w:left="0" w:firstLine="709"/>
        <w:jc w:val="both"/>
        <w:spacing w:line="276" w:lineRule="auto"/>
        <w:rPr>
          <w:rFonts w:ascii="Times New Roman" w:hAnsi="Times New Roman" w:eastAsia="Times New Roman"/>
          <w:color w:val="000000"/>
          <w:sz w:val="28"/>
          <w:szCs w:val="28"/>
          <w:shd w:val="clear" w:color="auto" w:fill="ffffff"/>
          <w:lang w:eastAsia="ru-RU"/>
        </w:rPr>
      </w:pPr>
      <w:r>
        <w:rPr>
          <w:rFonts w:ascii="Times New Roman" w:hAnsi="Times New Roman" w:eastAsia="Times New Roman"/>
          <w:color w:val="000000"/>
          <w:sz w:val="28"/>
          <w:szCs w:val="28"/>
          <w:shd w:val="clear" w:color="auto" w:fill="ffffff"/>
          <w:lang w:eastAsia="ru-RU"/>
        </w:rPr>
        <w:t xml:space="preserve">2 </w:t>
      </w:r>
      <w:r>
        <w:rPr>
          <w:rFonts w:ascii="Times New Roman" w:hAnsi="Times New Roman" w:eastAsia="Times New Roman"/>
          <w:color w:val="000000"/>
          <w:sz w:val="28"/>
          <w:szCs w:val="28"/>
          <w:shd w:val="clear" w:color="auto" w:fill="ffffff"/>
          <w:lang w:eastAsia="ru-RU"/>
        </w:rPr>
        <w:t xml:space="preserve">радиоэфира</w:t>
      </w:r>
      <w:r>
        <w:rPr>
          <w:rFonts w:ascii="Times New Roman" w:hAnsi="Times New Roman" w:eastAsia="Times New Roman"/>
          <w:color w:val="000000"/>
          <w:sz w:val="28"/>
          <w:szCs w:val="28"/>
          <w:shd w:val="clear" w:color="auto" w:fill="ffffff"/>
          <w:lang w:eastAsia="ru-RU"/>
        </w:rPr>
        <w:t xml:space="preserve">;</w:t>
      </w:r>
      <w:r>
        <w:rPr>
          <w:rFonts w:ascii="Times New Roman" w:hAnsi="Times New Roman" w:eastAsia="Times New Roman"/>
          <w:color w:val="000000"/>
          <w:sz w:val="28"/>
          <w:szCs w:val="28"/>
          <w:shd w:val="clear" w:color="auto" w:fill="ffffff"/>
          <w:lang w:eastAsia="ru-RU"/>
        </w:rPr>
      </w:r>
      <w:r>
        <w:rPr>
          <w:rFonts w:ascii="Times New Roman" w:hAnsi="Times New Roman" w:eastAsia="Times New Roman"/>
          <w:color w:val="000000"/>
          <w:sz w:val="28"/>
          <w:szCs w:val="28"/>
          <w:shd w:val="clear" w:color="auto" w:fill="ffffff"/>
          <w:lang w:eastAsia="ru-RU"/>
        </w:rPr>
      </w:r>
    </w:p>
    <w:p>
      <w:pPr>
        <w:pStyle w:val="1227"/>
        <w:numPr>
          <w:ilvl w:val="0"/>
          <w:numId w:val="90"/>
        </w:numPr>
        <w:ind w:left="0" w:firstLine="709"/>
        <w:jc w:val="both"/>
        <w:spacing w:line="276" w:lineRule="auto"/>
        <w:rPr>
          <w:rFonts w:ascii="Times New Roman" w:hAnsi="Times New Roman" w:eastAsia="Times New Roman"/>
          <w:color w:val="000000"/>
          <w:sz w:val="28"/>
          <w:szCs w:val="28"/>
          <w:shd w:val="clear" w:color="auto" w:fill="ffffff"/>
          <w:lang w:eastAsia="ru-RU"/>
        </w:rPr>
      </w:pPr>
      <w:r>
        <w:rPr>
          <w:rFonts w:ascii="Times New Roman" w:hAnsi="Times New Roman" w:eastAsia="Times New Roman"/>
          <w:color w:val="000000"/>
          <w:sz w:val="28"/>
          <w:szCs w:val="28"/>
          <w:shd w:val="clear" w:color="auto" w:fill="ffffff"/>
          <w:lang w:eastAsia="ru-RU"/>
        </w:rPr>
        <w:t xml:space="preserve">9 </w:t>
      </w:r>
      <w:r>
        <w:rPr>
          <w:rFonts w:ascii="Times New Roman" w:hAnsi="Times New Roman" w:eastAsia="Times New Roman"/>
          <w:color w:val="000000"/>
          <w:sz w:val="28"/>
          <w:szCs w:val="28"/>
          <w:shd w:val="clear" w:color="auto" w:fill="ffffff"/>
          <w:lang w:eastAsia="ru-RU"/>
        </w:rPr>
        <w:t xml:space="preserve">иных</w:t>
      </w:r>
      <w:r>
        <w:rPr>
          <w:rFonts w:ascii="Times New Roman" w:hAnsi="Times New Roman" w:eastAsia="Times New Roman"/>
          <w:color w:val="000000"/>
          <w:sz w:val="28"/>
          <w:szCs w:val="28"/>
          <w:shd w:val="clear" w:color="auto" w:fill="ffffff"/>
          <w:lang w:eastAsia="ru-RU"/>
        </w:rPr>
        <w:t xml:space="preserve"> </w:t>
      </w:r>
      <w:r>
        <w:rPr>
          <w:rFonts w:ascii="Times New Roman" w:hAnsi="Times New Roman" w:eastAsia="Times New Roman"/>
          <w:color w:val="000000"/>
          <w:sz w:val="28"/>
          <w:szCs w:val="28"/>
          <w:shd w:val="clear" w:color="auto" w:fill="ffffff"/>
          <w:lang w:eastAsia="ru-RU"/>
        </w:rPr>
        <w:t xml:space="preserve">правозащитных</w:t>
      </w:r>
      <w:r>
        <w:rPr>
          <w:rFonts w:ascii="Times New Roman" w:hAnsi="Times New Roman" w:eastAsia="Times New Roman"/>
          <w:color w:val="000000"/>
          <w:sz w:val="28"/>
          <w:szCs w:val="28"/>
          <w:shd w:val="clear" w:color="auto" w:fill="ffffff"/>
          <w:lang w:eastAsia="ru-RU"/>
        </w:rPr>
        <w:t xml:space="preserve"> </w:t>
      </w:r>
      <w:r>
        <w:rPr>
          <w:rFonts w:ascii="Times New Roman" w:hAnsi="Times New Roman" w:eastAsia="Times New Roman"/>
          <w:color w:val="000000"/>
          <w:sz w:val="28"/>
          <w:szCs w:val="28"/>
          <w:shd w:val="clear" w:color="auto" w:fill="ffffff"/>
          <w:lang w:eastAsia="ru-RU"/>
        </w:rPr>
        <w:t xml:space="preserve">мероприятий</w:t>
      </w:r>
      <w:r>
        <w:rPr>
          <w:rFonts w:ascii="Times New Roman" w:hAnsi="Times New Roman" w:eastAsia="Times New Roman"/>
          <w:color w:val="000000"/>
          <w:sz w:val="28"/>
          <w:szCs w:val="28"/>
          <w:shd w:val="clear" w:color="auto" w:fill="ffffff"/>
          <w:lang w:eastAsia="ru-RU"/>
        </w:rPr>
        <w:t xml:space="preserve">.</w:t>
      </w:r>
      <w:r>
        <w:rPr>
          <w:rFonts w:ascii="Times New Roman" w:hAnsi="Times New Roman" w:eastAsia="Times New Roman"/>
          <w:color w:val="000000"/>
          <w:sz w:val="28"/>
          <w:szCs w:val="28"/>
          <w:shd w:val="clear" w:color="auto" w:fill="ffffff"/>
          <w:lang w:eastAsia="ru-RU"/>
        </w:rPr>
      </w:r>
      <w:r>
        <w:rPr>
          <w:rFonts w:ascii="Times New Roman" w:hAnsi="Times New Roman" w:eastAsia="Times New Roman"/>
          <w:color w:val="000000"/>
          <w:sz w:val="28"/>
          <w:szCs w:val="28"/>
          <w:shd w:val="clear" w:color="auto" w:fill="ffffff"/>
          <w:lang w:eastAsia="ru-RU"/>
        </w:rPr>
      </w:r>
    </w:p>
    <w:p>
      <w:pPr>
        <w:pStyle w:val="1227"/>
        <w:ind w:left="709"/>
        <w:jc w:val="both"/>
        <w:rPr>
          <w:rFonts w:ascii="Times New Roman" w:hAnsi="Times New Roman" w:eastAsia="Times New Roman"/>
          <w:color w:val="000000"/>
          <w:sz w:val="28"/>
          <w:szCs w:val="28"/>
          <w:shd w:val="clear" w:color="auto" w:fill="ffffff"/>
          <w:lang w:val="ru-RU" w:eastAsia="ru-RU"/>
        </w:rPr>
      </w:pPr>
      <w:r>
        <w:rPr>
          <w:rFonts w:ascii="Times New Roman" w:hAnsi="Times New Roman" w:eastAsia="Times New Roman"/>
          <w:color w:val="000000"/>
          <w:sz w:val="28"/>
          <w:szCs w:val="28"/>
          <w:shd w:val="clear" w:color="auto" w:fill="ffffff"/>
          <w:lang w:val="ru-RU" w:eastAsia="ru-RU"/>
        </w:rPr>
        <w:t xml:space="preserve">Коротко о важных совместных мероприятиях, прошедших в 2025 году.  </w:t>
      </w:r>
      <w:r>
        <w:rPr>
          <w:rFonts w:ascii="Times New Roman" w:hAnsi="Times New Roman" w:eastAsia="Times New Roman"/>
          <w:color w:val="000000"/>
          <w:sz w:val="28"/>
          <w:szCs w:val="28"/>
          <w:shd w:val="clear" w:color="auto" w:fill="ffffff"/>
          <w:lang w:val="ru-RU" w:eastAsia="ru-RU"/>
        </w:rPr>
      </w:r>
      <w:r>
        <w:rPr>
          <w:rFonts w:ascii="Times New Roman" w:hAnsi="Times New Roman" w:eastAsia="Times New Roman"/>
          <w:color w:val="000000"/>
          <w:sz w:val="28"/>
          <w:szCs w:val="28"/>
          <w:shd w:val="clear" w:color="auto" w:fill="ffffff"/>
          <w:lang w:val="ru-RU" w:eastAsia="ru-RU"/>
        </w:rPr>
      </w:r>
    </w:p>
    <w:p>
      <w:pPr>
        <w:ind w:firstLine="709"/>
        <w:jc w:val="both"/>
        <w:spacing w:after="0"/>
        <w:rPr>
          <w:rFonts w:ascii="Times New Roman" w:hAnsi="Times New Roman"/>
          <w:sz w:val="28"/>
          <w:szCs w:val="28"/>
        </w:rPr>
      </w:pPr>
      <w:r>
        <w:rPr>
          <w:rFonts w:ascii="Times New Roman" w:hAnsi="Times New Roman"/>
          <w:sz w:val="28"/>
          <w:szCs w:val="28"/>
        </w:rPr>
        <w:t xml:space="preserve">В предд</w:t>
      </w:r>
      <w:r>
        <w:rPr>
          <w:rFonts w:ascii="Times New Roman" w:hAnsi="Times New Roman"/>
          <w:sz w:val="28"/>
          <w:szCs w:val="28"/>
        </w:rPr>
        <w:t xml:space="preserve">верии российского Дня молодежи региональным омбудсменом было инициировано совместное заседание Молодежного общественного совета при Уполномоченном по правам человека в Ивановской области и Совета молодых нотариусов Ивановской областной нотариальной палаты.</w:t>
      </w:r>
      <w:r>
        <w:rPr>
          <w:rFonts w:ascii="Times New Roman" w:hAnsi="Times New Roman"/>
          <w:sz w:val="28"/>
          <w:szCs w:val="28"/>
        </w:rPr>
      </w:r>
      <w:r>
        <w:rPr>
          <w:rFonts w:ascii="Times New Roman" w:hAnsi="Times New Roman"/>
          <w:sz w:val="28"/>
          <w:szCs w:val="28"/>
        </w:rPr>
      </w:r>
    </w:p>
    <w:p>
      <w:pPr>
        <w:ind w:firstLine="709"/>
        <w:jc w:val="both"/>
        <w:spacing w:after="0"/>
        <w:rPr>
          <w:rFonts w:ascii="Times New Roman" w:hAnsi="Times New Roman"/>
          <w:sz w:val="28"/>
          <w:szCs w:val="28"/>
        </w:rPr>
      </w:pPr>
      <w:r>
        <w:rPr>
          <w:rFonts w:ascii="Times New Roman" w:hAnsi="Times New Roman"/>
          <w:sz w:val="28"/>
          <w:szCs w:val="28"/>
        </w:rPr>
        <w:t xml:space="preserve">В ходе тематической площадки участники мероприятия обсудили вопросы правового просвещения населения и повышения правовой культуры.</w:t>
      </w:r>
      <w:r>
        <w:rPr>
          <w:rFonts w:ascii="Times New Roman" w:hAnsi="Times New Roman"/>
          <w:sz w:val="28"/>
          <w:szCs w:val="28"/>
        </w:rPr>
      </w:r>
      <w:r>
        <w:rPr>
          <w:rFonts w:ascii="Times New Roman" w:hAnsi="Times New Roman"/>
          <w:sz w:val="28"/>
          <w:szCs w:val="28"/>
        </w:rPr>
      </w:r>
    </w:p>
    <w:p>
      <w:pPr>
        <w:ind w:firstLine="709"/>
        <w:jc w:val="both"/>
        <w:spacing w:after="0"/>
        <w:rPr>
          <w:rFonts w:ascii="Times New Roman" w:hAnsi="Times New Roman"/>
          <w:sz w:val="28"/>
          <w:szCs w:val="28"/>
        </w:rPr>
      </w:pPr>
      <w:r>
        <w:rPr>
          <w:rFonts w:ascii="Times New Roman" w:hAnsi="Times New Roman"/>
          <w:sz w:val="28"/>
          <w:szCs w:val="28"/>
        </w:rPr>
        <w:t xml:space="preserve">Были представлены доклады по важным вопросам, которые задают молодые заявители на консультациях: тема нотариального обеспечения </w:t>
      </w:r>
      <w:r>
        <w:rPr>
          <w:rFonts w:ascii="Times New Roman" w:hAnsi="Times New Roman"/>
          <w:sz w:val="28"/>
          <w:szCs w:val="28"/>
        </w:rPr>
        <w:t xml:space="preserve">доказательств в сети Интернет; брачных договоров; информация о правовых льготах и гарантиях для участников СВО и членов их семей.</w:t>
      </w:r>
      <w:r>
        <w:rPr>
          <w:rFonts w:ascii="Times New Roman" w:hAnsi="Times New Roman"/>
          <w:sz w:val="28"/>
          <w:szCs w:val="28"/>
        </w:rPr>
      </w:r>
      <w:r>
        <w:rPr>
          <w:rFonts w:ascii="Times New Roman" w:hAnsi="Times New Roman"/>
          <w:sz w:val="28"/>
          <w:szCs w:val="28"/>
        </w:rPr>
      </w:r>
    </w:p>
    <w:p>
      <w:pPr>
        <w:ind w:firstLine="709"/>
        <w:jc w:val="both"/>
        <w:spacing w:after="0"/>
        <w:rPr>
          <w:rFonts w:ascii="Times New Roman" w:hAnsi="Times New Roman" w:eastAsia="Times New Roman"/>
          <w:color w:val="000000"/>
          <w:sz w:val="28"/>
          <w:szCs w:val="28"/>
          <w:shd w:val="clear" w:color="auto" w:fill="ffffff"/>
          <w:lang w:eastAsia="ru-RU"/>
        </w:rPr>
      </w:pPr>
      <w:r>
        <w:rPr>
          <w:rFonts w:ascii="Times New Roman" w:hAnsi="Times New Roman"/>
          <w:sz w:val="28"/>
          <w:szCs w:val="28"/>
        </w:rPr>
        <w:t xml:space="preserve">Правозащитники из Молодежного совета Уполномоченного поделились информацией о формах и методах в решении задач правового просвещения в молодежной среде. Были обсу</w:t>
      </w:r>
      <w:r>
        <w:rPr>
          <w:rFonts w:ascii="Times New Roman" w:hAnsi="Times New Roman"/>
          <w:sz w:val="28"/>
          <w:szCs w:val="28"/>
        </w:rPr>
        <w:t xml:space="preserve">ждены современные тенденции реализации и защиты прав человека. Не обошлось и без обсуждения обязанностей, которые есть в жизни у каждого из нас. В завершение мероприятия омбудсмен выполнила почётную миссию, вручив Благодарственные письма лидерам молодежи. </w:t>
      </w:r>
      <w:r>
        <w:rPr>
          <w:rFonts w:ascii="Times New Roman" w:hAnsi="Times New Roman" w:eastAsia="Times New Roman"/>
          <w:color w:val="000000"/>
          <w:sz w:val="28"/>
          <w:szCs w:val="28"/>
          <w:shd w:val="clear" w:color="auto" w:fill="ffffff"/>
          <w:lang w:eastAsia="ru-RU"/>
        </w:rPr>
      </w:r>
      <w:r>
        <w:rPr>
          <w:rFonts w:ascii="Times New Roman" w:hAnsi="Times New Roman" w:eastAsia="Times New Roman"/>
          <w:color w:val="000000"/>
          <w:sz w:val="28"/>
          <w:szCs w:val="28"/>
          <w:shd w:val="clear" w:color="auto" w:fill="ffffff"/>
          <w:lang w:eastAsia="ru-RU"/>
        </w:rPr>
      </w:r>
    </w:p>
    <w:p>
      <w:pPr>
        <w:ind w:firstLine="709"/>
        <w:jc w:val="both"/>
        <w:spacing w:after="0"/>
        <w:rPr>
          <w:rFonts w:ascii="Times New Roman" w:hAnsi="Times New Roman"/>
          <w:sz w:val="28"/>
          <w:szCs w:val="28"/>
        </w:rPr>
      </w:pPr>
      <w:r>
        <w:rPr>
          <w:rFonts w:ascii="Times New Roman" w:hAnsi="Times New Roman"/>
          <w:sz w:val="28"/>
          <w:szCs w:val="28"/>
        </w:rPr>
        <w:t xml:space="preserve">Уполномоченным совместно с Молодежным общественным советом во взаимодействии с ивановским правительством и областной Думой в апреле прошлого года дан старт </w:t>
      </w:r>
      <w:r>
        <w:rPr>
          <w:rFonts w:ascii="Times New Roman" w:hAnsi="Times New Roman"/>
          <w:sz w:val="28"/>
          <w:szCs w:val="28"/>
        </w:rPr>
        <w:t xml:space="preserve">правопросветительскому</w:t>
      </w:r>
      <w:r>
        <w:rPr>
          <w:rFonts w:ascii="Times New Roman" w:hAnsi="Times New Roman"/>
          <w:sz w:val="28"/>
          <w:szCs w:val="28"/>
        </w:rPr>
        <w:t xml:space="preserve"> проекту «Право на память». </w:t>
      </w:r>
      <w:r>
        <w:rPr>
          <w:rFonts w:ascii="Times New Roman" w:hAnsi="Times New Roman"/>
          <w:sz w:val="28"/>
          <w:szCs w:val="28"/>
        </w:rPr>
      </w:r>
      <w:r>
        <w:rPr>
          <w:rFonts w:ascii="Times New Roman" w:hAnsi="Times New Roman"/>
          <w:sz w:val="28"/>
          <w:szCs w:val="28"/>
        </w:rPr>
      </w:r>
    </w:p>
    <w:p>
      <w:pPr>
        <w:ind w:firstLine="709"/>
        <w:jc w:val="both"/>
        <w:spacing w:after="0"/>
        <w:rPr>
          <w:rFonts w:ascii="Times New Roman" w:hAnsi="Times New Roman"/>
          <w:sz w:val="28"/>
          <w:szCs w:val="28"/>
        </w:rPr>
      </w:pPr>
      <w:r>
        <w:rPr>
          <w:rFonts w:ascii="Times New Roman" w:hAnsi="Times New Roman"/>
          <w:sz w:val="28"/>
          <w:szCs w:val="28"/>
        </w:rPr>
        <w:t xml:space="preserve">Об этом региональный омбудсмен рассказала на тематической площадке в Музее 98-й гвардейской воздушно-десантной дивизии в г</w:t>
      </w:r>
      <w:r>
        <w:rPr>
          <w:rFonts w:ascii="Times New Roman" w:hAnsi="Times New Roman"/>
          <w:sz w:val="28"/>
          <w:szCs w:val="28"/>
        </w:rPr>
        <w:t xml:space="preserve">.И</w:t>
      </w:r>
      <w:r>
        <w:rPr>
          <w:rFonts w:ascii="Times New Roman" w:hAnsi="Times New Roman"/>
          <w:sz w:val="28"/>
          <w:szCs w:val="28"/>
        </w:rPr>
        <w:t xml:space="preserve">ваново. Место выбрано неслучайно, ведь воины-десантники, как и в 40-е годы, сейчас выполняют боевые задачи по защите рубежей Отечества.</w:t>
      </w:r>
      <w:r>
        <w:rPr>
          <w:rFonts w:ascii="Times New Roman" w:hAnsi="Times New Roman"/>
          <w:sz w:val="28"/>
          <w:szCs w:val="28"/>
        </w:rPr>
        <w:br/>
      </w:r>
      <w:r>
        <w:rPr>
          <w:rFonts w:ascii="Times New Roman" w:hAnsi="Times New Roman"/>
          <w:sz w:val="28"/>
          <w:szCs w:val="28"/>
        </w:rPr>
        <w:t xml:space="preserve">В числе почетных гостей мероприятия: депутат Ивановской областной Думы Александр </w:t>
      </w:r>
      <w:r>
        <w:rPr>
          <w:rFonts w:ascii="Times New Roman" w:hAnsi="Times New Roman"/>
          <w:sz w:val="28"/>
          <w:szCs w:val="28"/>
        </w:rPr>
        <w:t xml:space="preserve">Гусаковский</w:t>
      </w:r>
      <w:r>
        <w:rPr>
          <w:rFonts w:ascii="Times New Roman" w:hAnsi="Times New Roman"/>
          <w:sz w:val="28"/>
          <w:szCs w:val="28"/>
        </w:rPr>
        <w:t xml:space="preserve">, заместитель командира 674 отдельного батальона свя</w:t>
      </w:r>
      <w:r>
        <w:rPr>
          <w:rFonts w:ascii="Times New Roman" w:hAnsi="Times New Roman"/>
          <w:sz w:val="28"/>
          <w:szCs w:val="28"/>
        </w:rPr>
        <w:t xml:space="preserve">зи по военно-политической работе 98-й гвардейской воздушно-десантной дивизии Евгений Золотарев, заместитель председателя фонда «Своих не бросаем» Юрий Шестаков, руководитель Ассоциации ветеранов СВО Владимир Лебедев, председатель Союза десантников Рафаэль </w:t>
      </w:r>
      <w:r>
        <w:rPr>
          <w:rFonts w:ascii="Times New Roman" w:hAnsi="Times New Roman"/>
          <w:sz w:val="28"/>
          <w:szCs w:val="28"/>
        </w:rPr>
        <w:t xml:space="preserve">Нугманов</w:t>
      </w:r>
      <w:r>
        <w:rPr>
          <w:rFonts w:ascii="Times New Roman" w:hAnsi="Times New Roman"/>
          <w:sz w:val="28"/>
          <w:szCs w:val="28"/>
        </w:rPr>
        <w:t xml:space="preserve">, председатель регионального отделения «ОФИЦЕРЫ РОССИИ» Виктор Алешин.</w:t>
      </w:r>
      <w:r>
        <w:rPr>
          <w:rFonts w:ascii="Times New Roman" w:hAnsi="Times New Roman"/>
          <w:sz w:val="28"/>
          <w:szCs w:val="28"/>
        </w:rPr>
      </w:r>
      <w:r>
        <w:rPr>
          <w:rFonts w:ascii="Times New Roman" w:hAnsi="Times New Roman"/>
          <w:sz w:val="28"/>
          <w:szCs w:val="28"/>
        </w:rPr>
      </w:r>
    </w:p>
    <w:p>
      <w:pPr>
        <w:ind w:firstLine="709"/>
        <w:jc w:val="both"/>
        <w:spacing w:after="0"/>
        <w:rPr>
          <w:rFonts w:ascii="Times New Roman" w:hAnsi="Times New Roman"/>
          <w:sz w:val="28"/>
          <w:szCs w:val="28"/>
        </w:rPr>
      </w:pPr>
      <w:r>
        <w:rPr>
          <w:rFonts w:ascii="Times New Roman" w:hAnsi="Times New Roman"/>
          <w:sz w:val="28"/>
          <w:szCs w:val="28"/>
        </w:rPr>
        <w:t xml:space="preserve">В живом диалоге совместно с представителями ветеранских и молодежных организаций обсуждены в</w:t>
      </w:r>
      <w:r>
        <w:rPr>
          <w:rFonts w:ascii="Times New Roman" w:hAnsi="Times New Roman"/>
          <w:sz w:val="28"/>
          <w:szCs w:val="28"/>
        </w:rPr>
        <w:t xml:space="preserve">опросы реализации права на сохранение исторической памяти и защиту правды, зафиксированного в статье 67.1 Конституции Российской Федерации. Затронута тема повышения уровня правовой культуры молодежи, роль самой молодежи в правовом просвещении сверстников. </w:t>
      </w:r>
      <w:r>
        <w:rPr>
          <w:rFonts w:ascii="Times New Roman" w:hAnsi="Times New Roman"/>
          <w:sz w:val="28"/>
          <w:szCs w:val="28"/>
        </w:rPr>
      </w:r>
      <w:r>
        <w:rPr>
          <w:rFonts w:ascii="Times New Roman" w:hAnsi="Times New Roman"/>
          <w:sz w:val="28"/>
          <w:szCs w:val="28"/>
        </w:rPr>
      </w:r>
    </w:p>
    <w:p>
      <w:pPr>
        <w:ind w:firstLine="709"/>
        <w:jc w:val="both"/>
        <w:spacing w:after="0"/>
        <w:rPr>
          <w:rFonts w:ascii="Times New Roman" w:hAnsi="Times New Roman"/>
          <w:sz w:val="28"/>
          <w:szCs w:val="28"/>
        </w:rPr>
      </w:pPr>
      <w:r>
        <w:rPr>
          <w:rFonts w:ascii="Times New Roman" w:hAnsi="Times New Roman"/>
          <w:sz w:val="28"/>
          <w:szCs w:val="28"/>
        </w:rPr>
        <w:t xml:space="preserve">Правозащитник подчеркнула, что просветительский проект по защите права на сохранение исторической памяти «Право на память» – это комплекс мероприятий и других </w:t>
      </w:r>
      <w:r>
        <w:rPr>
          <w:rFonts w:ascii="Times New Roman" w:hAnsi="Times New Roman"/>
          <w:sz w:val="28"/>
          <w:szCs w:val="28"/>
        </w:rPr>
        <w:t xml:space="preserve">проактивных</w:t>
      </w:r>
      <w:r>
        <w:rPr>
          <w:rFonts w:ascii="Times New Roman" w:hAnsi="Times New Roman"/>
          <w:sz w:val="28"/>
          <w:szCs w:val="28"/>
        </w:rPr>
        <w:t xml:space="preserve"> форм работы, оказания адресной помощи нашим защитникам и их семьям, про</w:t>
      </w:r>
      <w:r>
        <w:rPr>
          <w:rFonts w:ascii="Times New Roman" w:hAnsi="Times New Roman"/>
          <w:sz w:val="28"/>
          <w:szCs w:val="28"/>
        </w:rPr>
        <w:t xml:space="preserve">водимых в области службой Уполномоченного во взаимодействии с соисполнителями Проекта, направленный на укрепление духовно-нравственных ценностей и правовой культуры у молодого поколения, формирование у молодежи целостного представления об истории Отечества</w:t>
      </w:r>
      <w:r>
        <w:rPr>
          <w:rFonts w:ascii="Times New Roman" w:hAnsi="Times New Roman"/>
          <w:sz w:val="28"/>
          <w:szCs w:val="28"/>
        </w:rPr>
        <w:t xml:space="preserve">. </w:t>
      </w:r>
      <w:r>
        <w:rPr>
          <w:rFonts w:ascii="Times New Roman" w:hAnsi="Times New Roman"/>
          <w:sz w:val="28"/>
          <w:szCs w:val="28"/>
        </w:rPr>
      </w:r>
      <w:r>
        <w:rPr>
          <w:rFonts w:ascii="Times New Roman" w:hAnsi="Times New Roman"/>
          <w:sz w:val="28"/>
          <w:szCs w:val="28"/>
        </w:rPr>
      </w:r>
    </w:p>
    <w:p>
      <w:pPr>
        <w:jc w:val="both"/>
        <w:rPr>
          <w:rFonts w:ascii="Times New Roman" w:hAnsi="Times New Roman"/>
          <w:sz w:val="28"/>
          <w:szCs w:val="28"/>
          <w:highlight w:val="none"/>
        </w:rPr>
      </w:pPr>
      <w:r>
        <w:rPr>
          <w:rFonts w:ascii="Times New Roman" w:hAnsi="Times New Roman"/>
          <w:sz w:val="28"/>
          <w:szCs w:val="28"/>
        </w:rPr>
        <w:tab/>
        <w:t xml:space="preserve">Важность работы с молодежью, вовлечение молодых правозащитников в общее дело защиты прав человека неоднократно подчеркивается Уполномоченным по правам человека в РФ Т.Н. </w:t>
      </w:r>
      <w:r>
        <w:rPr>
          <w:rFonts w:ascii="Times New Roman" w:hAnsi="Times New Roman"/>
          <w:sz w:val="28"/>
          <w:szCs w:val="28"/>
        </w:rPr>
        <w:t xml:space="preserve">Москальковой</w:t>
      </w:r>
      <w:r>
        <w:rPr>
          <w:rFonts w:ascii="Times New Roman" w:hAnsi="Times New Roman"/>
          <w:sz w:val="28"/>
          <w:szCs w:val="28"/>
        </w:rPr>
        <w:t xml:space="preserve">. Развитие молодежного правозащитного движения в нашем регионе продолжится и в дальнейшем. </w:t>
      </w:r>
      <w:r>
        <w:rPr>
          <w:rFonts w:ascii="Times New Roman" w:hAnsi="Times New Roman"/>
          <w:sz w:val="28"/>
          <w:szCs w:val="28"/>
          <w:highlight w:val="none"/>
        </w:rPr>
      </w:r>
      <w:r>
        <w:rPr>
          <w:rFonts w:ascii="Times New Roman" w:hAnsi="Times New Roman"/>
          <w:sz w:val="28"/>
          <w:szCs w:val="28"/>
          <w:highlight w:val="none"/>
        </w:rPr>
      </w:r>
    </w:p>
    <w:p>
      <w:pPr>
        <w:pStyle w:val="1226"/>
        <w:jc w:val="center"/>
        <w:rPr>
          <w:rFonts w:ascii="Times New Roman" w:hAnsi="Times New Roman"/>
          <w:b w:val="0"/>
          <w:sz w:val="28"/>
          <w:szCs w:val="28"/>
        </w:rPr>
      </w:pPr>
      <w:r/>
      <w:bookmarkStart w:id="70" w:name="_Toc48"/>
      <w:r>
        <w:rPr>
          <w:rStyle w:val="1252"/>
          <w:rFonts w:ascii="Times New Roman" w:hAnsi="Times New Roman"/>
          <w:b/>
          <w:color w:val="000000" w:themeColor="text1"/>
          <w:sz w:val="28"/>
          <w:szCs w:val="28"/>
        </w:rPr>
        <w:t xml:space="preserve">14.7. О расширении механизмов защиты прав человека</w:t>
      </w:r>
      <w:r>
        <w:rPr>
          <w:rFonts w:ascii="Times New Roman" w:hAnsi="Times New Roman"/>
          <w:b w:val="0"/>
          <w:sz w:val="28"/>
          <w:szCs w:val="28"/>
        </w:rPr>
      </w:r>
      <w:bookmarkEnd w:id="70"/>
      <w:r>
        <w:rPr>
          <w:rFonts w:ascii="Times New Roman" w:hAnsi="Times New Roman"/>
          <w:b w:val="0"/>
          <w:sz w:val="28"/>
          <w:szCs w:val="28"/>
        </w:rPr>
      </w:r>
      <w:r>
        <w:rPr>
          <w:rFonts w:ascii="Times New Roman" w:hAnsi="Times New Roman"/>
          <w:b w:val="0"/>
          <w:sz w:val="28"/>
          <w:szCs w:val="28"/>
        </w:rPr>
      </w:r>
    </w:p>
    <w:p>
      <w:r/>
      <w:r/>
    </w:p>
    <w:p>
      <w:pPr>
        <w:ind w:firstLine="708"/>
        <w:jc w:val="both"/>
        <w:spacing w:after="0"/>
        <w:rPr>
          <w:rFonts w:ascii="Times New Roman" w:hAnsi="Times New Roman"/>
          <w:sz w:val="28"/>
          <w:szCs w:val="28"/>
        </w:rPr>
      </w:pPr>
      <w:r>
        <w:rPr>
          <w:rFonts w:ascii="Times New Roman" w:hAnsi="Times New Roman" w:eastAsia="Times New Roman"/>
          <w:sz w:val="28"/>
          <w:szCs w:val="28"/>
        </w:rPr>
        <w:t xml:space="preserve">Современная модель взаимодействия уполномоченных по правам человека с судебной властью в России доказала свою эффективность. Несмотря на отсутствие </w:t>
      </w:r>
      <w:r>
        <w:rPr>
          <w:rFonts w:ascii="Times New Roman" w:hAnsi="Times New Roman" w:eastAsia="Times New Roman"/>
          <w:sz w:val="28"/>
          <w:szCs w:val="28"/>
        </w:rPr>
        <w:t xml:space="preserve">юрисдикционных</w:t>
      </w:r>
      <w:r>
        <w:rPr>
          <w:rFonts w:ascii="Times New Roman" w:hAnsi="Times New Roman" w:eastAsia="Times New Roman"/>
          <w:sz w:val="28"/>
          <w:szCs w:val="28"/>
        </w:rPr>
        <w:t xml:space="preserve"> функций, регио</w:t>
      </w:r>
      <w:r>
        <w:rPr>
          <w:rFonts w:ascii="Times New Roman" w:hAnsi="Times New Roman" w:eastAsia="Times New Roman"/>
          <w:sz w:val="28"/>
          <w:szCs w:val="28"/>
        </w:rPr>
        <w:t xml:space="preserve">нальные уполномоченные используют механизм судебной защиты для восстановления нарушенных прав граждан. Это становится возможным благодаря положениям статьи 46 Конституции Российской Федерации, гарантирующей судебную защиту прав и свобод каждого гражданина.</w:t>
      </w:r>
      <w:r>
        <w:rPr>
          <w:rFonts w:ascii="Times New Roman" w:hAnsi="Times New Roman"/>
          <w:sz w:val="28"/>
          <w:szCs w:val="28"/>
        </w:rPr>
      </w:r>
      <w:r>
        <w:rPr>
          <w:rFonts w:ascii="Times New Roman" w:hAnsi="Times New Roman"/>
          <w:sz w:val="28"/>
          <w:szCs w:val="28"/>
        </w:rPr>
      </w:r>
    </w:p>
    <w:p>
      <w:pPr>
        <w:ind w:firstLine="708"/>
        <w:jc w:val="both"/>
        <w:spacing w:after="0"/>
        <w:rPr>
          <w:rFonts w:ascii="Times New Roman" w:hAnsi="Times New Roman"/>
          <w:sz w:val="28"/>
          <w:szCs w:val="28"/>
        </w:rPr>
      </w:pPr>
      <w:r>
        <w:rPr>
          <w:rFonts w:ascii="Times New Roman" w:hAnsi="Times New Roman" w:eastAsia="Times New Roman"/>
          <w:sz w:val="28"/>
          <w:szCs w:val="28"/>
        </w:rPr>
        <w:t xml:space="preserve">В рамках своей правозащитной деятельности региональные уполномоченные применяют комплексный </w:t>
      </w:r>
      <w:r>
        <w:rPr>
          <w:rFonts w:ascii="Times New Roman" w:hAnsi="Times New Roman" w:eastAsia="Times New Roman"/>
          <w:sz w:val="28"/>
          <w:szCs w:val="28"/>
        </w:rPr>
        <w:t xml:space="preserve">подход, включающий как внесудебные, так и судебные механизмы защиты прав. Внесудебные меры включают направление письменных рекомендаций государственным и муниципальным органам, организациям и должностным лицам, в действиях которых выявлены нарушения прав. </w:t>
      </w:r>
      <w:r>
        <w:rPr>
          <w:rFonts w:ascii="Times New Roman" w:hAnsi="Times New Roman" w:eastAsia="Times New Roman"/>
          <w:sz w:val="28"/>
          <w:szCs w:val="28"/>
        </w:rPr>
        <w:t xml:space="preserve">Практика</w:t>
      </w:r>
      <w:r>
        <w:rPr>
          <w:rFonts w:ascii="Times New Roman" w:hAnsi="Times New Roman" w:eastAsia="Times New Roman"/>
          <w:color w:val="ff0000"/>
          <w:sz w:val="28"/>
          <w:szCs w:val="28"/>
        </w:rPr>
        <w:t xml:space="preserve"> </w:t>
      </w:r>
      <w:r>
        <w:rPr>
          <w:rFonts w:ascii="Times New Roman" w:hAnsi="Times New Roman" w:eastAsia="Times New Roman"/>
          <w:sz w:val="28"/>
          <w:szCs w:val="28"/>
        </w:rPr>
        <w:t xml:space="preserve">показывает высокую эффективность таких мер, что способствует снижению нагрузки на судебную систему.</w:t>
      </w:r>
      <w:r>
        <w:rPr>
          <w:rFonts w:ascii="Times New Roman" w:hAnsi="Times New Roman"/>
          <w:sz w:val="28"/>
          <w:szCs w:val="28"/>
        </w:rPr>
      </w:r>
      <w:r>
        <w:rPr>
          <w:rFonts w:ascii="Times New Roman" w:hAnsi="Times New Roman"/>
          <w:sz w:val="28"/>
          <w:szCs w:val="28"/>
        </w:rPr>
      </w:r>
    </w:p>
    <w:p>
      <w:pPr>
        <w:ind w:firstLine="708"/>
        <w:jc w:val="both"/>
        <w:spacing w:after="0"/>
        <w:rPr>
          <w:rFonts w:ascii="Times New Roman" w:hAnsi="Times New Roman"/>
          <w:sz w:val="28"/>
          <w:szCs w:val="28"/>
        </w:rPr>
      </w:pPr>
      <w:r>
        <w:rPr>
          <w:rFonts w:ascii="Times New Roman" w:hAnsi="Times New Roman" w:eastAsia="Times New Roman"/>
          <w:sz w:val="28"/>
          <w:szCs w:val="28"/>
        </w:rPr>
        <w:t xml:space="preserve">Вместе с тем, в случаях, когда </w:t>
      </w:r>
      <w:r>
        <w:rPr>
          <w:rFonts w:ascii="Times New Roman" w:hAnsi="Times New Roman" w:eastAsia="Times New Roman"/>
          <w:sz w:val="28"/>
          <w:szCs w:val="28"/>
        </w:rPr>
        <w:t xml:space="preserve">внепроцессуальные</w:t>
      </w:r>
      <w:r>
        <w:rPr>
          <w:rFonts w:ascii="Times New Roman" w:hAnsi="Times New Roman" w:eastAsia="Times New Roman"/>
          <w:sz w:val="28"/>
          <w:szCs w:val="28"/>
        </w:rPr>
        <w:t xml:space="preserve"> меры не приносят должного результата, региональные уполномоченные получают возможность исполь</w:t>
      </w:r>
      <w:r>
        <w:rPr>
          <w:rFonts w:ascii="Times New Roman" w:hAnsi="Times New Roman" w:eastAsia="Times New Roman"/>
          <w:sz w:val="28"/>
          <w:szCs w:val="28"/>
        </w:rPr>
        <w:t xml:space="preserve">зовать судебную защиту. Согласно положениям Кодекса административного судопроизводства РФ, уполномоченный имеет право предъявлять административные иски об оспаривании решений и действий органов власти и должностных лиц в целях защиты прав и свобод граждан.</w:t>
      </w:r>
      <w:r>
        <w:rPr>
          <w:rFonts w:ascii="Times New Roman" w:hAnsi="Times New Roman"/>
          <w:sz w:val="28"/>
          <w:szCs w:val="28"/>
        </w:rPr>
      </w:r>
      <w:r>
        <w:rPr>
          <w:rFonts w:ascii="Times New Roman" w:hAnsi="Times New Roman"/>
          <w:sz w:val="28"/>
          <w:szCs w:val="28"/>
        </w:rPr>
      </w:r>
    </w:p>
    <w:p>
      <w:pPr>
        <w:ind w:firstLine="708"/>
        <w:jc w:val="both"/>
        <w:spacing w:after="0"/>
        <w:rPr>
          <w:rFonts w:ascii="Times New Roman" w:hAnsi="Times New Roman"/>
          <w:sz w:val="28"/>
          <w:szCs w:val="28"/>
        </w:rPr>
      </w:pPr>
      <w:r>
        <w:rPr>
          <w:rFonts w:ascii="Times New Roman" w:hAnsi="Times New Roman" w:eastAsia="Times New Roman"/>
          <w:sz w:val="28"/>
          <w:szCs w:val="28"/>
        </w:rPr>
        <w:t xml:space="preserve">В качестве нового перспективного направления деятельност</w:t>
      </w:r>
      <w:r>
        <w:rPr>
          <w:rFonts w:ascii="Times New Roman" w:hAnsi="Times New Roman" w:eastAsia="Times New Roman"/>
          <w:sz w:val="28"/>
          <w:szCs w:val="28"/>
        </w:rPr>
        <w:t xml:space="preserve">и региональных уполномоченных можно выделить использование административного судопроизводства для защиты прав неопределенного круга лиц. Это направление требует усиления кадровой составляющей и увеличения численности сотрудников в аппарате уполномоченного.</w:t>
      </w:r>
      <w:r>
        <w:rPr>
          <w:rFonts w:ascii="Times New Roman" w:hAnsi="Times New Roman"/>
          <w:sz w:val="28"/>
          <w:szCs w:val="28"/>
        </w:rPr>
      </w:r>
      <w:r>
        <w:rPr>
          <w:rFonts w:ascii="Times New Roman" w:hAnsi="Times New Roman"/>
          <w:sz w:val="28"/>
          <w:szCs w:val="28"/>
        </w:rPr>
      </w:r>
    </w:p>
    <w:p>
      <w:pPr>
        <w:ind w:firstLine="708"/>
        <w:jc w:val="both"/>
        <w:spacing w:after="0"/>
        <w:rPr>
          <w:rFonts w:ascii="Times New Roman" w:hAnsi="Times New Roman"/>
          <w:sz w:val="28"/>
          <w:szCs w:val="28"/>
        </w:rPr>
      </w:pPr>
      <w:r>
        <w:rPr>
          <w:rFonts w:ascii="Times New Roman" w:hAnsi="Times New Roman" w:eastAsia="Times New Roman"/>
          <w:sz w:val="28"/>
          <w:szCs w:val="28"/>
        </w:rPr>
        <w:t xml:space="preserve">Однако для реализации данного направления требуется создание дополнительной штатной единицы по обеспечению качественной работы с обращениями граждан и оперативному реагированию на выявленные нарушения прав.</w:t>
      </w:r>
      <w:r>
        <w:rPr>
          <w:rFonts w:ascii="Times New Roman" w:hAnsi="Times New Roman"/>
          <w:sz w:val="28"/>
          <w:szCs w:val="28"/>
        </w:rPr>
      </w:r>
      <w:r>
        <w:rPr>
          <w:rFonts w:ascii="Times New Roman" w:hAnsi="Times New Roman"/>
          <w:sz w:val="28"/>
          <w:szCs w:val="28"/>
        </w:rPr>
      </w:r>
    </w:p>
    <w:p>
      <w:pPr>
        <w:jc w:val="both"/>
        <w:spacing w:after="0"/>
        <w:rPr>
          <w:rFonts w:ascii="Times New Roman" w:hAnsi="Times New Roman"/>
          <w:sz w:val="28"/>
          <w:szCs w:val="28"/>
          <w:highlight w:val="none"/>
        </w:rPr>
      </w:pPr>
      <w:r>
        <w:tab/>
      </w:r>
      <w:r>
        <w:rPr>
          <w:rFonts w:ascii="Times New Roman" w:hAnsi="Times New Roman" w:eastAsia="Times New Roman"/>
          <w:sz w:val="28"/>
          <w:szCs w:val="28"/>
        </w:rPr>
        <w:t xml:space="preserve">Созд</w:t>
      </w:r>
      <w:r>
        <w:rPr>
          <w:rFonts w:ascii="Times New Roman" w:hAnsi="Times New Roman" w:eastAsia="Times New Roman"/>
          <w:sz w:val="28"/>
          <w:szCs w:val="28"/>
        </w:rPr>
        <w:t xml:space="preserve">ание дополнительной штатной единицы в работе аппарата Уполномоченного требуется также в связи с планируемым внедрением в субъектах Российской Федерации федеральной государственной информационной системы уполномоченных по правам человека (далее - ФГИС УПЧ).</w:t>
      </w:r>
      <w:r>
        <w:rPr>
          <w:rFonts w:ascii="Times New Roman" w:hAnsi="Times New Roman"/>
          <w:sz w:val="28"/>
          <w:szCs w:val="28"/>
        </w:rPr>
      </w:r>
      <w:r>
        <w:rPr>
          <w:rFonts w:ascii="Times New Roman" w:hAnsi="Times New Roman"/>
          <w:sz w:val="28"/>
          <w:szCs w:val="28"/>
          <w:highlight w:val="none"/>
        </w:rPr>
      </w:r>
      <w:r>
        <w:rPr>
          <w:rFonts w:ascii="Times New Roman" w:hAnsi="Times New Roman"/>
          <w:sz w:val="28"/>
          <w:szCs w:val="28"/>
          <w:highlight w:val="none"/>
        </w:rPr>
      </w:r>
      <w:r>
        <w:rPr>
          <w:rFonts w:ascii="Times New Roman" w:hAnsi="Times New Roman"/>
          <w:sz w:val="28"/>
          <w:szCs w:val="28"/>
          <w:highlight w:val="none"/>
        </w:rPr>
      </w:r>
      <w:r>
        <w:rPr>
          <w:rFonts w:ascii="Times New Roman" w:hAnsi="Times New Roman"/>
          <w:sz w:val="28"/>
          <w:szCs w:val="28"/>
          <w:highlight w:val="none"/>
        </w:rPr>
      </w:r>
    </w:p>
    <w:p>
      <w:pPr>
        <w:ind w:firstLine="708"/>
        <w:jc w:val="both"/>
        <w:spacing w:after="0"/>
        <w:rPr>
          <w:rFonts w:ascii="Times New Roman" w:hAnsi="Times New Roman"/>
          <w:sz w:val="28"/>
          <w:szCs w:val="28"/>
        </w:rPr>
      </w:pPr>
      <w:r>
        <w:rPr>
          <w:rFonts w:ascii="Times New Roman" w:hAnsi="Times New Roman" w:eastAsia="Times New Roman"/>
          <w:sz w:val="28"/>
          <w:szCs w:val="28"/>
        </w:rPr>
        <w:t xml:space="preserve">Так, с января 2025 года система успешно</w:t>
      </w:r>
      <w:r>
        <w:rPr>
          <w:rFonts w:ascii="Times New Roman" w:hAnsi="Times New Roman" w:eastAsia="Times New Roman"/>
          <w:sz w:val="28"/>
          <w:szCs w:val="28"/>
        </w:rPr>
        <w:t xml:space="preserve"> введена в эксплуатацию в ряде регионов страны и уже демонстрирует свою эффективность в обеспечении приема и обработки сообщений и обращений по вопросам защиты прав и законных интересов граждан Российской Федерации, а также иностранных граждан и лиц без гр</w:t>
      </w:r>
      <w:r>
        <w:rPr>
          <w:rFonts w:ascii="Times New Roman" w:hAnsi="Times New Roman" w:eastAsia="Times New Roman"/>
          <w:sz w:val="28"/>
          <w:szCs w:val="28"/>
        </w:rPr>
        <w:t xml:space="preserve">ажданства, находящихся на территории РФ. ФГИС УПЧ охватывает и иные вопросы, относящиеся к компетенции Уполномоченного по правам человека в Российской Федерации и региональных уполномоченных, включая Уполномоченного по правам человека в Ивановской области.</w:t>
      </w:r>
      <w:r>
        <w:rPr>
          <w:rFonts w:ascii="Times New Roman" w:hAnsi="Times New Roman"/>
          <w:sz w:val="28"/>
          <w:szCs w:val="28"/>
        </w:rPr>
      </w:r>
      <w:r>
        <w:rPr>
          <w:rFonts w:ascii="Times New Roman" w:hAnsi="Times New Roman"/>
          <w:sz w:val="28"/>
          <w:szCs w:val="28"/>
        </w:rPr>
      </w:r>
    </w:p>
    <w:p>
      <w:pPr>
        <w:ind w:firstLine="708"/>
        <w:jc w:val="both"/>
        <w:spacing w:after="0"/>
        <w:rPr>
          <w:rFonts w:ascii="Times New Roman" w:hAnsi="Times New Roman"/>
        </w:rPr>
      </w:pPr>
      <w:r>
        <w:rPr>
          <w:rFonts w:ascii="Times New Roman" w:hAnsi="Times New Roman" w:eastAsia="Times New Roman"/>
          <w:sz w:val="28"/>
          <w:szCs w:val="28"/>
        </w:rPr>
        <w:t xml:space="preserve"> </w:t>
      </w:r>
      <w:r>
        <w:rPr>
          <w:rFonts w:ascii="Times New Roman" w:hAnsi="Times New Roman" w:eastAsia="Times New Roman"/>
          <w:sz w:val="28"/>
          <w:szCs w:val="28"/>
        </w:rPr>
        <w:t xml:space="preserve">По информации разработчик</w:t>
      </w:r>
      <w:r>
        <w:rPr>
          <w:rFonts w:ascii="Times New Roman" w:hAnsi="Times New Roman" w:eastAsia="Times New Roman"/>
          <w:sz w:val="28"/>
          <w:szCs w:val="28"/>
        </w:rPr>
        <w:t xml:space="preserve">ов система обладает рядом существенных преимуществ: она автоматизирует процессы обработки обращений, что существенно сокращает сроки их рассмотрения, создает единую централизованную базу данных для учета и анализа поступающих запросов, повышает прозрачност</w:t>
      </w:r>
      <w:r>
        <w:rPr>
          <w:rFonts w:ascii="Times New Roman" w:hAnsi="Times New Roman" w:eastAsia="Times New Roman"/>
          <w:sz w:val="28"/>
          <w:szCs w:val="28"/>
        </w:rPr>
        <w:t xml:space="preserve">ь взаимодействия между гражданами и институтами защиты прав человека, обеспечивает оперативный межведомственный обмен информацией, а также позволяет формировать объективную статистику и аналитические отчеты для совершенствования правозащитной работы как на</w:t>
      </w:r>
      <w:r>
        <w:rPr>
          <w:rFonts w:ascii="Times New Roman" w:hAnsi="Times New Roman" w:eastAsia="Times New Roman"/>
          <w:sz w:val="28"/>
          <w:szCs w:val="28"/>
        </w:rPr>
        <w:t xml:space="preserve"> региональном, так и на федеральном уровнях.</w:t>
      </w:r>
      <w:r>
        <w:rPr>
          <w:rFonts w:ascii="Times New Roman" w:hAnsi="Times New Roman"/>
        </w:rPr>
      </w:r>
      <w:r>
        <w:rPr>
          <w:rFonts w:ascii="Times New Roman" w:hAnsi="Times New Roman"/>
        </w:rPr>
      </w:r>
    </w:p>
    <w:p>
      <w:pPr>
        <w:ind w:firstLine="708"/>
        <w:jc w:val="both"/>
        <w:spacing w:after="0"/>
        <w:rPr>
          <w:highlight w:val="none"/>
        </w:rPr>
      </w:pPr>
      <w:r>
        <w:rPr>
          <w:rFonts w:ascii="Times New Roman" w:hAnsi="Times New Roman" w:eastAsia="Times New Roman"/>
          <w:sz w:val="28"/>
          <w:szCs w:val="28"/>
        </w:rPr>
        <w:t xml:space="preserve"> </w:t>
      </w:r>
      <w:r>
        <w:rPr>
          <w:rFonts w:ascii="Times New Roman" w:hAnsi="Times New Roman" w:eastAsia="Times New Roman"/>
          <w:sz w:val="28"/>
          <w:szCs w:val="28"/>
        </w:rPr>
        <w:t xml:space="preserve">На состоявшемся  рабочем совещании Комитета Государственной Думы по развитию гражданского общества, вопросам общественных и религиозных объединений совместно с Уполномоченным по правам человека в Российской Федерации Т.Н. </w:t>
      </w:r>
      <w:r>
        <w:rPr>
          <w:rFonts w:ascii="Times New Roman" w:hAnsi="Times New Roman" w:eastAsia="Times New Roman"/>
          <w:sz w:val="28"/>
          <w:szCs w:val="28"/>
        </w:rPr>
        <w:t xml:space="preserve">Москальковой</w:t>
      </w:r>
      <w:r>
        <w:rPr>
          <w:rFonts w:ascii="Times New Roman" w:hAnsi="Times New Roman" w:eastAsia="Times New Roman"/>
          <w:sz w:val="28"/>
          <w:szCs w:val="28"/>
        </w:rPr>
        <w:t xml:space="preserve"> на тему «Внедрение ФГИС УПЧ в субъектах Российской Федерации» участники подвели промежуточные итоги внедрения системы в </w:t>
      </w:r>
      <w:r>
        <w:rPr>
          <w:rFonts w:ascii="Times New Roman" w:hAnsi="Times New Roman" w:eastAsia="Times New Roman"/>
          <w:sz w:val="28"/>
          <w:szCs w:val="28"/>
        </w:rPr>
        <w:t xml:space="preserve">пилотных</w:t>
      </w:r>
      <w:r>
        <w:rPr>
          <w:rFonts w:ascii="Times New Roman" w:hAnsi="Times New Roman" w:eastAsia="Times New Roman"/>
          <w:sz w:val="28"/>
          <w:szCs w:val="28"/>
        </w:rPr>
        <w:t xml:space="preserve"> регионах, обсудили типовые сложности, возникающие при подключении субъектов РФ к ФГИС УПЧ, акцентировали внимание на</w:t>
      </w:r>
      <w:r>
        <w:rPr>
          <w:rFonts w:ascii="Times New Roman" w:hAnsi="Times New Roman" w:eastAsia="Times New Roman"/>
          <w:sz w:val="28"/>
          <w:szCs w:val="28"/>
        </w:rPr>
        <w:t xml:space="preserve"> необходимости ускоренного подключения всех уполномоченных по правам человека в субъектах Российской Феде</w:t>
      </w:r>
      <w:r>
        <w:rPr>
          <w:rFonts w:ascii="Times New Roman" w:hAnsi="Times New Roman" w:eastAsia="Times New Roman"/>
          <w:sz w:val="28"/>
          <w:szCs w:val="28"/>
        </w:rPr>
        <w:t xml:space="preserve">рации к системе. По оценкам экспертов  федерального уровня полномасштабное внедрение ФГИС УПЧ позволит создать единую правозащитную инфраструктуру страны и повысить качество защиты прав граждан за счет стандартизации процедур и оперативного обмена данными.</w:t>
      </w:r>
      <w:r>
        <w:rPr>
          <w:highlight w:val="none"/>
        </w:rPr>
      </w:r>
      <w:r>
        <w:rPr>
          <w:highlight w:val="none"/>
        </w:rPr>
      </w:r>
    </w:p>
    <w:p>
      <w:pPr>
        <w:pStyle w:val="1226"/>
        <w:jc w:val="left"/>
        <w:rPr>
          <w:highlight w:val="none"/>
        </w:rPr>
      </w:pPr>
      <w:r>
        <w:rPr>
          <w:highlight w:val="none"/>
        </w:rPr>
      </w:r>
      <w:r>
        <w:rPr>
          <w:highlight w:val="none"/>
        </w:rPr>
      </w:r>
      <w:r>
        <w:rPr>
          <w:highlight w:val="none"/>
        </w:rPr>
      </w:r>
    </w:p>
    <w:p>
      <w:pPr>
        <w:pStyle w:val="1226"/>
        <w:rPr>
          <w:highlight w:val="none"/>
        </w:rPr>
      </w:pPr>
      <w:r>
        <w:rPr>
          <w:highlight w:val="none"/>
        </w:rPr>
      </w:r>
      <w:r>
        <w:rPr>
          <w:highlight w:val="none"/>
        </w:rPr>
      </w:r>
    </w:p>
    <w:p>
      <w:pPr>
        <w:pStyle w:val="1226"/>
        <w:rPr>
          <w:highlight w:val="none"/>
        </w:rPr>
      </w:pPr>
      <w:r>
        <w:rPr>
          <w:highlight w:val="none"/>
        </w:rPr>
      </w:r>
      <w:r>
        <w:rPr>
          <w:highlight w:val="none"/>
        </w:rPr>
      </w:r>
    </w:p>
    <w:p>
      <w:pPr>
        <w:pStyle w:val="1226"/>
        <w:rPr>
          <w:highlight w:val="none"/>
        </w:rPr>
      </w:pPr>
      <w:r>
        <w:rPr>
          <w:highlight w:val="none"/>
        </w:rPr>
      </w:r>
      <w:r>
        <w:rPr>
          <w:highlight w:val="none"/>
        </w:rPr>
      </w:r>
    </w:p>
    <w:p>
      <w:pPr>
        <w:pStyle w:val="1226"/>
        <w:rPr>
          <w:highlight w:val="none"/>
        </w:rPr>
      </w:pPr>
      <w:r>
        <w:rPr>
          <w:highlight w:val="none"/>
        </w:rPr>
      </w:r>
      <w:r>
        <w:rPr>
          <w:highlight w:val="none"/>
        </w:rPr>
      </w:r>
    </w:p>
    <w:p>
      <w:pPr>
        <w:pStyle w:val="1226"/>
        <w:rPr>
          <w:highlight w:val="none"/>
        </w:rPr>
      </w:pPr>
      <w:r>
        <w:rPr>
          <w:highlight w:val="none"/>
        </w:rPr>
      </w:r>
      <w:r>
        <w:rPr>
          <w:highlight w:val="none"/>
        </w:rPr>
      </w:r>
    </w:p>
    <w:p>
      <w:pPr>
        <w:pStyle w:val="1226"/>
        <w:rPr>
          <w:highlight w:val="none"/>
        </w:rPr>
      </w:pPr>
      <w:r/>
      <w:bookmarkStart w:id="71" w:name="_Toc49"/>
      <w:r>
        <w:rPr>
          <w:rFonts w:ascii="Times New Roman" w:hAnsi="Times New Roman" w:eastAsia="Times New Roman"/>
          <w:b/>
          <w:bCs/>
          <w:sz w:val="28"/>
          <w:szCs w:val="28"/>
        </w:rPr>
        <w:t xml:space="preserve">Уполномоченный рекомендует:</w:t>
      </w:r>
      <w:r>
        <w:rPr>
          <w:rFonts w:ascii="Times New Roman" w:hAnsi="Times New Roman"/>
          <w:b/>
          <w:bCs/>
          <w:sz w:val="28"/>
          <w:szCs w:val="28"/>
        </w:rPr>
      </w:r>
      <w:bookmarkEnd w:id="71"/>
      <w:r>
        <w:rPr>
          <w:highlight w:val="none"/>
        </w:rPr>
      </w:r>
      <w:r>
        <w:rPr>
          <w:highlight w:val="none"/>
        </w:rPr>
      </w:r>
      <w:r/>
      <w:r/>
      <w:r>
        <w:rPr>
          <w:highlight w:val="none"/>
        </w:rPr>
      </w:r>
    </w:p>
    <w:p>
      <w:r/>
      <w:r/>
    </w:p>
    <w:p>
      <w:pPr>
        <w:jc w:val="both"/>
        <w:spacing w:after="0"/>
        <w:rPr>
          <w:rFonts w:ascii="Times New Roman" w:hAnsi="Times New Roman"/>
          <w:b/>
          <w:bCs/>
          <w:i/>
          <w:sz w:val="28"/>
          <w:szCs w:val="28"/>
        </w:rPr>
      </w:pPr>
      <w:r>
        <w:rPr>
          <w:rFonts w:ascii="Times New Roman" w:hAnsi="Times New Roman"/>
          <w:sz w:val="28"/>
          <w:szCs w:val="28"/>
        </w:rPr>
        <w:tab/>
      </w:r>
      <w:r>
        <w:rPr>
          <w:rFonts w:ascii="Times New Roman" w:hAnsi="Times New Roman"/>
          <w:b/>
          <w:bCs/>
          <w:i/>
          <w:sz w:val="28"/>
          <w:szCs w:val="28"/>
        </w:rPr>
        <w:t xml:space="preserve">Правительству Ивановской области (Аппарату Правительства Ивановской области):</w:t>
      </w:r>
      <w:r>
        <w:rPr>
          <w:rFonts w:ascii="Times New Roman" w:hAnsi="Times New Roman"/>
          <w:b/>
          <w:bCs/>
          <w:i/>
          <w:sz w:val="28"/>
          <w:szCs w:val="28"/>
        </w:rPr>
      </w:r>
      <w:r>
        <w:rPr>
          <w:rFonts w:ascii="Times New Roman" w:hAnsi="Times New Roman"/>
          <w:b/>
          <w:bCs/>
          <w:i/>
          <w:sz w:val="28"/>
          <w:szCs w:val="28"/>
        </w:rPr>
      </w:r>
    </w:p>
    <w:p>
      <w:pPr>
        <w:pStyle w:val="1227"/>
        <w:numPr>
          <w:ilvl w:val="0"/>
          <w:numId w:val="181"/>
        </w:numPr>
        <w:ind w:left="0" w:firstLine="709"/>
        <w:jc w:val="both"/>
        <w:spacing w:line="276" w:lineRule="auto"/>
        <w:rPr>
          <w:rFonts w:ascii="Times New Roman" w:hAnsi="Times New Roman"/>
          <w:sz w:val="28"/>
          <w:szCs w:val="28"/>
          <w:lang w:val="ru-RU"/>
        </w:rPr>
      </w:pPr>
      <w:r>
        <w:rPr>
          <w:rFonts w:ascii="Times New Roman" w:hAnsi="Times New Roman"/>
          <w:sz w:val="28"/>
          <w:szCs w:val="28"/>
          <w:lang w:val="ru-RU"/>
        </w:rPr>
        <w:t xml:space="preserve">рассмотреть возможность подключения к ФГИС УПЧ рабочих мест Уполномоченного и сотрудников отдела по обеспечению деятельности Уполномоченного по правам человека в Ивановской области;</w:t>
      </w:r>
      <w:r>
        <w:rPr>
          <w:rFonts w:ascii="Times New Roman" w:hAnsi="Times New Roman"/>
          <w:sz w:val="28"/>
          <w:szCs w:val="28"/>
          <w:lang w:val="ru-RU"/>
        </w:rPr>
      </w:r>
      <w:r>
        <w:rPr>
          <w:rFonts w:ascii="Times New Roman" w:hAnsi="Times New Roman"/>
          <w:sz w:val="28"/>
          <w:szCs w:val="28"/>
          <w:lang w:val="ru-RU"/>
        </w:rPr>
      </w:r>
    </w:p>
    <w:p>
      <w:pPr>
        <w:pStyle w:val="1227"/>
        <w:numPr>
          <w:ilvl w:val="0"/>
          <w:numId w:val="181"/>
        </w:numPr>
        <w:ind w:left="0" w:firstLine="709"/>
        <w:jc w:val="both"/>
        <w:spacing w:line="276" w:lineRule="auto"/>
        <w:rPr>
          <w:rFonts w:ascii="Times New Roman" w:hAnsi="Times New Roman"/>
          <w:sz w:val="28"/>
          <w:szCs w:val="28"/>
          <w:lang w:val="ru-RU"/>
        </w:rPr>
      </w:pPr>
      <w:r>
        <w:rPr>
          <w:rFonts w:ascii="Times New Roman" w:hAnsi="Times New Roman"/>
          <w:sz w:val="28"/>
          <w:szCs w:val="28"/>
          <w:lang w:val="ru-RU"/>
        </w:rPr>
        <w:t xml:space="preserve">рассмотреть вопрос </w:t>
      </w:r>
      <w:r>
        <w:rPr>
          <w:rFonts w:ascii="Times New Roman" w:hAnsi="Times New Roman"/>
          <w:sz w:val="28"/>
          <w:szCs w:val="28"/>
          <w:lang w:val="ru-RU"/>
        </w:rPr>
        <w:t xml:space="preserve">о введении </w:t>
      </w:r>
      <w:r>
        <w:rPr>
          <w:rFonts w:ascii="Times New Roman" w:hAnsi="Times New Roman" w:eastAsia="Times New Roman"/>
          <w:sz w:val="28"/>
          <w:szCs w:val="28"/>
          <w:lang w:val="ru-RU"/>
        </w:rPr>
        <w:t xml:space="preserve">дополнительных должностей государственной гражданской службы Ивановской области в </w:t>
      </w:r>
      <w:r>
        <w:rPr>
          <w:rFonts w:ascii="Times New Roman" w:hAnsi="Times New Roman"/>
          <w:sz w:val="28"/>
          <w:szCs w:val="28"/>
          <w:lang w:val="ru-RU"/>
        </w:rPr>
        <w:t xml:space="preserve">отдел по обеспечению деятельности Уполномоченного по правам человека в Ивановской области</w:t>
      </w:r>
      <w:r>
        <w:rPr>
          <w:rFonts w:ascii="Times New Roman" w:hAnsi="Times New Roman"/>
          <w:sz w:val="28"/>
          <w:szCs w:val="28"/>
          <w:lang w:val="ru-RU"/>
        </w:rPr>
        <w:t xml:space="preserve"> </w:t>
      </w:r>
      <w:r>
        <w:rPr>
          <w:rFonts w:ascii="Times New Roman" w:hAnsi="Times New Roman" w:eastAsia="Times New Roman"/>
          <w:sz w:val="28"/>
          <w:szCs w:val="28"/>
          <w:lang w:val="ru-RU"/>
        </w:rPr>
        <w:t xml:space="preserve">для обеспечения качественной работы с обращениями граждан и оперативного реагирования на выявленные нарушения прав человека. </w:t>
      </w:r>
      <w:r>
        <w:rPr>
          <w:rFonts w:ascii="Times New Roman" w:hAnsi="Times New Roman"/>
          <w:sz w:val="28"/>
          <w:szCs w:val="28"/>
          <w:lang w:val="ru-RU"/>
        </w:rPr>
      </w:r>
      <w:r>
        <w:rPr>
          <w:rFonts w:ascii="Times New Roman" w:hAnsi="Times New Roman"/>
          <w:sz w:val="28"/>
          <w:szCs w:val="28"/>
          <w:lang w:val="ru-RU"/>
        </w:rPr>
      </w:r>
      <w:r>
        <w:rPr>
          <w:rFonts w:ascii="Times New Roman" w:hAnsi="Times New Roman"/>
          <w:sz w:val="28"/>
          <w:szCs w:val="28"/>
          <w:highlight w:val="none"/>
          <w:lang w:val="ru-RU"/>
        </w:rPr>
      </w:r>
      <w:r>
        <w:rPr>
          <w:rFonts w:ascii="Times New Roman" w:hAnsi="Times New Roman"/>
          <w:sz w:val="28"/>
          <w:szCs w:val="28"/>
          <w:lang w:val="ru-RU"/>
        </w:rPr>
      </w:r>
      <w:r>
        <w:rPr>
          <w:rFonts w:ascii="Times New Roman" w:hAnsi="Times New Roman"/>
          <w:sz w:val="28"/>
          <w:szCs w:val="28"/>
          <w:lang w:val="ru-RU"/>
        </w:rPr>
      </w:r>
      <w:r>
        <w:rPr>
          <w:rFonts w:ascii="Times New Roman" w:hAnsi="Times New Roman"/>
          <w:sz w:val="28"/>
          <w:szCs w:val="28"/>
          <w:lang w:val="ru-RU"/>
        </w:rPr>
      </w:r>
    </w:p>
    <w:p>
      <w:pPr>
        <w:pStyle w:val="1225"/>
        <w:jc w:val="center"/>
      </w:pPr>
      <w:r/>
      <w:bookmarkStart w:id="72" w:name="_Toc50"/>
      <w:r>
        <w:t xml:space="preserve">РАЗДЕЛ 15. ПРАВОВОЕ ПРОСВЕЩЕНИЕ И ПРАВОВОЕ ВОСПИТАНИЕ КАК ИНСТРУМЕНТЫ ФОРМИРОВАНИЯ ПРАВОВОЙ КУЛЬТУРЫ ГРАЖДАН И ЗАЩИТЫ ИХ ПРАВ</w:t>
      </w:r>
      <w:bookmarkEnd w:id="72"/>
      <w:r/>
      <w:r/>
    </w:p>
    <w:p>
      <w:r/>
      <w:r/>
    </w:p>
    <w:p>
      <w:pPr>
        <w:pStyle w:val="1226"/>
        <w:jc w:val="center"/>
        <w:rPr>
          <w:rFonts w:ascii="Times New Roman" w:hAnsi="Times New Roman" w:cs="Times New Roman"/>
          <w:b/>
          <w:bCs/>
          <w:color w:val="auto"/>
          <w:sz w:val="28"/>
          <w:szCs w:val="28"/>
        </w:rPr>
      </w:pPr>
      <w:r/>
      <w:bookmarkStart w:id="73" w:name="_Toc51"/>
      <w:r>
        <w:rPr>
          <w:rFonts w:ascii="Times New Roman" w:hAnsi="Times New Roman" w:cs="Times New Roman"/>
          <w:b/>
          <w:bCs/>
          <w:color w:val="auto"/>
          <w:sz w:val="28"/>
          <w:szCs w:val="28"/>
        </w:rPr>
        <w:t xml:space="preserve">15.1. Правовое просвещение</w:t>
      </w:r>
      <w:r>
        <w:rPr>
          <w:rFonts w:ascii="Times New Roman" w:hAnsi="Times New Roman" w:cs="Times New Roman"/>
          <w:b/>
          <w:bCs/>
          <w:color w:val="auto"/>
          <w:sz w:val="28"/>
          <w:szCs w:val="28"/>
        </w:rPr>
        <w:t xml:space="preserve"> </w:t>
      </w:r>
      <w:r>
        <w:rPr>
          <w:rFonts w:ascii="Times New Roman" w:hAnsi="Times New Roman" w:cs="Times New Roman"/>
          <w:b/>
          <w:bCs/>
          <w:color w:val="auto"/>
          <w:sz w:val="28"/>
          <w:szCs w:val="28"/>
        </w:rPr>
      </w:r>
      <w:bookmarkEnd w:id="73"/>
      <w:r>
        <w:rPr>
          <w:rFonts w:ascii="Times New Roman" w:hAnsi="Times New Roman" w:cs="Times New Roman"/>
          <w:b/>
          <w:bCs/>
          <w:color w:val="auto"/>
          <w:sz w:val="28"/>
          <w:szCs w:val="28"/>
        </w:rPr>
      </w:r>
      <w:r>
        <w:rPr>
          <w:rFonts w:ascii="Times New Roman" w:hAnsi="Times New Roman" w:cs="Times New Roman"/>
          <w:b/>
          <w:bCs/>
          <w:color w:val="auto"/>
          <w:sz w:val="28"/>
          <w:szCs w:val="28"/>
        </w:rPr>
      </w:r>
    </w:p>
    <w:p>
      <w:r/>
      <w:r/>
    </w:p>
    <w:p>
      <w:pPr>
        <w:jc w:val="both"/>
        <w:spacing w:after="0"/>
        <w:rPr>
          <w:rFonts w:ascii="Times New Roman" w:hAnsi="Times New Roman"/>
          <w:sz w:val="28"/>
          <w:szCs w:val="28"/>
        </w:rPr>
      </w:pPr>
      <w:r>
        <w:rPr>
          <w:rFonts w:ascii="Times New Roman" w:hAnsi="Times New Roman"/>
          <w:sz w:val="28"/>
          <w:szCs w:val="28"/>
        </w:rPr>
        <w:tab/>
        <w:t xml:space="preserve">Одной из основных задач Уполномоченного является правовое просвещение граждан. </w:t>
      </w:r>
      <w:r>
        <w:rPr>
          <w:rFonts w:ascii="Times New Roman" w:hAnsi="Times New Roman"/>
          <w:sz w:val="28"/>
          <w:szCs w:val="28"/>
        </w:rPr>
      </w:r>
      <w:r>
        <w:rPr>
          <w:rFonts w:ascii="Times New Roman" w:hAnsi="Times New Roman"/>
          <w:sz w:val="28"/>
          <w:szCs w:val="28"/>
        </w:rPr>
      </w:r>
    </w:p>
    <w:p>
      <w:pPr>
        <w:pStyle w:val="1236"/>
        <w:ind w:firstLine="709"/>
        <w:jc w:val="both"/>
        <w:spacing w:before="0" w:beforeAutospacing="0" w:after="0" w:afterAutospacing="0" w:line="276" w:lineRule="auto"/>
        <w:shd w:val="clear" w:color="auto" w:fill="ffffff"/>
        <w:rPr>
          <w:color w:val="000000"/>
          <w:sz w:val="28"/>
          <w:szCs w:val="28"/>
        </w:rPr>
      </w:pPr>
      <w:r>
        <w:rPr>
          <w:color w:val="000000"/>
          <w:sz w:val="28"/>
          <w:szCs w:val="28"/>
        </w:rPr>
        <w:t xml:space="preserve">В соответствии с Федеральным законом</w:t>
      </w:r>
      <w:r>
        <w:rPr>
          <w:color w:val="000000"/>
          <w:sz w:val="28"/>
          <w:szCs w:val="28"/>
        </w:rPr>
        <w:t xml:space="preserve"> № 48-ФЗ «Об уполномоченных по правам человека в субъектах Российской Федерации» в целях правового просвещения в области прав и свобод человека и гражданина, форм и методов их защиты уполномоченный по правам человека в субъекте Российской Федерации вправе:</w:t>
      </w:r>
      <w:r>
        <w:rPr>
          <w:color w:val="000000"/>
          <w:sz w:val="28"/>
          <w:szCs w:val="28"/>
        </w:rPr>
      </w:r>
      <w:r>
        <w:rPr>
          <w:color w:val="000000"/>
          <w:sz w:val="28"/>
          <w:szCs w:val="28"/>
        </w:rPr>
      </w:r>
    </w:p>
    <w:p>
      <w:pPr>
        <w:pStyle w:val="1236"/>
        <w:ind w:firstLine="709"/>
        <w:jc w:val="both"/>
        <w:spacing w:before="0" w:beforeAutospacing="0" w:after="0" w:afterAutospacing="0" w:line="276" w:lineRule="auto"/>
        <w:shd w:val="clear" w:color="auto" w:fill="ffffff"/>
        <w:rPr>
          <w:color w:val="000000"/>
          <w:sz w:val="28"/>
          <w:szCs w:val="28"/>
        </w:rPr>
      </w:pPr>
      <w:r>
        <w:rPr>
          <w:color w:val="000000"/>
          <w:sz w:val="28"/>
          <w:szCs w:val="28"/>
        </w:rPr>
        <w:t xml:space="preserve">1) распространять в средствах массовой информации, учредителями которых являются органы государственной власти субъекта Российской Федерации и органы местного самоуправления, информацию о правах и свободах человека и гражданина, формах и методах их защиты;</w:t>
      </w:r>
      <w:r>
        <w:rPr>
          <w:color w:val="000000"/>
          <w:sz w:val="28"/>
          <w:szCs w:val="28"/>
        </w:rPr>
      </w:r>
      <w:r>
        <w:rPr>
          <w:color w:val="000000"/>
          <w:sz w:val="28"/>
          <w:szCs w:val="28"/>
        </w:rPr>
      </w:r>
    </w:p>
    <w:p>
      <w:pPr>
        <w:pStyle w:val="1236"/>
        <w:ind w:firstLine="709"/>
        <w:jc w:val="both"/>
        <w:spacing w:before="0" w:beforeAutospacing="0" w:after="0" w:afterAutospacing="0" w:line="276" w:lineRule="auto"/>
        <w:shd w:val="clear" w:color="auto" w:fill="ffffff"/>
        <w:rPr>
          <w:color w:val="000000"/>
          <w:sz w:val="28"/>
          <w:szCs w:val="28"/>
        </w:rPr>
      </w:pPr>
      <w:r>
        <w:rPr>
          <w:color w:val="000000"/>
          <w:sz w:val="28"/>
          <w:szCs w:val="28"/>
        </w:rPr>
        <w:t xml:space="preserve">2) выпускать в пределах утвержденной сметы расходов официальное периодическое издание и иные издания о правах и свободах человека и гражданина;</w:t>
      </w:r>
      <w:r>
        <w:rPr>
          <w:color w:val="000000"/>
          <w:sz w:val="28"/>
          <w:szCs w:val="28"/>
        </w:rPr>
      </w:r>
      <w:r>
        <w:rPr>
          <w:color w:val="000000"/>
          <w:sz w:val="28"/>
          <w:szCs w:val="28"/>
        </w:rPr>
      </w:r>
    </w:p>
    <w:p>
      <w:pPr>
        <w:pStyle w:val="1236"/>
        <w:ind w:firstLine="709"/>
        <w:jc w:val="both"/>
        <w:spacing w:before="0" w:beforeAutospacing="0" w:after="0" w:afterAutospacing="0" w:line="276" w:lineRule="auto"/>
        <w:shd w:val="clear" w:color="auto" w:fill="ffffff"/>
        <w:rPr>
          <w:color w:val="000000"/>
          <w:sz w:val="28"/>
          <w:szCs w:val="28"/>
        </w:rPr>
      </w:pPr>
      <w:r>
        <w:rPr>
          <w:color w:val="000000"/>
          <w:sz w:val="28"/>
          <w:szCs w:val="28"/>
        </w:rPr>
        <w:t xml:space="preserve">3) организовывать и проводить научно-практические конференции, «круглые столы», конкурсы, семинары, совещания и иные публичные мероприятия по проблемам защиты прав и свобод человека и гражданина;</w:t>
      </w:r>
      <w:r>
        <w:rPr>
          <w:color w:val="000000"/>
          <w:sz w:val="28"/>
          <w:szCs w:val="28"/>
        </w:rPr>
      </w:r>
      <w:r>
        <w:rPr>
          <w:color w:val="000000"/>
          <w:sz w:val="28"/>
          <w:szCs w:val="28"/>
        </w:rPr>
      </w:r>
    </w:p>
    <w:p>
      <w:pPr>
        <w:pStyle w:val="1236"/>
        <w:ind w:firstLine="709"/>
        <w:jc w:val="both"/>
        <w:spacing w:before="0" w:beforeAutospacing="0" w:after="0" w:afterAutospacing="0" w:line="276" w:lineRule="auto"/>
        <w:shd w:val="clear" w:color="auto" w:fill="ffffff"/>
        <w:rPr>
          <w:color w:val="000000"/>
          <w:sz w:val="28"/>
          <w:szCs w:val="28"/>
        </w:rPr>
      </w:pPr>
      <w:r>
        <w:rPr>
          <w:color w:val="000000"/>
          <w:sz w:val="28"/>
          <w:szCs w:val="28"/>
        </w:rPr>
        <w:t xml:space="preserve">4) использовать иные формы и методы правового просвещения.</w:t>
      </w:r>
      <w:r>
        <w:rPr>
          <w:color w:val="000000"/>
          <w:sz w:val="28"/>
          <w:szCs w:val="28"/>
        </w:rPr>
      </w:r>
      <w:r>
        <w:rPr>
          <w:color w:val="000000"/>
          <w:sz w:val="28"/>
          <w:szCs w:val="28"/>
        </w:rPr>
      </w:r>
    </w:p>
    <w:p>
      <w:pPr>
        <w:jc w:val="both"/>
        <w:spacing w:after="0"/>
        <w:rPr>
          <w:rFonts w:ascii="Times New Roman" w:hAnsi="Times New Roman"/>
          <w:sz w:val="28"/>
          <w:szCs w:val="28"/>
        </w:rPr>
      </w:pPr>
      <w:r>
        <w:rPr>
          <w:rFonts w:ascii="Times New Roman" w:hAnsi="Times New Roman"/>
          <w:sz w:val="28"/>
          <w:szCs w:val="28"/>
        </w:rPr>
        <w:tab/>
        <w:t xml:space="preserve">Выражение «Незнание закона не освобождает от ответственности» знакомо каждому и не теряет своей актуальности. </w:t>
      </w:r>
      <w:r>
        <w:rPr>
          <w:rFonts w:ascii="Times New Roman" w:hAnsi="Times New Roman"/>
          <w:sz w:val="28"/>
          <w:szCs w:val="28"/>
        </w:rPr>
      </w:r>
      <w:r>
        <w:rPr>
          <w:rFonts w:ascii="Times New Roman" w:hAnsi="Times New Roman"/>
          <w:sz w:val="28"/>
          <w:szCs w:val="28"/>
        </w:rPr>
      </w:r>
    </w:p>
    <w:p>
      <w:pPr>
        <w:ind w:firstLine="708"/>
        <w:jc w:val="both"/>
        <w:spacing w:after="0"/>
        <w:rPr>
          <w:rFonts w:ascii="Times New Roman" w:hAnsi="Times New Roman"/>
          <w:sz w:val="28"/>
          <w:szCs w:val="28"/>
        </w:rPr>
      </w:pPr>
      <w:r>
        <w:rPr>
          <w:rStyle w:val="1238"/>
          <w:rFonts w:ascii="Times New Roman" w:hAnsi="Times New Roman"/>
          <w:sz w:val="28"/>
          <w:szCs w:val="28"/>
          <w:shd w:val="clear" w:color="auto" w:fill="ffffff"/>
        </w:rPr>
        <w:t xml:space="preserve">Правовое просвещение</w:t>
      </w:r>
      <w:r>
        <w:rPr>
          <w:rFonts w:ascii="Times New Roman" w:hAnsi="Times New Roman"/>
          <w:sz w:val="28"/>
          <w:szCs w:val="28"/>
          <w:shd w:val="clear" w:color="auto" w:fill="ffffff"/>
        </w:rPr>
        <w:t xml:space="preserve"> — это распространение в обществе знаний о праве и разъяснение положений нормативных правовых актов, а также практики их применения.</w:t>
      </w:r>
      <w:r>
        <w:rPr>
          <w:rFonts w:ascii="Times New Roman" w:hAnsi="Times New Roman"/>
          <w:sz w:val="28"/>
          <w:szCs w:val="28"/>
        </w:rPr>
      </w:r>
      <w:r>
        <w:rPr>
          <w:rFonts w:ascii="Times New Roman" w:hAnsi="Times New Roman"/>
          <w:sz w:val="28"/>
          <w:szCs w:val="28"/>
        </w:rPr>
      </w:r>
    </w:p>
    <w:p>
      <w:pPr>
        <w:ind w:firstLine="708"/>
        <w:jc w:val="both"/>
        <w:spacing w:after="0"/>
        <w:rPr>
          <w:rFonts w:ascii="Times New Roman" w:hAnsi="Times New Roman"/>
          <w:sz w:val="28"/>
          <w:szCs w:val="28"/>
        </w:rPr>
      </w:pPr>
      <w:r>
        <w:rPr>
          <w:rFonts w:ascii="Times New Roman" w:hAnsi="Times New Roman"/>
          <w:sz w:val="28"/>
          <w:szCs w:val="28"/>
        </w:rPr>
        <w:t xml:space="preserve">Получая юридическую информацию в доступной  и понятной форме, человек узнает об инструментах и способах защиты своих прав, получает   возможность более качественно реализовывать свои права и защищать свои интересы.</w:t>
      </w:r>
      <w:r>
        <w:rPr>
          <w:rFonts w:ascii="Times New Roman" w:hAnsi="Times New Roman"/>
          <w:sz w:val="28"/>
          <w:szCs w:val="28"/>
        </w:rPr>
      </w:r>
      <w:r>
        <w:rPr>
          <w:rFonts w:ascii="Times New Roman" w:hAnsi="Times New Roman"/>
          <w:sz w:val="28"/>
          <w:szCs w:val="28"/>
        </w:rPr>
      </w:r>
    </w:p>
    <w:p>
      <w:pPr>
        <w:jc w:val="both"/>
        <w:spacing w:after="0"/>
        <w:rPr>
          <w:rFonts w:ascii="Times New Roman" w:hAnsi="Times New Roman"/>
          <w:color w:val="0a0a0a"/>
          <w:sz w:val="28"/>
          <w:szCs w:val="28"/>
          <w:shd w:val="clear" w:color="auto" w:fill="ffffff"/>
        </w:rPr>
      </w:pPr>
      <w:r>
        <w:rPr>
          <w:rFonts w:ascii="Times New Roman" w:hAnsi="Times New Roman"/>
          <w:sz w:val="28"/>
          <w:szCs w:val="28"/>
        </w:rPr>
        <w:tab/>
      </w:r>
      <w:r>
        <w:rPr>
          <w:rFonts w:ascii="Times New Roman" w:hAnsi="Times New Roman"/>
          <w:color w:val="0a0a0a"/>
          <w:sz w:val="28"/>
          <w:szCs w:val="28"/>
          <w:shd w:val="clear" w:color="auto" w:fill="ffffff"/>
        </w:rPr>
        <w:t xml:space="preserve">В Российской Федерации правовому просвещению и правовом</w:t>
      </w:r>
      <w:r>
        <w:rPr>
          <w:rFonts w:ascii="Times New Roman" w:hAnsi="Times New Roman"/>
          <w:color w:val="0a0a0a"/>
          <w:sz w:val="28"/>
          <w:szCs w:val="28"/>
          <w:shd w:val="clear" w:color="auto" w:fill="ffffff"/>
        </w:rPr>
        <w:t xml:space="preserve">у информированию граждан придается серьезное значение и уделяется большое внимание в силу того, что именно правовое просвещение и информирование способствуют соблюдению норм законодательства, уменьшению уровня преступности, преодолению правового нигилизма.</w:t>
      </w:r>
      <w:r>
        <w:rPr>
          <w:rFonts w:ascii="Times New Roman" w:hAnsi="Times New Roman"/>
          <w:color w:val="0a0a0a"/>
          <w:sz w:val="28"/>
          <w:szCs w:val="28"/>
          <w:shd w:val="clear" w:color="auto" w:fill="ffffff"/>
        </w:rPr>
      </w:r>
      <w:r>
        <w:rPr>
          <w:rFonts w:ascii="Times New Roman" w:hAnsi="Times New Roman"/>
          <w:color w:val="0a0a0a"/>
          <w:sz w:val="28"/>
          <w:szCs w:val="28"/>
          <w:shd w:val="clear" w:color="auto" w:fill="ffffff"/>
        </w:rPr>
      </w:r>
    </w:p>
    <w:p>
      <w:pPr>
        <w:jc w:val="both"/>
        <w:spacing w:after="0"/>
        <w:rPr>
          <w:rFonts w:ascii="Times New Roman" w:hAnsi="Times New Roman"/>
          <w:sz w:val="28"/>
          <w:szCs w:val="28"/>
        </w:rPr>
      </w:pPr>
      <w:r>
        <w:rPr>
          <w:rFonts w:ascii="Times New Roman" w:hAnsi="Times New Roman"/>
          <w:color w:val="0a0a0a"/>
          <w:sz w:val="28"/>
          <w:szCs w:val="28"/>
          <w:shd w:val="clear" w:color="auto" w:fill="ffffff"/>
        </w:rPr>
        <w:tab/>
        <w:t xml:space="preserve">Ежегодно в Ивановской области проходят правовые проекты по линии института </w:t>
      </w:r>
      <w:r>
        <w:rPr>
          <w:rFonts w:ascii="Times New Roman" w:hAnsi="Times New Roman"/>
          <w:color w:val="0a0a0a"/>
          <w:sz w:val="28"/>
          <w:szCs w:val="28"/>
          <w:shd w:val="clear" w:color="auto" w:fill="ffffff"/>
        </w:rPr>
        <w:t xml:space="preserve">правозащиты</w:t>
      </w:r>
      <w:r>
        <w:rPr>
          <w:rFonts w:ascii="Times New Roman" w:hAnsi="Times New Roman"/>
          <w:color w:val="0a0a0a"/>
          <w:sz w:val="28"/>
          <w:szCs w:val="28"/>
          <w:shd w:val="clear" w:color="auto" w:fill="ffffff"/>
        </w:rPr>
        <w:t xml:space="preserve">. </w:t>
      </w:r>
      <w:r>
        <w:rPr>
          <w:rFonts w:ascii="Times New Roman" w:hAnsi="Times New Roman"/>
          <w:sz w:val="28"/>
          <w:szCs w:val="28"/>
        </w:rPr>
      </w:r>
      <w:r>
        <w:rPr>
          <w:rFonts w:ascii="Times New Roman" w:hAnsi="Times New Roman"/>
          <w:sz w:val="28"/>
          <w:szCs w:val="28"/>
        </w:rPr>
      </w:r>
    </w:p>
    <w:p>
      <w:pPr>
        <w:ind w:firstLine="708"/>
        <w:jc w:val="both"/>
        <w:spacing w:after="0"/>
        <w:rPr>
          <w:rFonts w:ascii="Times New Roman" w:hAnsi="Times New Roman"/>
          <w:sz w:val="28"/>
          <w:szCs w:val="28"/>
        </w:rPr>
      </w:pPr>
      <w:r>
        <w:rPr>
          <w:rFonts w:ascii="Times New Roman" w:hAnsi="Times New Roman"/>
          <w:sz w:val="28"/>
          <w:szCs w:val="28"/>
        </w:rPr>
        <w:t xml:space="preserve">Так, в ходе проведения Всероссийского дня правовой помощи детям Уполномоченный</w:t>
      </w:r>
      <w:r>
        <w:rPr>
          <w:rFonts w:ascii="Times New Roman" w:hAnsi="Times New Roman"/>
          <w:sz w:val="28"/>
          <w:szCs w:val="28"/>
        </w:rPr>
        <w:t xml:space="preserve"> Светлана Шмелева выступила инициатором важной площадки, где состоялось обсуждение проблемы, касающейся здоровья и будущего наших детей. В Центральной универсальной научной библиотеке правозащитным институтом организована «правовая гостиная». В</w:t>
      </w:r>
      <w:r>
        <w:rPr>
          <w:rFonts w:ascii="Times New Roman" w:hAnsi="Times New Roman"/>
          <w:sz w:val="28"/>
          <w:szCs w:val="28"/>
        </w:rPr>
        <w:t xml:space="preserve">ыбор темы затронули вопросы борьбы с вредными привычками в подростковой среде. Последнее время  все чаще  в социальных сетях, на личных приемах и на родительских собраниях в образовательных учреждениях взрослые бьют тревогу, защищая подрастающее поколение.</w:t>
      </w:r>
      <w:r>
        <w:rPr>
          <w:rFonts w:ascii="Times New Roman" w:hAnsi="Times New Roman"/>
          <w:sz w:val="28"/>
          <w:szCs w:val="28"/>
        </w:rPr>
      </w:r>
      <w:r>
        <w:rPr>
          <w:rFonts w:ascii="Times New Roman" w:hAnsi="Times New Roman"/>
          <w:sz w:val="28"/>
          <w:szCs w:val="28"/>
        </w:rPr>
      </w:r>
    </w:p>
    <w:p>
      <w:pPr>
        <w:ind w:firstLine="708"/>
        <w:jc w:val="both"/>
        <w:spacing w:after="0"/>
        <w:rPr>
          <w:rFonts w:ascii="Times New Roman" w:hAnsi="Times New Roman"/>
          <w:sz w:val="28"/>
          <w:szCs w:val="28"/>
        </w:rPr>
      </w:pPr>
      <w:r>
        <w:rPr>
          <w:rFonts w:ascii="Times New Roman" w:hAnsi="Times New Roman"/>
          <w:sz w:val="28"/>
          <w:szCs w:val="28"/>
        </w:rPr>
        <w:t xml:space="preserve">Данное мероприятие было направлено на профилактику потребления никотина среди несовершеннолетних. Около 160 ребят собрались, чтобы встретиться со специалистами и поговорить о </w:t>
      </w:r>
      <w:r>
        <w:rPr>
          <w:rFonts w:ascii="Times New Roman" w:hAnsi="Times New Roman"/>
          <w:sz w:val="28"/>
          <w:szCs w:val="28"/>
        </w:rPr>
        <w:t xml:space="preserve">сокровенном</w:t>
      </w:r>
      <w:r>
        <w:rPr>
          <w:rFonts w:ascii="Times New Roman" w:hAnsi="Times New Roman"/>
          <w:sz w:val="28"/>
          <w:szCs w:val="28"/>
        </w:rPr>
        <w:t xml:space="preserve">.</w:t>
      </w:r>
      <w:r>
        <w:rPr>
          <w:rFonts w:ascii="Times New Roman" w:hAnsi="Times New Roman"/>
          <w:sz w:val="28"/>
          <w:szCs w:val="28"/>
        </w:rPr>
      </w:r>
      <w:r>
        <w:rPr>
          <w:rFonts w:ascii="Times New Roman" w:hAnsi="Times New Roman"/>
          <w:sz w:val="28"/>
          <w:szCs w:val="28"/>
        </w:rPr>
      </w:r>
    </w:p>
    <w:p>
      <w:pPr>
        <w:ind w:firstLine="708"/>
        <w:jc w:val="both"/>
        <w:spacing w:after="0"/>
        <w:rPr>
          <w:rFonts w:ascii="Times New Roman" w:hAnsi="Times New Roman"/>
          <w:sz w:val="28"/>
          <w:szCs w:val="28"/>
        </w:rPr>
      </w:pPr>
      <w:r>
        <w:rPr>
          <w:rFonts w:ascii="Times New Roman" w:hAnsi="Times New Roman"/>
          <w:sz w:val="28"/>
          <w:szCs w:val="28"/>
        </w:rPr>
        <w:t xml:space="preserve">В формате общения подросткам напомнили о том, насколько хрупко здоровье подрастающего поколения, как важно оградить современных подростков от пагубных привычек.</w:t>
      </w:r>
      <w:r>
        <w:rPr>
          <w:rFonts w:ascii="Times New Roman" w:hAnsi="Times New Roman"/>
          <w:sz w:val="28"/>
          <w:szCs w:val="28"/>
        </w:rPr>
      </w:r>
      <w:r>
        <w:rPr>
          <w:rFonts w:ascii="Times New Roman" w:hAnsi="Times New Roman"/>
          <w:sz w:val="28"/>
          <w:szCs w:val="28"/>
        </w:rPr>
      </w:r>
    </w:p>
    <w:p>
      <w:pPr>
        <w:ind w:firstLine="708"/>
        <w:jc w:val="both"/>
        <w:spacing w:after="0"/>
        <w:rPr>
          <w:rFonts w:ascii="Times New Roman" w:hAnsi="Times New Roman"/>
          <w:sz w:val="28"/>
          <w:szCs w:val="28"/>
        </w:rPr>
      </w:pPr>
      <w:r>
        <w:rPr>
          <w:rFonts w:ascii="Times New Roman" w:hAnsi="Times New Roman"/>
          <w:sz w:val="28"/>
          <w:szCs w:val="28"/>
        </w:rPr>
        <w:t xml:space="preserve">В ходе встречи подростки получили ценную информацию о вреде электронных сигарет и других </w:t>
      </w:r>
      <w:r>
        <w:rPr>
          <w:rFonts w:ascii="Times New Roman" w:hAnsi="Times New Roman"/>
          <w:sz w:val="28"/>
          <w:szCs w:val="28"/>
        </w:rPr>
        <w:t xml:space="preserve">никотиносодержащих</w:t>
      </w:r>
      <w:r>
        <w:rPr>
          <w:rFonts w:ascii="Times New Roman" w:hAnsi="Times New Roman"/>
          <w:sz w:val="28"/>
          <w:szCs w:val="28"/>
        </w:rPr>
        <w:t xml:space="preserve"> продуктов. Они узнали о реальных последствиях, таких как «</w:t>
      </w:r>
      <w:r>
        <w:rPr>
          <w:rFonts w:ascii="Times New Roman" w:hAnsi="Times New Roman"/>
          <w:sz w:val="28"/>
          <w:szCs w:val="28"/>
        </w:rPr>
        <w:t xml:space="preserve">попкорновая</w:t>
      </w:r>
      <w:r>
        <w:rPr>
          <w:rFonts w:ascii="Times New Roman" w:hAnsi="Times New Roman"/>
          <w:sz w:val="28"/>
          <w:szCs w:val="28"/>
        </w:rPr>
        <w:t xml:space="preserve"> болезнь» и фиброз легких, о составе </w:t>
      </w:r>
      <w:r>
        <w:rPr>
          <w:rFonts w:ascii="Times New Roman" w:hAnsi="Times New Roman"/>
          <w:sz w:val="28"/>
          <w:szCs w:val="28"/>
        </w:rPr>
        <w:t xml:space="preserve">вейпов</w:t>
      </w:r>
      <w:r>
        <w:rPr>
          <w:rFonts w:ascii="Times New Roman" w:hAnsi="Times New Roman"/>
          <w:sz w:val="28"/>
          <w:szCs w:val="28"/>
        </w:rPr>
        <w:t xml:space="preserve"> и его влиянии на организм, а также о психологических рисках, связанных с зависимостью. </w:t>
      </w:r>
      <w:r>
        <w:rPr>
          <w:rFonts w:ascii="Times New Roman" w:hAnsi="Times New Roman"/>
          <w:sz w:val="28"/>
          <w:szCs w:val="28"/>
        </w:rPr>
      </w:r>
      <w:r>
        <w:rPr>
          <w:rFonts w:ascii="Times New Roman" w:hAnsi="Times New Roman"/>
          <w:sz w:val="28"/>
          <w:szCs w:val="28"/>
        </w:rPr>
      </w:r>
    </w:p>
    <w:p>
      <w:pPr>
        <w:ind w:firstLine="708"/>
        <w:jc w:val="both"/>
        <w:spacing w:after="0"/>
        <w:rPr>
          <w:rFonts w:ascii="Times New Roman" w:hAnsi="Times New Roman"/>
          <w:sz w:val="28"/>
          <w:szCs w:val="28"/>
        </w:rPr>
      </w:pPr>
      <w:r>
        <w:rPr>
          <w:rFonts w:ascii="Times New Roman" w:hAnsi="Times New Roman"/>
          <w:sz w:val="28"/>
          <w:szCs w:val="28"/>
        </w:rPr>
        <w:t xml:space="preserve">Живое общение с врачами - специалистами (психотерапевтом, аллергологом, пульмонологом), а также с инспектором ПДН, сотрудником </w:t>
      </w:r>
      <w:r>
        <w:rPr>
          <w:rFonts w:ascii="Times New Roman" w:hAnsi="Times New Roman"/>
          <w:sz w:val="28"/>
          <w:szCs w:val="28"/>
        </w:rPr>
        <w:t xml:space="preserve">наркоконтроля</w:t>
      </w:r>
      <w:r>
        <w:rPr>
          <w:rFonts w:ascii="Times New Roman" w:hAnsi="Times New Roman"/>
          <w:sz w:val="28"/>
          <w:szCs w:val="28"/>
        </w:rPr>
        <w:t xml:space="preserve"> позволило молодёжи принять участие в честном и открытом разговоре о законах, действующих на территории нашей страны, ответственности и цене необдуманных решений.</w:t>
      </w:r>
      <w:r>
        <w:rPr>
          <w:rFonts w:ascii="Times New Roman" w:hAnsi="Times New Roman"/>
          <w:sz w:val="28"/>
          <w:szCs w:val="28"/>
        </w:rPr>
      </w:r>
      <w:r>
        <w:rPr>
          <w:rFonts w:ascii="Times New Roman" w:hAnsi="Times New Roman"/>
          <w:sz w:val="28"/>
          <w:szCs w:val="28"/>
        </w:rPr>
      </w:r>
    </w:p>
    <w:p>
      <w:pPr>
        <w:ind w:firstLine="708"/>
        <w:jc w:val="both"/>
        <w:spacing w:after="0"/>
        <w:rPr>
          <w:rFonts w:ascii="Times New Roman" w:hAnsi="Times New Roman"/>
          <w:sz w:val="28"/>
          <w:szCs w:val="28"/>
        </w:rPr>
      </w:pPr>
      <w:r>
        <w:rPr>
          <w:rFonts w:ascii="Times New Roman" w:hAnsi="Times New Roman"/>
          <w:sz w:val="28"/>
          <w:szCs w:val="28"/>
        </w:rPr>
        <w:t xml:space="preserve">Уполномоченный поддерживает инициативу законодателей по ужесточению законодательства и усиления контроля в этой сфере. </w:t>
      </w:r>
      <w:r>
        <w:rPr>
          <w:rFonts w:ascii="Times New Roman" w:hAnsi="Times New Roman"/>
          <w:sz w:val="28"/>
          <w:szCs w:val="28"/>
        </w:rPr>
      </w:r>
      <w:r>
        <w:rPr>
          <w:rFonts w:ascii="Times New Roman" w:hAnsi="Times New Roman"/>
          <w:sz w:val="28"/>
          <w:szCs w:val="28"/>
        </w:rPr>
      </w:r>
    </w:p>
    <w:p>
      <w:pPr>
        <w:ind w:firstLine="708"/>
        <w:jc w:val="both"/>
        <w:spacing w:after="0"/>
        <w:rPr>
          <w:rFonts w:ascii="Times New Roman" w:hAnsi="Times New Roman"/>
          <w:sz w:val="28"/>
          <w:szCs w:val="28"/>
        </w:rPr>
      </w:pPr>
      <w:r>
        <w:rPr>
          <w:rFonts w:ascii="Times New Roman" w:hAnsi="Times New Roman"/>
          <w:sz w:val="28"/>
          <w:szCs w:val="28"/>
        </w:rPr>
        <w:t xml:space="preserve">Важно, что в настоящее время расширяются меры по ограничению распространения и потребления </w:t>
      </w:r>
      <w:r>
        <w:rPr>
          <w:rFonts w:ascii="Times New Roman" w:hAnsi="Times New Roman"/>
          <w:sz w:val="28"/>
          <w:szCs w:val="28"/>
        </w:rPr>
        <w:t xml:space="preserve">вейпов</w:t>
      </w:r>
      <w:r>
        <w:rPr>
          <w:rFonts w:ascii="Times New Roman" w:hAnsi="Times New Roman"/>
          <w:sz w:val="28"/>
          <w:szCs w:val="28"/>
        </w:rPr>
        <w:t xml:space="preserve"> среди несовершеннолетних. </w:t>
      </w:r>
      <w:r>
        <w:rPr>
          <w:rFonts w:ascii="Times New Roman" w:hAnsi="Times New Roman"/>
          <w:sz w:val="28"/>
          <w:szCs w:val="28"/>
        </w:rPr>
      </w:r>
      <w:r>
        <w:rPr>
          <w:rFonts w:ascii="Times New Roman" w:hAnsi="Times New Roman"/>
          <w:sz w:val="28"/>
          <w:szCs w:val="28"/>
        </w:rPr>
      </w:r>
    </w:p>
    <w:p>
      <w:pPr>
        <w:ind w:firstLine="708"/>
        <w:jc w:val="both"/>
        <w:spacing w:after="0"/>
        <w:rPr>
          <w:rFonts w:ascii="Times New Roman" w:hAnsi="Times New Roman"/>
          <w:sz w:val="28"/>
          <w:szCs w:val="28"/>
        </w:rPr>
      </w:pPr>
      <w:r>
        <w:rPr>
          <w:rFonts w:ascii="Times New Roman" w:hAnsi="Times New Roman"/>
          <w:sz w:val="28"/>
          <w:szCs w:val="28"/>
        </w:rPr>
        <w:t xml:space="preserve">Настоящая сила, как справедливо отметили директор библиотеки Валерий Можжухин и другие спикеры, заключается не в саморазрушении, а в стремлении к целям, поддержке близких и уважении к себе.</w:t>
      </w:r>
      <w:r>
        <w:rPr>
          <w:rFonts w:ascii="Times New Roman" w:hAnsi="Times New Roman"/>
          <w:sz w:val="28"/>
          <w:szCs w:val="28"/>
        </w:rPr>
      </w:r>
      <w:r>
        <w:rPr>
          <w:rFonts w:ascii="Times New Roman" w:hAnsi="Times New Roman"/>
          <w:sz w:val="28"/>
          <w:szCs w:val="28"/>
        </w:rPr>
      </w:r>
    </w:p>
    <w:p>
      <w:pPr>
        <w:ind w:firstLine="708"/>
        <w:jc w:val="both"/>
        <w:spacing w:after="0"/>
        <w:rPr>
          <w:rFonts w:ascii="Times New Roman" w:hAnsi="Times New Roman"/>
          <w:sz w:val="28"/>
          <w:szCs w:val="28"/>
        </w:rPr>
      </w:pPr>
      <w:r>
        <w:rPr>
          <w:rFonts w:ascii="Times New Roman" w:hAnsi="Times New Roman"/>
          <w:sz w:val="28"/>
          <w:szCs w:val="28"/>
        </w:rPr>
        <w:t xml:space="preserve">Мероприятие в библиотеке, с его книжной выставкой, памятками, возможностью задать вопросы, стало не просто информационным, но и воспитательным. Оно дало слушателям пищу для размышлений и </w:t>
      </w:r>
      <w:r>
        <w:rPr>
          <w:rFonts w:ascii="Times New Roman" w:hAnsi="Times New Roman"/>
          <w:sz w:val="28"/>
          <w:szCs w:val="28"/>
        </w:rPr>
        <w:t xml:space="preserve">возможность сделать осознанный выбор в пользу здоровья, свободы от никотина, страха и вреда.</w:t>
      </w:r>
      <w:r>
        <w:rPr>
          <w:rFonts w:ascii="Times New Roman" w:hAnsi="Times New Roman"/>
          <w:sz w:val="28"/>
          <w:szCs w:val="28"/>
        </w:rPr>
      </w:r>
      <w:r>
        <w:rPr>
          <w:rFonts w:ascii="Times New Roman" w:hAnsi="Times New Roman"/>
          <w:sz w:val="28"/>
          <w:szCs w:val="28"/>
        </w:rPr>
      </w:r>
    </w:p>
    <w:p>
      <w:pPr>
        <w:ind w:firstLine="708"/>
        <w:jc w:val="both"/>
        <w:spacing w:after="0"/>
        <w:rPr>
          <w:rFonts w:ascii="Times New Roman" w:hAnsi="Times New Roman"/>
          <w:color w:val="000000"/>
          <w:sz w:val="28"/>
          <w:szCs w:val="28"/>
          <w:shd w:val="clear" w:color="auto" w:fill="ffffff"/>
        </w:rPr>
      </w:pPr>
      <w:r>
        <w:rPr>
          <w:rFonts w:ascii="Times New Roman" w:hAnsi="Times New Roman"/>
          <w:color w:val="000000"/>
          <w:sz w:val="28"/>
          <w:szCs w:val="28"/>
          <w:shd w:val="clear" w:color="auto" w:fill="ffffff"/>
        </w:rPr>
        <w:t xml:space="preserve">Ежегодно в регионах нашей стр</w:t>
      </w:r>
      <w:r>
        <w:rPr>
          <w:rFonts w:ascii="Times New Roman" w:hAnsi="Times New Roman"/>
          <w:color w:val="000000"/>
          <w:sz w:val="28"/>
          <w:szCs w:val="28"/>
          <w:shd w:val="clear" w:color="auto" w:fill="ffffff"/>
        </w:rPr>
        <w:t xml:space="preserve">аны в осенний период проходит масштабный просветительский проект «Правовой марафон для пенсионеров», направленный на формирование правовой культуры и социальной адаптации людей старшего поколения. Данный проект инициирован федеральным омбудсменом Татьяной </w:t>
      </w:r>
      <w:r>
        <w:rPr>
          <w:rFonts w:ascii="Times New Roman" w:hAnsi="Times New Roman"/>
          <w:color w:val="000000"/>
          <w:sz w:val="28"/>
          <w:szCs w:val="28"/>
          <w:shd w:val="clear" w:color="auto" w:fill="ffffff"/>
        </w:rPr>
        <w:t xml:space="preserve">Москальковой</w:t>
      </w:r>
      <w:r>
        <w:rPr>
          <w:rFonts w:ascii="Times New Roman" w:hAnsi="Times New Roman"/>
          <w:color w:val="000000"/>
          <w:sz w:val="28"/>
          <w:szCs w:val="28"/>
          <w:shd w:val="clear" w:color="auto" w:fill="ffffff"/>
        </w:rPr>
        <w:t xml:space="preserve">. Главная цель марафона – правовое информирование людей старшего поколения и оказание содействия в защите их прав и законных интересов. </w:t>
      </w:r>
      <w:r>
        <w:rPr>
          <w:rFonts w:ascii="Times New Roman" w:hAnsi="Times New Roman"/>
          <w:color w:val="000000"/>
          <w:sz w:val="28"/>
          <w:szCs w:val="28"/>
          <w:shd w:val="clear" w:color="auto" w:fill="ffffff"/>
        </w:rPr>
      </w:r>
      <w:r>
        <w:rPr>
          <w:rFonts w:ascii="Times New Roman" w:hAnsi="Times New Roman"/>
          <w:color w:val="000000"/>
          <w:sz w:val="28"/>
          <w:szCs w:val="28"/>
          <w:shd w:val="clear" w:color="auto" w:fill="ffffff"/>
        </w:rPr>
      </w:r>
    </w:p>
    <w:p>
      <w:pPr>
        <w:ind w:firstLine="708"/>
        <w:jc w:val="both"/>
        <w:spacing w:after="0"/>
        <w:rPr>
          <w:rFonts w:ascii="Times New Roman" w:hAnsi="Times New Roman"/>
          <w:color w:val="000000"/>
          <w:sz w:val="28"/>
          <w:szCs w:val="28"/>
          <w:shd w:val="clear" w:color="auto" w:fill="ffffff"/>
        </w:rPr>
      </w:pPr>
      <w:r>
        <w:rPr>
          <w:rFonts w:ascii="Times New Roman" w:hAnsi="Times New Roman"/>
          <w:color w:val="000000"/>
          <w:sz w:val="28"/>
          <w:szCs w:val="28"/>
          <w:shd w:val="clear" w:color="auto" w:fill="ffffff"/>
        </w:rPr>
        <w:t xml:space="preserve">Так, в нашей области состоялась тематическая площадка на базе </w:t>
      </w:r>
      <w:r>
        <w:rPr>
          <w:rFonts w:ascii="Times New Roman" w:hAnsi="Times New Roman"/>
          <w:color w:val="000000"/>
          <w:sz w:val="28"/>
          <w:szCs w:val="28"/>
          <w:shd w:val="clear" w:color="auto" w:fill="ffffff"/>
        </w:rPr>
        <w:t xml:space="preserve">Ивановского</w:t>
      </w:r>
      <w:r>
        <w:rPr>
          <w:rFonts w:ascii="Times New Roman" w:hAnsi="Times New Roman"/>
          <w:color w:val="000000"/>
          <w:sz w:val="28"/>
          <w:szCs w:val="28"/>
          <w:shd w:val="clear" w:color="auto" w:fill="ffffff"/>
        </w:rPr>
        <w:t xml:space="preserve"> </w:t>
      </w:r>
      <w:r>
        <w:rPr>
          <w:rFonts w:ascii="Times New Roman" w:hAnsi="Times New Roman"/>
          <w:color w:val="000000"/>
          <w:sz w:val="28"/>
          <w:szCs w:val="28"/>
          <w:shd w:val="clear" w:color="auto" w:fill="ffffff"/>
        </w:rPr>
        <w:t xml:space="preserve">Политеха</w:t>
      </w:r>
      <w:r>
        <w:rPr>
          <w:rFonts w:ascii="Times New Roman" w:hAnsi="Times New Roman"/>
          <w:color w:val="000000"/>
          <w:sz w:val="28"/>
          <w:szCs w:val="28"/>
          <w:shd w:val="clear" w:color="auto" w:fill="ffffff"/>
        </w:rPr>
        <w:t xml:space="preserve">. Уполномоченный Светлана Шмелева совместно </w:t>
      </w:r>
      <w:r>
        <w:rPr>
          <w:rFonts w:ascii="Times New Roman" w:hAnsi="Times New Roman"/>
          <w:color w:val="000000"/>
          <w:sz w:val="28"/>
          <w:szCs w:val="28"/>
          <w:shd w:val="clear" w:color="auto" w:fill="ffffff"/>
        </w:rPr>
        <w:t xml:space="preserve">с</w:t>
      </w:r>
      <w:r>
        <w:rPr>
          <w:rFonts w:ascii="Times New Roman" w:hAnsi="Times New Roman"/>
          <w:color w:val="000000"/>
          <w:sz w:val="28"/>
          <w:szCs w:val="28"/>
          <w:shd w:val="clear" w:color="auto" w:fill="ffffff"/>
        </w:rPr>
        <w:t xml:space="preserve"> </w:t>
      </w:r>
      <w:r>
        <w:rPr>
          <w:rFonts w:ascii="Times New Roman" w:hAnsi="Times New Roman"/>
          <w:color w:val="000000"/>
          <w:sz w:val="28"/>
          <w:szCs w:val="28"/>
          <w:shd w:val="clear" w:color="auto" w:fill="ffffff"/>
        </w:rPr>
        <w:t xml:space="preserve">вице</w:t>
      </w:r>
      <w:r>
        <w:rPr>
          <w:rFonts w:ascii="Times New Roman" w:hAnsi="Times New Roman"/>
          <w:color w:val="000000"/>
          <w:sz w:val="28"/>
          <w:szCs w:val="28"/>
          <w:shd w:val="clear" w:color="auto" w:fill="ffffff"/>
        </w:rPr>
        <w:t xml:space="preserve"> - президентом областной нотариальной палаты, членом Экспертного совета при региональном омбудсмене Ольгой Максимовой встретились с представителями общественного объединения «Университет 3 возраст».</w:t>
      </w:r>
      <w:r>
        <w:rPr>
          <w:rFonts w:ascii="Times New Roman" w:hAnsi="Times New Roman"/>
          <w:color w:val="000000"/>
          <w:sz w:val="28"/>
          <w:szCs w:val="28"/>
          <w:shd w:val="clear" w:color="auto" w:fill="ffffff"/>
        </w:rPr>
      </w:r>
      <w:r>
        <w:rPr>
          <w:rFonts w:ascii="Times New Roman" w:hAnsi="Times New Roman"/>
          <w:color w:val="000000"/>
          <w:sz w:val="28"/>
          <w:szCs w:val="28"/>
          <w:shd w:val="clear" w:color="auto" w:fill="ffffff"/>
        </w:rPr>
      </w:r>
    </w:p>
    <w:p>
      <w:pPr>
        <w:ind w:firstLine="708"/>
        <w:jc w:val="both"/>
        <w:spacing w:after="0"/>
        <w:rPr>
          <w:rFonts w:ascii="Times New Roman" w:hAnsi="Times New Roman"/>
          <w:color w:val="000000"/>
          <w:sz w:val="28"/>
          <w:szCs w:val="28"/>
          <w:shd w:val="clear" w:color="auto" w:fill="ffffff"/>
        </w:rPr>
      </w:pPr>
      <w:r>
        <w:rPr>
          <w:rFonts w:ascii="Times New Roman" w:hAnsi="Times New Roman"/>
          <w:color w:val="000000"/>
          <w:sz w:val="28"/>
          <w:szCs w:val="28"/>
          <w:shd w:val="clear" w:color="auto" w:fill="ffffff"/>
        </w:rPr>
        <w:t xml:space="preserve">Следуе</w:t>
      </w:r>
      <w:r>
        <w:rPr>
          <w:rFonts w:ascii="Times New Roman" w:hAnsi="Times New Roman"/>
          <w:color w:val="000000"/>
          <w:sz w:val="28"/>
          <w:szCs w:val="28"/>
          <w:shd w:val="clear" w:color="auto" w:fill="ffffff"/>
        </w:rPr>
        <w:t xml:space="preserve">т отметить активность представителей серебряного возраста. На встречу пришло 325 граждан. Светланой Шмелевой был представлен информационный материал о возможности получения бесплатной юридической помощи в нашем регионе. Также региональный Уполномоченный по</w:t>
      </w:r>
      <w:r>
        <w:rPr>
          <w:rFonts w:ascii="Times New Roman" w:hAnsi="Times New Roman"/>
          <w:color w:val="000000"/>
          <w:sz w:val="28"/>
          <w:szCs w:val="28"/>
          <w:shd w:val="clear" w:color="auto" w:fill="ffffff"/>
        </w:rPr>
        <w:t xml:space="preserve">знакомила гостей и с контактами федеральной службы омбудсмена, поделилась положительными примерами из своей практики работы по рассмотрению обращений заявителей. Ольга Максимова в общении со слушателями остановилась на вопросах, относящихся к деятельности </w:t>
      </w:r>
      <w:r>
        <w:rPr>
          <w:rFonts w:ascii="Times New Roman" w:hAnsi="Times New Roman"/>
          <w:color w:val="000000"/>
          <w:sz w:val="28"/>
          <w:szCs w:val="28"/>
          <w:shd w:val="clear" w:color="auto" w:fill="ffffff"/>
        </w:rPr>
        <w:t xml:space="preserve">нотариусов. Были подняты вопросы оформления завещания, права собственности. Отдельные заявители были приглашены на личный прием. Важно, чтобы люди старшего поколения знали, куда в случае нарушения их прав обращаться. И помнили о коварных планах мошенников.</w:t>
      </w:r>
      <w:r>
        <w:rPr>
          <w:rFonts w:ascii="Times New Roman" w:hAnsi="Times New Roman"/>
          <w:color w:val="000000"/>
          <w:sz w:val="28"/>
          <w:szCs w:val="28"/>
          <w:shd w:val="clear" w:color="auto" w:fill="ffffff"/>
        </w:rPr>
      </w:r>
      <w:r>
        <w:rPr>
          <w:rFonts w:ascii="Times New Roman" w:hAnsi="Times New Roman"/>
          <w:color w:val="000000"/>
          <w:sz w:val="28"/>
          <w:szCs w:val="28"/>
          <w:shd w:val="clear" w:color="auto" w:fill="ffffff"/>
        </w:rPr>
      </w:r>
    </w:p>
    <w:p>
      <w:pPr>
        <w:ind w:firstLine="708"/>
        <w:jc w:val="both"/>
        <w:spacing w:after="0"/>
        <w:rPr>
          <w:rFonts w:ascii="Times New Roman" w:hAnsi="Times New Roman"/>
          <w:color w:val="000000"/>
          <w:sz w:val="28"/>
          <w:szCs w:val="28"/>
          <w:shd w:val="clear" w:color="auto" w:fill="ffffff"/>
        </w:rPr>
      </w:pPr>
      <w:r>
        <w:rPr>
          <w:rFonts w:ascii="Times New Roman" w:hAnsi="Times New Roman"/>
          <w:color w:val="000000"/>
          <w:sz w:val="28"/>
          <w:szCs w:val="28"/>
          <w:shd w:val="clear" w:color="auto" w:fill="ffffff"/>
        </w:rPr>
        <w:t xml:space="preserve">Традиционный масштабный Всероссийский просветительский проект среди подрастающего поколения Единый урок «Права человека» проводился в нашей области в ноябре-декабре 2025 года. </w:t>
      </w:r>
      <w:r>
        <w:rPr>
          <w:rFonts w:ascii="Times New Roman" w:hAnsi="Times New Roman"/>
          <w:color w:val="000000"/>
          <w:sz w:val="28"/>
          <w:szCs w:val="28"/>
          <w:shd w:val="clear" w:color="auto" w:fill="ffffff"/>
        </w:rPr>
      </w:r>
      <w:r>
        <w:rPr>
          <w:rFonts w:ascii="Times New Roman" w:hAnsi="Times New Roman"/>
          <w:color w:val="000000"/>
          <w:sz w:val="28"/>
          <w:szCs w:val="28"/>
          <w:shd w:val="clear" w:color="auto" w:fill="ffffff"/>
        </w:rPr>
      </w:r>
    </w:p>
    <w:p>
      <w:pPr>
        <w:ind w:firstLine="708"/>
        <w:jc w:val="both"/>
        <w:spacing w:after="0"/>
        <w:rPr>
          <w:rFonts w:ascii="Times New Roman" w:hAnsi="Times New Roman" w:eastAsia="Times New Roman"/>
          <w:color w:val="000000"/>
          <w:sz w:val="28"/>
          <w:szCs w:val="28"/>
        </w:rPr>
        <w:pBdr>
          <w:top w:val="none" w:color="000000" w:sz="4" w:space="0"/>
          <w:left w:val="none" w:color="000000" w:sz="4" w:space="0"/>
          <w:bottom w:val="none" w:color="000000" w:sz="4" w:space="0"/>
          <w:right w:val="none" w:color="000000" w:sz="4" w:space="0"/>
        </w:pBdr>
      </w:pPr>
      <w:r>
        <w:rPr>
          <w:rFonts w:ascii="Times New Roman" w:hAnsi="Times New Roman" w:eastAsia="Times New Roman"/>
          <w:color w:val="000000"/>
          <w:sz w:val="28"/>
          <w:szCs w:val="28"/>
        </w:rPr>
        <w:t xml:space="preserve">В п</w:t>
      </w:r>
      <w:r>
        <w:rPr>
          <w:rFonts w:ascii="Times New Roman" w:hAnsi="Times New Roman" w:eastAsia="Times New Roman"/>
          <w:color w:val="000000"/>
          <w:sz w:val="28"/>
          <w:szCs w:val="28"/>
        </w:rPr>
        <w:t xml:space="preserve">рошлом году «Единый урок» приобрел особую значимость, поскольку был приурочен к важнейшим событиям: Году Защитника Отечества, объявленному Президентом Российской Федерации В. В. Путиным; 80-летию Победы в Великой Отечественной войне 1941-1945 годов. Эта те</w:t>
      </w:r>
      <w:r>
        <w:rPr>
          <w:rFonts w:ascii="Times New Roman" w:hAnsi="Times New Roman" w:eastAsia="Times New Roman"/>
          <w:color w:val="000000"/>
          <w:sz w:val="28"/>
          <w:szCs w:val="28"/>
        </w:rPr>
        <w:t xml:space="preserve">матическая направленность позволила органично соединить вопросы правового просвещения с патриотическим воспитанием, подчеркнув неразрывную связь между знанием своих прав и обязанностей и осознанием исторической ответственности гражданина перед Отечеством. </w:t>
      </w:r>
      <w:r>
        <w:rPr>
          <w:rFonts w:ascii="Times New Roman" w:hAnsi="Times New Roman" w:eastAsia="Times New Roman"/>
          <w:color w:val="000000"/>
          <w:sz w:val="28"/>
          <w:szCs w:val="28"/>
        </w:rPr>
      </w:r>
      <w:r>
        <w:rPr>
          <w:rFonts w:ascii="Times New Roman" w:hAnsi="Times New Roman" w:eastAsia="Times New Roman"/>
          <w:color w:val="000000"/>
          <w:sz w:val="28"/>
          <w:szCs w:val="28"/>
        </w:rPr>
      </w:r>
    </w:p>
    <w:p>
      <w:pPr>
        <w:ind w:firstLine="708"/>
        <w:jc w:val="both"/>
        <w:spacing w:after="0"/>
        <w:rPr>
          <w:rFonts w:ascii="Times New Roman" w:hAnsi="Times New Roman" w:eastAsia="Times New Roman"/>
          <w:color w:val="000000"/>
          <w:sz w:val="28"/>
          <w:szCs w:val="28"/>
        </w:rPr>
        <w:pBdr>
          <w:top w:val="none" w:color="000000" w:sz="4" w:space="0"/>
          <w:left w:val="none" w:color="000000" w:sz="4" w:space="0"/>
          <w:bottom w:val="none" w:color="000000" w:sz="4" w:space="0"/>
          <w:right w:val="none" w:color="000000" w:sz="4" w:space="0"/>
        </w:pBdr>
      </w:pPr>
      <w:r>
        <w:rPr>
          <w:rFonts w:ascii="Times New Roman" w:hAnsi="Times New Roman" w:eastAsia="Times New Roman"/>
          <w:color w:val="000000"/>
          <w:sz w:val="28"/>
          <w:szCs w:val="28"/>
        </w:rPr>
        <w:t xml:space="preserve">Внедрение различных форм общения по правовым темам с молодежью и школьниками охватило всю образовательную сеть региона:</w:t>
      </w:r>
      <w:r>
        <w:rPr>
          <w:rFonts w:ascii="Times New Roman" w:hAnsi="Times New Roman" w:eastAsia="Times New Roman"/>
          <w:color w:val="000000"/>
          <w:sz w:val="28"/>
          <w:szCs w:val="28"/>
        </w:rPr>
      </w:r>
      <w:r>
        <w:rPr>
          <w:rFonts w:ascii="Times New Roman" w:hAnsi="Times New Roman" w:eastAsia="Times New Roman"/>
          <w:color w:val="000000"/>
          <w:sz w:val="28"/>
          <w:szCs w:val="28"/>
        </w:rPr>
      </w:r>
    </w:p>
    <w:p>
      <w:pPr>
        <w:pStyle w:val="1227"/>
        <w:numPr>
          <w:ilvl w:val="0"/>
          <w:numId w:val="91"/>
        </w:numPr>
        <w:ind w:left="0" w:firstLine="709"/>
        <w:jc w:val="both"/>
        <w:spacing w:line="276" w:lineRule="auto"/>
        <w:rPr>
          <w:rFonts w:ascii="Times New Roman" w:hAnsi="Times New Roman" w:eastAsia="Times New Roman"/>
          <w:color w:val="000000"/>
          <w:sz w:val="28"/>
          <w:szCs w:val="28"/>
          <w:lang w:val="ru-RU"/>
        </w:rPr>
        <w:pBdr>
          <w:top w:val="none" w:color="000000" w:sz="4" w:space="0"/>
          <w:left w:val="none" w:color="000000" w:sz="4" w:space="0"/>
          <w:bottom w:val="none" w:color="000000" w:sz="4" w:space="0"/>
          <w:right w:val="none" w:color="000000" w:sz="4" w:space="0"/>
        </w:pBdr>
      </w:pPr>
      <w:r>
        <w:rPr>
          <w:rFonts w:ascii="Times New Roman" w:hAnsi="Times New Roman" w:eastAsia="Times New Roman"/>
          <w:color w:val="000000"/>
          <w:sz w:val="28"/>
          <w:szCs w:val="28"/>
          <w:lang w:val="ru-RU"/>
        </w:rPr>
        <w:t xml:space="preserve">все 49 общеобразовательных учреждений города Иванова;</w:t>
      </w:r>
      <w:r>
        <w:rPr>
          <w:rFonts w:ascii="Times New Roman" w:hAnsi="Times New Roman" w:eastAsia="Times New Roman"/>
          <w:color w:val="000000"/>
          <w:sz w:val="28"/>
          <w:szCs w:val="28"/>
          <w:lang w:val="ru-RU"/>
        </w:rPr>
      </w:r>
      <w:r>
        <w:rPr>
          <w:rFonts w:ascii="Times New Roman" w:hAnsi="Times New Roman" w:eastAsia="Times New Roman"/>
          <w:color w:val="000000"/>
          <w:sz w:val="28"/>
          <w:szCs w:val="28"/>
          <w:lang w:val="ru-RU"/>
        </w:rPr>
      </w:r>
    </w:p>
    <w:p>
      <w:pPr>
        <w:pStyle w:val="1227"/>
        <w:numPr>
          <w:ilvl w:val="0"/>
          <w:numId w:val="91"/>
        </w:numPr>
        <w:ind w:left="0" w:firstLine="709"/>
        <w:jc w:val="both"/>
        <w:spacing w:line="276" w:lineRule="auto"/>
        <w:rPr>
          <w:rFonts w:ascii="Times New Roman" w:hAnsi="Times New Roman" w:eastAsia="Times New Roman"/>
          <w:color w:val="000000"/>
          <w:sz w:val="28"/>
          <w:szCs w:val="28"/>
          <w:lang w:val="ru-RU"/>
        </w:rPr>
        <w:pBdr>
          <w:top w:val="none" w:color="000000" w:sz="4" w:space="0"/>
          <w:left w:val="none" w:color="000000" w:sz="4" w:space="0"/>
          <w:bottom w:val="none" w:color="000000" w:sz="4" w:space="0"/>
          <w:right w:val="none" w:color="000000" w:sz="4" w:space="0"/>
        </w:pBdr>
      </w:pPr>
      <w:r>
        <w:rPr>
          <w:rFonts w:ascii="Times New Roman" w:hAnsi="Times New Roman" w:eastAsia="Times New Roman"/>
          <w:color w:val="000000"/>
          <w:sz w:val="28"/>
          <w:szCs w:val="28"/>
          <w:lang w:val="ru-RU"/>
        </w:rPr>
        <w:t xml:space="preserve">многочисленные образовательные организации Ивановской области.</w:t>
      </w:r>
      <w:r>
        <w:rPr>
          <w:rFonts w:ascii="Times New Roman" w:hAnsi="Times New Roman" w:eastAsia="Times New Roman"/>
          <w:color w:val="000000"/>
          <w:sz w:val="28"/>
          <w:szCs w:val="28"/>
          <w:lang w:val="ru-RU"/>
        </w:rPr>
      </w:r>
      <w:r>
        <w:rPr>
          <w:rFonts w:ascii="Times New Roman" w:hAnsi="Times New Roman" w:eastAsia="Times New Roman"/>
          <w:color w:val="000000"/>
          <w:sz w:val="28"/>
          <w:szCs w:val="28"/>
          <w:lang w:val="ru-RU"/>
        </w:rPr>
      </w:r>
    </w:p>
    <w:p>
      <w:pPr>
        <w:ind w:firstLine="708"/>
        <w:jc w:val="both"/>
        <w:spacing w:after="0"/>
        <w:rPr>
          <w:rFonts w:ascii="Times New Roman" w:hAnsi="Times New Roman" w:eastAsia="Times New Roman"/>
          <w:color w:val="000000"/>
          <w:sz w:val="28"/>
          <w:szCs w:val="28"/>
        </w:rPr>
        <w:pBdr>
          <w:top w:val="none" w:color="000000" w:sz="4" w:space="0"/>
          <w:left w:val="none" w:color="000000" w:sz="4" w:space="0"/>
          <w:bottom w:val="none" w:color="000000" w:sz="4" w:space="0"/>
          <w:right w:val="none" w:color="000000" w:sz="4" w:space="0"/>
        </w:pBdr>
      </w:pPr>
      <w:r>
        <w:rPr>
          <w:rFonts w:ascii="Times New Roman" w:hAnsi="Times New Roman" w:eastAsia="Times New Roman"/>
          <w:color w:val="000000"/>
          <w:sz w:val="28"/>
          <w:szCs w:val="28"/>
        </w:rPr>
        <w:t xml:space="preserve">Следует отметить, что правовые уроки вне расписания отличались разнообразием форматов:</w:t>
      </w:r>
      <w:r>
        <w:rPr>
          <w:rFonts w:ascii="Times New Roman" w:hAnsi="Times New Roman" w:eastAsia="Times New Roman"/>
          <w:color w:val="000000"/>
          <w:sz w:val="28"/>
          <w:szCs w:val="28"/>
        </w:rPr>
      </w:r>
      <w:r>
        <w:rPr>
          <w:rFonts w:ascii="Times New Roman" w:hAnsi="Times New Roman" w:eastAsia="Times New Roman"/>
          <w:color w:val="000000"/>
          <w:sz w:val="28"/>
          <w:szCs w:val="28"/>
        </w:rPr>
      </w:r>
    </w:p>
    <w:p>
      <w:pPr>
        <w:pStyle w:val="1227"/>
        <w:numPr>
          <w:ilvl w:val="0"/>
          <w:numId w:val="91"/>
        </w:numPr>
        <w:ind w:left="0" w:firstLine="709"/>
        <w:jc w:val="both"/>
        <w:spacing w:line="276" w:lineRule="auto"/>
        <w:rPr>
          <w:rFonts w:ascii="Times New Roman" w:hAnsi="Times New Roman" w:eastAsia="Times New Roman"/>
          <w:color w:val="000000"/>
          <w:sz w:val="28"/>
          <w:szCs w:val="28"/>
        </w:rPr>
        <w:pBdr>
          <w:top w:val="none" w:color="000000" w:sz="4" w:space="0"/>
          <w:left w:val="none" w:color="000000" w:sz="4" w:space="0"/>
          <w:bottom w:val="none" w:color="000000" w:sz="4" w:space="0"/>
          <w:right w:val="none" w:color="000000" w:sz="4" w:space="0"/>
        </w:pBdr>
      </w:pPr>
      <w:r>
        <w:rPr>
          <w:rFonts w:ascii="Times New Roman" w:hAnsi="Times New Roman" w:eastAsia="Times New Roman"/>
          <w:color w:val="000000"/>
          <w:sz w:val="28"/>
          <w:szCs w:val="28"/>
        </w:rPr>
        <w:t xml:space="preserve">тематические</w:t>
      </w:r>
      <w:r>
        <w:rPr>
          <w:rFonts w:ascii="Times New Roman" w:hAnsi="Times New Roman" w:eastAsia="Times New Roman"/>
          <w:color w:val="000000"/>
          <w:sz w:val="28"/>
          <w:szCs w:val="28"/>
        </w:rPr>
        <w:t xml:space="preserve"> </w:t>
      </w:r>
      <w:r>
        <w:rPr>
          <w:rFonts w:ascii="Times New Roman" w:hAnsi="Times New Roman" w:eastAsia="Times New Roman"/>
          <w:color w:val="000000"/>
          <w:sz w:val="28"/>
          <w:szCs w:val="28"/>
        </w:rPr>
        <w:t xml:space="preserve">классные</w:t>
      </w:r>
      <w:r>
        <w:rPr>
          <w:rFonts w:ascii="Times New Roman" w:hAnsi="Times New Roman" w:eastAsia="Times New Roman"/>
          <w:color w:val="000000"/>
          <w:sz w:val="28"/>
          <w:szCs w:val="28"/>
        </w:rPr>
        <w:t xml:space="preserve"> </w:t>
      </w:r>
      <w:r>
        <w:rPr>
          <w:rFonts w:ascii="Times New Roman" w:hAnsi="Times New Roman" w:eastAsia="Times New Roman"/>
          <w:color w:val="000000"/>
          <w:sz w:val="28"/>
          <w:szCs w:val="28"/>
        </w:rPr>
        <w:t xml:space="preserve">часы</w:t>
      </w:r>
      <w:r>
        <w:rPr>
          <w:rFonts w:ascii="Times New Roman" w:hAnsi="Times New Roman" w:eastAsia="Times New Roman"/>
          <w:color w:val="000000"/>
          <w:sz w:val="28"/>
          <w:szCs w:val="28"/>
        </w:rPr>
        <w:t xml:space="preserve">;</w:t>
      </w:r>
      <w:r>
        <w:rPr>
          <w:rFonts w:ascii="Times New Roman" w:hAnsi="Times New Roman" w:eastAsia="Times New Roman"/>
          <w:color w:val="000000"/>
          <w:sz w:val="28"/>
          <w:szCs w:val="28"/>
        </w:rPr>
      </w:r>
      <w:r>
        <w:rPr>
          <w:rFonts w:ascii="Times New Roman" w:hAnsi="Times New Roman" w:eastAsia="Times New Roman"/>
          <w:color w:val="000000"/>
          <w:sz w:val="28"/>
          <w:szCs w:val="28"/>
        </w:rPr>
      </w:r>
    </w:p>
    <w:p>
      <w:pPr>
        <w:pStyle w:val="1227"/>
        <w:numPr>
          <w:ilvl w:val="0"/>
          <w:numId w:val="91"/>
        </w:numPr>
        <w:ind w:left="0" w:firstLine="709"/>
        <w:jc w:val="both"/>
        <w:spacing w:line="276" w:lineRule="auto"/>
        <w:rPr>
          <w:rFonts w:ascii="Times New Roman" w:hAnsi="Times New Roman" w:eastAsia="Times New Roman"/>
          <w:color w:val="000000"/>
          <w:sz w:val="28"/>
          <w:szCs w:val="28"/>
        </w:rPr>
        <w:pBdr>
          <w:top w:val="none" w:color="000000" w:sz="4" w:space="0"/>
          <w:left w:val="none" w:color="000000" w:sz="4" w:space="0"/>
          <w:bottom w:val="none" w:color="000000" w:sz="4" w:space="0"/>
          <w:right w:val="none" w:color="000000" w:sz="4" w:space="0"/>
        </w:pBdr>
      </w:pPr>
      <w:r>
        <w:rPr>
          <w:rFonts w:ascii="Times New Roman" w:hAnsi="Times New Roman" w:eastAsia="Times New Roman"/>
          <w:color w:val="000000"/>
          <w:sz w:val="28"/>
          <w:szCs w:val="28"/>
        </w:rPr>
        <w:t xml:space="preserve">интерактивные</w:t>
      </w:r>
      <w:r>
        <w:rPr>
          <w:rFonts w:ascii="Times New Roman" w:hAnsi="Times New Roman" w:eastAsia="Times New Roman"/>
          <w:color w:val="000000"/>
          <w:sz w:val="28"/>
          <w:szCs w:val="28"/>
        </w:rPr>
        <w:t xml:space="preserve"> </w:t>
      </w:r>
      <w:r>
        <w:rPr>
          <w:rFonts w:ascii="Times New Roman" w:hAnsi="Times New Roman" w:eastAsia="Times New Roman"/>
          <w:color w:val="000000"/>
          <w:sz w:val="28"/>
          <w:szCs w:val="28"/>
        </w:rPr>
        <w:t xml:space="preserve">дискуссии</w:t>
      </w:r>
      <w:r>
        <w:rPr>
          <w:rFonts w:ascii="Times New Roman" w:hAnsi="Times New Roman" w:eastAsia="Times New Roman"/>
          <w:color w:val="000000"/>
          <w:sz w:val="28"/>
          <w:szCs w:val="28"/>
        </w:rPr>
        <w:t xml:space="preserve">;</w:t>
      </w:r>
      <w:r>
        <w:rPr>
          <w:rFonts w:ascii="Times New Roman" w:hAnsi="Times New Roman" w:eastAsia="Times New Roman"/>
          <w:color w:val="000000"/>
          <w:sz w:val="28"/>
          <w:szCs w:val="28"/>
        </w:rPr>
      </w:r>
      <w:r>
        <w:rPr>
          <w:rFonts w:ascii="Times New Roman" w:hAnsi="Times New Roman" w:eastAsia="Times New Roman"/>
          <w:color w:val="000000"/>
          <w:sz w:val="28"/>
          <w:szCs w:val="28"/>
        </w:rPr>
      </w:r>
    </w:p>
    <w:p>
      <w:pPr>
        <w:pStyle w:val="1227"/>
        <w:numPr>
          <w:ilvl w:val="0"/>
          <w:numId w:val="91"/>
        </w:numPr>
        <w:ind w:left="0" w:firstLine="709"/>
        <w:jc w:val="both"/>
        <w:spacing w:line="276" w:lineRule="auto"/>
        <w:rPr>
          <w:rFonts w:ascii="Times New Roman" w:hAnsi="Times New Roman" w:eastAsia="Times New Roman"/>
          <w:color w:val="000000"/>
          <w:sz w:val="28"/>
          <w:szCs w:val="28"/>
        </w:rPr>
        <w:pBdr>
          <w:top w:val="none" w:color="000000" w:sz="4" w:space="0"/>
          <w:left w:val="none" w:color="000000" w:sz="4" w:space="0"/>
          <w:bottom w:val="none" w:color="000000" w:sz="4" w:space="0"/>
          <w:right w:val="none" w:color="000000" w:sz="4" w:space="0"/>
        </w:pBdr>
      </w:pPr>
      <w:r>
        <w:rPr>
          <w:rFonts w:ascii="Times New Roman" w:hAnsi="Times New Roman" w:eastAsia="Times New Roman"/>
          <w:color w:val="000000"/>
          <w:sz w:val="28"/>
          <w:szCs w:val="28"/>
        </w:rPr>
        <w:t xml:space="preserve">правовые</w:t>
      </w:r>
      <w:r>
        <w:rPr>
          <w:rFonts w:ascii="Times New Roman" w:hAnsi="Times New Roman" w:eastAsia="Times New Roman"/>
          <w:color w:val="000000"/>
          <w:sz w:val="28"/>
          <w:szCs w:val="28"/>
        </w:rPr>
        <w:t xml:space="preserve"> </w:t>
      </w:r>
      <w:r>
        <w:rPr>
          <w:rFonts w:ascii="Times New Roman" w:hAnsi="Times New Roman" w:eastAsia="Times New Roman"/>
          <w:color w:val="000000"/>
          <w:sz w:val="28"/>
          <w:szCs w:val="28"/>
        </w:rPr>
        <w:t xml:space="preserve">викторины</w:t>
      </w:r>
      <w:r>
        <w:rPr>
          <w:rFonts w:ascii="Times New Roman" w:hAnsi="Times New Roman" w:eastAsia="Times New Roman"/>
          <w:color w:val="000000"/>
          <w:sz w:val="28"/>
          <w:szCs w:val="28"/>
        </w:rPr>
        <w:t xml:space="preserve">;</w:t>
      </w:r>
      <w:r>
        <w:rPr>
          <w:rFonts w:ascii="Times New Roman" w:hAnsi="Times New Roman" w:eastAsia="Times New Roman"/>
          <w:color w:val="000000"/>
          <w:sz w:val="28"/>
          <w:szCs w:val="28"/>
        </w:rPr>
      </w:r>
      <w:r>
        <w:rPr>
          <w:rFonts w:ascii="Times New Roman" w:hAnsi="Times New Roman" w:eastAsia="Times New Roman"/>
          <w:color w:val="000000"/>
          <w:sz w:val="28"/>
          <w:szCs w:val="28"/>
        </w:rPr>
      </w:r>
    </w:p>
    <w:p>
      <w:pPr>
        <w:pStyle w:val="1227"/>
        <w:numPr>
          <w:ilvl w:val="0"/>
          <w:numId w:val="91"/>
        </w:numPr>
        <w:ind w:left="0" w:firstLine="709"/>
        <w:jc w:val="both"/>
        <w:spacing w:line="276" w:lineRule="auto"/>
        <w:rPr>
          <w:rFonts w:ascii="Times New Roman" w:hAnsi="Times New Roman" w:eastAsia="Times New Roman"/>
          <w:color w:val="000000"/>
          <w:sz w:val="28"/>
          <w:szCs w:val="28"/>
          <w:lang w:val="ru-RU"/>
        </w:rPr>
        <w:pBdr>
          <w:top w:val="none" w:color="000000" w:sz="4" w:space="0"/>
          <w:left w:val="none" w:color="000000" w:sz="4" w:space="0"/>
          <w:bottom w:val="none" w:color="000000" w:sz="4" w:space="0"/>
          <w:right w:val="none" w:color="000000" w:sz="4" w:space="0"/>
        </w:pBdr>
      </w:pPr>
      <w:r>
        <w:rPr>
          <w:rFonts w:ascii="Times New Roman" w:hAnsi="Times New Roman" w:eastAsia="Times New Roman"/>
          <w:color w:val="000000"/>
          <w:sz w:val="28"/>
          <w:szCs w:val="28"/>
          <w:lang w:val="ru-RU"/>
        </w:rPr>
        <w:t xml:space="preserve">встречи с представителями правозащитных организаций, участниками и ветеранами СВО, лидерами старшего поколения.</w:t>
      </w:r>
      <w:r>
        <w:rPr>
          <w:rFonts w:ascii="Times New Roman" w:hAnsi="Times New Roman" w:eastAsia="Times New Roman"/>
          <w:color w:val="000000"/>
          <w:sz w:val="28"/>
          <w:szCs w:val="28"/>
          <w:lang w:val="ru-RU"/>
        </w:rPr>
      </w:r>
      <w:r>
        <w:rPr>
          <w:rFonts w:ascii="Times New Roman" w:hAnsi="Times New Roman" w:eastAsia="Times New Roman"/>
          <w:color w:val="000000"/>
          <w:sz w:val="28"/>
          <w:szCs w:val="28"/>
          <w:lang w:val="ru-RU"/>
        </w:rPr>
      </w:r>
    </w:p>
    <w:p>
      <w:pPr>
        <w:ind w:firstLine="708"/>
        <w:jc w:val="both"/>
        <w:spacing w:after="0"/>
        <w:rPr>
          <w:rFonts w:ascii="Times New Roman" w:hAnsi="Times New Roman" w:eastAsia="Times New Roman"/>
          <w:color w:val="000000"/>
          <w:sz w:val="28"/>
          <w:szCs w:val="28"/>
        </w:rPr>
        <w:pBdr>
          <w:top w:val="none" w:color="000000" w:sz="4" w:space="0"/>
          <w:left w:val="none" w:color="000000" w:sz="4" w:space="0"/>
          <w:bottom w:val="none" w:color="000000" w:sz="4" w:space="0"/>
          <w:right w:val="none" w:color="000000" w:sz="4" w:space="0"/>
        </w:pBdr>
      </w:pPr>
      <w:r>
        <w:rPr>
          <w:rFonts w:ascii="Times New Roman" w:hAnsi="Times New Roman" w:eastAsia="Times New Roman"/>
          <w:color w:val="000000"/>
          <w:sz w:val="28"/>
          <w:szCs w:val="28"/>
        </w:rPr>
        <w:t xml:space="preserve">Общее количество участников мероприятий составило более 130 тысяч человек.</w:t>
      </w:r>
      <w:r>
        <w:rPr>
          <w:rFonts w:ascii="Times New Roman" w:hAnsi="Times New Roman" w:eastAsia="Times New Roman"/>
          <w:color w:val="000000"/>
          <w:sz w:val="28"/>
          <w:szCs w:val="28"/>
        </w:rPr>
      </w:r>
      <w:r>
        <w:rPr>
          <w:rFonts w:ascii="Times New Roman" w:hAnsi="Times New Roman" w:eastAsia="Times New Roman"/>
          <w:color w:val="000000"/>
          <w:sz w:val="28"/>
          <w:szCs w:val="28"/>
        </w:rPr>
      </w:r>
    </w:p>
    <w:p>
      <w:pPr>
        <w:ind w:firstLine="708"/>
        <w:jc w:val="both"/>
        <w:spacing w:after="0"/>
        <w:rPr>
          <w:rFonts w:ascii="Times New Roman" w:hAnsi="Times New Roman" w:eastAsia="Times New Roman"/>
          <w:color w:val="000000"/>
          <w:sz w:val="28"/>
          <w:szCs w:val="28"/>
        </w:rPr>
        <w:pBdr>
          <w:top w:val="none" w:color="000000" w:sz="4" w:space="0"/>
          <w:left w:val="none" w:color="000000" w:sz="4" w:space="0"/>
          <w:bottom w:val="none" w:color="000000" w:sz="4" w:space="0"/>
          <w:right w:val="none" w:color="000000" w:sz="4" w:space="0"/>
        </w:pBdr>
      </w:pPr>
      <w:r>
        <w:rPr>
          <w:rFonts w:ascii="Times New Roman" w:hAnsi="Times New Roman" w:eastAsia="Times New Roman"/>
          <w:color w:val="000000"/>
          <w:sz w:val="28"/>
          <w:szCs w:val="28"/>
        </w:rPr>
        <w:t xml:space="preserve">Такой широкий охват свидетельствует об интересе к вопросам сферы </w:t>
      </w:r>
      <w:r>
        <w:rPr>
          <w:rFonts w:ascii="Times New Roman" w:hAnsi="Times New Roman" w:eastAsia="Times New Roman"/>
          <w:color w:val="000000"/>
          <w:sz w:val="28"/>
          <w:szCs w:val="28"/>
        </w:rPr>
        <w:t xml:space="preserve">правозащиты</w:t>
      </w:r>
      <w:r>
        <w:rPr>
          <w:rFonts w:ascii="Times New Roman" w:hAnsi="Times New Roman" w:eastAsia="Times New Roman"/>
          <w:color w:val="000000"/>
          <w:sz w:val="28"/>
          <w:szCs w:val="28"/>
        </w:rPr>
        <w:t xml:space="preserve"> в современном обществе.</w:t>
      </w:r>
      <w:r>
        <w:rPr>
          <w:rFonts w:ascii="Times New Roman" w:hAnsi="Times New Roman" w:eastAsia="Times New Roman"/>
          <w:color w:val="000000"/>
          <w:sz w:val="28"/>
          <w:szCs w:val="28"/>
        </w:rPr>
      </w:r>
      <w:r>
        <w:rPr>
          <w:rFonts w:ascii="Times New Roman" w:hAnsi="Times New Roman" w:eastAsia="Times New Roman"/>
          <w:color w:val="000000"/>
          <w:sz w:val="28"/>
          <w:szCs w:val="28"/>
        </w:rPr>
      </w:r>
    </w:p>
    <w:p>
      <w:pPr>
        <w:ind w:firstLine="708"/>
        <w:jc w:val="both"/>
        <w:spacing w:after="0"/>
        <w:rPr>
          <w:rFonts w:ascii="Times New Roman" w:hAnsi="Times New Roman" w:eastAsia="Times New Roman"/>
          <w:color w:val="000000"/>
          <w:sz w:val="28"/>
          <w:szCs w:val="28"/>
        </w:rPr>
        <w:pBdr>
          <w:top w:val="none" w:color="000000" w:sz="4" w:space="0"/>
          <w:left w:val="none" w:color="000000" w:sz="4" w:space="0"/>
          <w:bottom w:val="none" w:color="000000" w:sz="4" w:space="0"/>
          <w:right w:val="none" w:color="000000" w:sz="4" w:space="0"/>
        </w:pBdr>
      </w:pPr>
      <w:r>
        <w:rPr>
          <w:rFonts w:ascii="Times New Roman" w:hAnsi="Times New Roman" w:eastAsia="Times New Roman"/>
          <w:color w:val="000000"/>
          <w:sz w:val="28"/>
          <w:szCs w:val="28"/>
        </w:rPr>
        <w:t xml:space="preserve">Уполномоченный выражает благодарность </w:t>
      </w:r>
      <w:r>
        <w:rPr>
          <w:rFonts w:ascii="Times New Roman" w:hAnsi="Times New Roman" w:eastAsia="Times New Roman"/>
          <w:color w:val="000000"/>
          <w:sz w:val="28"/>
          <w:szCs w:val="28"/>
        </w:rPr>
        <w:t xml:space="preserve">сорганизаторам</w:t>
      </w:r>
      <w:r>
        <w:rPr>
          <w:rFonts w:ascii="Times New Roman" w:hAnsi="Times New Roman" w:eastAsia="Times New Roman"/>
          <w:color w:val="000000"/>
          <w:sz w:val="28"/>
          <w:szCs w:val="28"/>
        </w:rPr>
        <w:t xml:space="preserve"> за плодотворное сотрудничество и полезный вклад в информирование молодежного населения в области правового просвещения:</w:t>
      </w:r>
      <w:r>
        <w:rPr>
          <w:rFonts w:ascii="Times New Roman" w:hAnsi="Times New Roman" w:eastAsia="Times New Roman"/>
          <w:color w:val="000000"/>
          <w:sz w:val="28"/>
          <w:szCs w:val="28"/>
        </w:rPr>
      </w:r>
      <w:r>
        <w:rPr>
          <w:rFonts w:ascii="Times New Roman" w:hAnsi="Times New Roman" w:eastAsia="Times New Roman"/>
          <w:color w:val="000000"/>
          <w:sz w:val="28"/>
          <w:szCs w:val="28"/>
        </w:rPr>
      </w:r>
    </w:p>
    <w:p>
      <w:pPr>
        <w:pStyle w:val="1227"/>
        <w:numPr>
          <w:ilvl w:val="0"/>
          <w:numId w:val="92"/>
        </w:numPr>
        <w:ind w:left="0" w:firstLine="709"/>
        <w:jc w:val="both"/>
        <w:spacing w:line="276" w:lineRule="auto"/>
        <w:rPr>
          <w:rFonts w:ascii="Times New Roman" w:hAnsi="Times New Roman" w:eastAsia="Times New Roman"/>
          <w:color w:val="000000"/>
          <w:sz w:val="28"/>
          <w:szCs w:val="28"/>
          <w:lang w:val="ru-RU"/>
        </w:rPr>
        <w:pBdr>
          <w:top w:val="none" w:color="000000" w:sz="4" w:space="0"/>
          <w:left w:val="none" w:color="000000" w:sz="4" w:space="0"/>
          <w:bottom w:val="none" w:color="000000" w:sz="4" w:space="0"/>
          <w:right w:val="none" w:color="000000" w:sz="4" w:space="0"/>
        </w:pBdr>
      </w:pPr>
      <w:r>
        <w:rPr>
          <w:rFonts w:ascii="Times New Roman" w:hAnsi="Times New Roman" w:eastAsia="Times New Roman"/>
          <w:color w:val="000000"/>
          <w:sz w:val="28"/>
          <w:szCs w:val="28"/>
          <w:lang w:val="ru-RU"/>
        </w:rPr>
        <w:t xml:space="preserve">Антону </w:t>
      </w:r>
      <w:r>
        <w:rPr>
          <w:rFonts w:ascii="Times New Roman" w:hAnsi="Times New Roman" w:eastAsia="Times New Roman"/>
          <w:color w:val="000000"/>
          <w:sz w:val="28"/>
          <w:szCs w:val="28"/>
          <w:lang w:val="ru-RU"/>
        </w:rPr>
        <w:t xml:space="preserve">Хапалову</w:t>
      </w:r>
      <w:r>
        <w:rPr>
          <w:rFonts w:ascii="Times New Roman" w:hAnsi="Times New Roman" w:eastAsia="Times New Roman"/>
          <w:color w:val="000000"/>
          <w:sz w:val="28"/>
          <w:szCs w:val="28"/>
          <w:lang w:val="ru-RU"/>
        </w:rPr>
        <w:t xml:space="preserve"> - члену регионального правительства - директору Департамента образования и науки Ивановской области и сотрудникам Департамента;</w:t>
      </w:r>
      <w:r>
        <w:rPr>
          <w:rFonts w:ascii="Times New Roman" w:hAnsi="Times New Roman" w:eastAsia="Times New Roman"/>
          <w:color w:val="000000"/>
          <w:sz w:val="28"/>
          <w:szCs w:val="28"/>
          <w:lang w:val="ru-RU"/>
        </w:rPr>
      </w:r>
      <w:r>
        <w:rPr>
          <w:rFonts w:ascii="Times New Roman" w:hAnsi="Times New Roman" w:eastAsia="Times New Roman"/>
          <w:color w:val="000000"/>
          <w:sz w:val="28"/>
          <w:szCs w:val="28"/>
          <w:lang w:val="ru-RU"/>
        </w:rPr>
      </w:r>
    </w:p>
    <w:p>
      <w:pPr>
        <w:pStyle w:val="1227"/>
        <w:numPr>
          <w:ilvl w:val="0"/>
          <w:numId w:val="92"/>
        </w:numPr>
        <w:ind w:left="0" w:firstLine="709"/>
        <w:jc w:val="both"/>
        <w:spacing w:line="276" w:lineRule="auto"/>
        <w:rPr>
          <w:rFonts w:ascii="Times New Roman" w:hAnsi="Times New Roman" w:eastAsia="Times New Roman"/>
          <w:color w:val="000000"/>
          <w:sz w:val="28"/>
          <w:szCs w:val="28"/>
          <w:lang w:val="ru-RU"/>
        </w:rPr>
        <w:pBdr>
          <w:top w:val="none" w:color="000000" w:sz="4" w:space="0"/>
          <w:left w:val="none" w:color="000000" w:sz="4" w:space="0"/>
          <w:bottom w:val="none" w:color="000000" w:sz="4" w:space="0"/>
          <w:right w:val="none" w:color="000000" w:sz="4" w:space="0"/>
        </w:pBdr>
      </w:pPr>
      <w:r>
        <w:rPr>
          <w:rFonts w:ascii="Times New Roman" w:hAnsi="Times New Roman" w:eastAsia="Times New Roman"/>
          <w:color w:val="000000"/>
          <w:sz w:val="28"/>
          <w:szCs w:val="28"/>
          <w:lang w:val="ru-RU"/>
        </w:rPr>
        <w:t xml:space="preserve">Алексею Малыгину - ректору </w:t>
      </w:r>
      <w:r>
        <w:rPr>
          <w:rFonts w:ascii="Times New Roman" w:hAnsi="Times New Roman" w:eastAsia="Times New Roman"/>
          <w:color w:val="000000"/>
          <w:sz w:val="28"/>
          <w:szCs w:val="28"/>
          <w:lang w:val="ru-RU"/>
        </w:rPr>
        <w:t xml:space="preserve">ИвГУ</w:t>
      </w:r>
      <w:r>
        <w:rPr>
          <w:rFonts w:ascii="Times New Roman" w:hAnsi="Times New Roman" w:eastAsia="Times New Roman"/>
          <w:color w:val="000000"/>
          <w:sz w:val="28"/>
          <w:szCs w:val="28"/>
          <w:lang w:val="ru-RU"/>
        </w:rPr>
        <w:t xml:space="preserve"> - председателю Совета ректоров вузов нашей области; </w:t>
      </w:r>
      <w:r>
        <w:rPr>
          <w:rFonts w:ascii="Times New Roman" w:hAnsi="Times New Roman" w:eastAsia="Times New Roman"/>
          <w:color w:val="000000"/>
          <w:sz w:val="28"/>
          <w:szCs w:val="28"/>
          <w:lang w:val="ru-RU"/>
        </w:rPr>
      </w:r>
      <w:r>
        <w:rPr>
          <w:rFonts w:ascii="Times New Roman" w:hAnsi="Times New Roman" w:eastAsia="Times New Roman"/>
          <w:color w:val="000000"/>
          <w:sz w:val="28"/>
          <w:szCs w:val="28"/>
          <w:lang w:val="ru-RU"/>
        </w:rPr>
      </w:r>
    </w:p>
    <w:p>
      <w:pPr>
        <w:pStyle w:val="1227"/>
        <w:numPr>
          <w:ilvl w:val="0"/>
          <w:numId w:val="92"/>
        </w:numPr>
        <w:ind w:left="0" w:firstLine="709"/>
        <w:jc w:val="both"/>
        <w:spacing w:line="276" w:lineRule="auto"/>
        <w:rPr>
          <w:rFonts w:ascii="Times New Roman" w:hAnsi="Times New Roman" w:eastAsia="Times New Roman"/>
          <w:color w:val="000000"/>
          <w:sz w:val="28"/>
          <w:szCs w:val="28"/>
        </w:rPr>
        <w:pBdr>
          <w:top w:val="none" w:color="000000" w:sz="4" w:space="0"/>
          <w:left w:val="none" w:color="000000" w:sz="4" w:space="0"/>
          <w:bottom w:val="none" w:color="000000" w:sz="4" w:space="0"/>
          <w:right w:val="none" w:color="000000" w:sz="4" w:space="0"/>
        </w:pBdr>
      </w:pPr>
      <w:r>
        <w:rPr>
          <w:rFonts w:ascii="Times New Roman" w:hAnsi="Times New Roman" w:eastAsia="Times New Roman"/>
          <w:color w:val="000000"/>
          <w:sz w:val="28"/>
          <w:szCs w:val="28"/>
        </w:rPr>
        <w:t xml:space="preserve">Наталье</w:t>
      </w:r>
      <w:r>
        <w:rPr>
          <w:rFonts w:ascii="Times New Roman" w:hAnsi="Times New Roman" w:eastAsia="Times New Roman"/>
          <w:color w:val="000000"/>
          <w:sz w:val="28"/>
          <w:szCs w:val="28"/>
        </w:rPr>
        <w:t xml:space="preserve"> </w:t>
      </w:r>
      <w:r>
        <w:rPr>
          <w:rFonts w:ascii="Times New Roman" w:hAnsi="Times New Roman" w:eastAsia="Times New Roman"/>
          <w:color w:val="000000"/>
          <w:sz w:val="28"/>
          <w:szCs w:val="28"/>
        </w:rPr>
        <w:t xml:space="preserve">Гординой</w:t>
      </w:r>
      <w:r>
        <w:rPr>
          <w:rFonts w:ascii="Times New Roman" w:hAnsi="Times New Roman" w:eastAsia="Times New Roman"/>
          <w:color w:val="000000"/>
          <w:sz w:val="28"/>
          <w:szCs w:val="28"/>
        </w:rPr>
        <w:t xml:space="preserve"> - </w:t>
      </w:r>
      <w:r>
        <w:rPr>
          <w:rFonts w:ascii="Times New Roman" w:hAnsi="Times New Roman" w:eastAsia="Times New Roman"/>
          <w:color w:val="000000"/>
          <w:sz w:val="28"/>
          <w:szCs w:val="28"/>
        </w:rPr>
        <w:t xml:space="preserve">ректору</w:t>
      </w:r>
      <w:r>
        <w:rPr>
          <w:rFonts w:ascii="Times New Roman" w:hAnsi="Times New Roman" w:eastAsia="Times New Roman"/>
          <w:color w:val="000000"/>
          <w:sz w:val="28"/>
          <w:szCs w:val="28"/>
        </w:rPr>
        <w:t xml:space="preserve"> ИГХТУ;</w:t>
      </w:r>
      <w:r>
        <w:rPr>
          <w:rFonts w:ascii="Times New Roman" w:hAnsi="Times New Roman" w:eastAsia="Times New Roman"/>
          <w:color w:val="000000"/>
          <w:sz w:val="28"/>
          <w:szCs w:val="28"/>
        </w:rPr>
      </w:r>
      <w:r>
        <w:rPr>
          <w:rFonts w:ascii="Times New Roman" w:hAnsi="Times New Roman" w:eastAsia="Times New Roman"/>
          <w:color w:val="000000"/>
          <w:sz w:val="28"/>
          <w:szCs w:val="28"/>
        </w:rPr>
      </w:r>
    </w:p>
    <w:p>
      <w:pPr>
        <w:pStyle w:val="1227"/>
        <w:numPr>
          <w:ilvl w:val="0"/>
          <w:numId w:val="92"/>
        </w:numPr>
        <w:ind w:left="0" w:firstLine="709"/>
        <w:jc w:val="both"/>
        <w:spacing w:line="276" w:lineRule="auto"/>
        <w:rPr>
          <w:rFonts w:ascii="Times New Roman" w:hAnsi="Times New Roman" w:eastAsia="Times New Roman"/>
          <w:color w:val="000000"/>
          <w:sz w:val="28"/>
          <w:szCs w:val="28"/>
        </w:rPr>
        <w:pBdr>
          <w:top w:val="none" w:color="000000" w:sz="4" w:space="0"/>
          <w:left w:val="none" w:color="000000" w:sz="4" w:space="0"/>
          <w:bottom w:val="none" w:color="000000" w:sz="4" w:space="0"/>
          <w:right w:val="none" w:color="000000" w:sz="4" w:space="0"/>
        </w:pBdr>
      </w:pPr>
      <w:r>
        <w:rPr>
          <w:rFonts w:ascii="Times New Roman" w:hAnsi="Times New Roman" w:eastAsia="Times New Roman"/>
          <w:color w:val="000000"/>
          <w:sz w:val="28"/>
          <w:szCs w:val="28"/>
        </w:rPr>
        <w:t xml:space="preserve">Елене</w:t>
      </w:r>
      <w:r>
        <w:rPr>
          <w:rFonts w:ascii="Times New Roman" w:hAnsi="Times New Roman" w:eastAsia="Times New Roman"/>
          <w:color w:val="000000"/>
          <w:sz w:val="28"/>
          <w:szCs w:val="28"/>
        </w:rPr>
        <w:t xml:space="preserve"> </w:t>
      </w:r>
      <w:r>
        <w:rPr>
          <w:rFonts w:ascii="Times New Roman" w:hAnsi="Times New Roman" w:eastAsia="Times New Roman"/>
          <w:color w:val="000000"/>
          <w:sz w:val="28"/>
          <w:szCs w:val="28"/>
        </w:rPr>
        <w:t xml:space="preserve">Никифоровой</w:t>
      </w:r>
      <w:r>
        <w:rPr>
          <w:rFonts w:ascii="Times New Roman" w:hAnsi="Times New Roman" w:eastAsia="Times New Roman"/>
          <w:color w:val="000000"/>
          <w:sz w:val="28"/>
          <w:szCs w:val="28"/>
        </w:rPr>
        <w:t xml:space="preserve"> - </w:t>
      </w:r>
      <w:r>
        <w:rPr>
          <w:rFonts w:ascii="Times New Roman" w:hAnsi="Times New Roman" w:eastAsia="Times New Roman"/>
          <w:color w:val="000000"/>
          <w:sz w:val="28"/>
          <w:szCs w:val="28"/>
        </w:rPr>
        <w:t xml:space="preserve">ректору</w:t>
      </w:r>
      <w:r>
        <w:rPr>
          <w:rFonts w:ascii="Times New Roman" w:hAnsi="Times New Roman" w:eastAsia="Times New Roman"/>
          <w:color w:val="000000"/>
          <w:sz w:val="28"/>
          <w:szCs w:val="28"/>
        </w:rPr>
        <w:t xml:space="preserve"> ИГПУ;</w:t>
      </w:r>
      <w:r>
        <w:rPr>
          <w:rFonts w:ascii="Times New Roman" w:hAnsi="Times New Roman" w:eastAsia="Times New Roman"/>
          <w:color w:val="000000"/>
          <w:sz w:val="28"/>
          <w:szCs w:val="28"/>
        </w:rPr>
      </w:r>
      <w:r>
        <w:rPr>
          <w:rFonts w:ascii="Times New Roman" w:hAnsi="Times New Roman" w:eastAsia="Times New Roman"/>
          <w:color w:val="000000"/>
          <w:sz w:val="28"/>
          <w:szCs w:val="28"/>
        </w:rPr>
      </w:r>
    </w:p>
    <w:p>
      <w:pPr>
        <w:pStyle w:val="1227"/>
        <w:numPr>
          <w:ilvl w:val="0"/>
          <w:numId w:val="92"/>
        </w:numPr>
        <w:ind w:left="0" w:firstLine="709"/>
        <w:jc w:val="both"/>
        <w:spacing w:line="276" w:lineRule="auto"/>
        <w:rPr>
          <w:rFonts w:ascii="Times New Roman" w:hAnsi="Times New Roman" w:eastAsia="Times New Roman"/>
          <w:color w:val="000000"/>
          <w:sz w:val="28"/>
          <w:szCs w:val="28"/>
          <w:lang w:val="ru-RU"/>
        </w:rPr>
        <w:pBdr>
          <w:top w:val="none" w:color="000000" w:sz="4" w:space="0"/>
          <w:left w:val="none" w:color="000000" w:sz="4" w:space="0"/>
          <w:bottom w:val="none" w:color="000000" w:sz="4" w:space="0"/>
          <w:right w:val="none" w:color="000000" w:sz="4" w:space="0"/>
        </w:pBdr>
      </w:pPr>
      <w:r>
        <w:rPr>
          <w:rFonts w:ascii="Times New Roman" w:hAnsi="Times New Roman" w:eastAsia="Times New Roman"/>
          <w:color w:val="000000"/>
          <w:sz w:val="28"/>
          <w:szCs w:val="28"/>
          <w:lang w:val="ru-RU"/>
        </w:rPr>
        <w:t xml:space="preserve">Георгию </w:t>
      </w:r>
      <w:r>
        <w:rPr>
          <w:rFonts w:ascii="Times New Roman" w:hAnsi="Times New Roman" w:eastAsia="Times New Roman"/>
          <w:color w:val="000000"/>
          <w:sz w:val="28"/>
          <w:szCs w:val="28"/>
          <w:lang w:val="ru-RU"/>
        </w:rPr>
        <w:t xml:space="preserve">Козыренко</w:t>
      </w:r>
      <w:r>
        <w:rPr>
          <w:rFonts w:ascii="Times New Roman" w:hAnsi="Times New Roman" w:eastAsia="Times New Roman"/>
          <w:color w:val="000000"/>
          <w:sz w:val="28"/>
          <w:szCs w:val="28"/>
          <w:lang w:val="ru-RU"/>
        </w:rPr>
        <w:t xml:space="preserve"> - директору филиала Международного юридического института;</w:t>
      </w:r>
      <w:r>
        <w:rPr>
          <w:rFonts w:ascii="Times New Roman" w:hAnsi="Times New Roman" w:eastAsia="Times New Roman"/>
          <w:color w:val="000000"/>
          <w:sz w:val="28"/>
          <w:szCs w:val="28"/>
          <w:lang w:val="ru-RU"/>
        </w:rPr>
      </w:r>
      <w:r>
        <w:rPr>
          <w:rFonts w:ascii="Times New Roman" w:hAnsi="Times New Roman" w:eastAsia="Times New Roman"/>
          <w:color w:val="000000"/>
          <w:sz w:val="28"/>
          <w:szCs w:val="28"/>
          <w:lang w:val="ru-RU"/>
        </w:rPr>
      </w:r>
    </w:p>
    <w:p>
      <w:pPr>
        <w:pStyle w:val="1227"/>
        <w:numPr>
          <w:ilvl w:val="0"/>
          <w:numId w:val="92"/>
        </w:numPr>
        <w:ind w:left="0" w:firstLine="709"/>
        <w:jc w:val="both"/>
        <w:spacing w:line="276" w:lineRule="auto"/>
        <w:rPr>
          <w:rFonts w:ascii="Times New Roman" w:hAnsi="Times New Roman" w:eastAsia="Times New Roman"/>
          <w:color w:val="000000"/>
          <w:sz w:val="28"/>
          <w:szCs w:val="28"/>
          <w:lang w:val="ru-RU"/>
        </w:rPr>
        <w:pBdr>
          <w:top w:val="none" w:color="000000" w:sz="4" w:space="0"/>
          <w:left w:val="none" w:color="000000" w:sz="4" w:space="0"/>
          <w:bottom w:val="none" w:color="000000" w:sz="4" w:space="0"/>
          <w:right w:val="none" w:color="000000" w:sz="4" w:space="0"/>
        </w:pBdr>
      </w:pPr>
      <w:r>
        <w:rPr>
          <w:rFonts w:ascii="Times New Roman" w:hAnsi="Times New Roman" w:eastAsia="Times New Roman"/>
          <w:color w:val="000000"/>
          <w:sz w:val="28"/>
          <w:szCs w:val="28"/>
          <w:lang w:val="ru-RU"/>
        </w:rPr>
        <w:t xml:space="preserve">Татьяне Кудриной - директору Ивановского медицинского колледжа;</w:t>
      </w:r>
      <w:r>
        <w:rPr>
          <w:rFonts w:ascii="Times New Roman" w:hAnsi="Times New Roman" w:eastAsia="Times New Roman"/>
          <w:color w:val="000000"/>
          <w:sz w:val="28"/>
          <w:szCs w:val="28"/>
          <w:lang w:val="ru-RU"/>
        </w:rPr>
      </w:r>
      <w:r>
        <w:rPr>
          <w:rFonts w:ascii="Times New Roman" w:hAnsi="Times New Roman" w:eastAsia="Times New Roman"/>
          <w:color w:val="000000"/>
          <w:sz w:val="28"/>
          <w:szCs w:val="28"/>
          <w:lang w:val="ru-RU"/>
        </w:rPr>
      </w:r>
    </w:p>
    <w:p>
      <w:pPr>
        <w:pStyle w:val="1227"/>
        <w:numPr>
          <w:ilvl w:val="0"/>
          <w:numId w:val="92"/>
        </w:numPr>
        <w:ind w:left="0" w:firstLine="709"/>
        <w:jc w:val="both"/>
        <w:spacing w:line="276" w:lineRule="auto"/>
        <w:rPr>
          <w:rFonts w:ascii="Times New Roman" w:hAnsi="Times New Roman" w:eastAsia="Times New Roman"/>
          <w:color w:val="000000"/>
          <w:sz w:val="28"/>
          <w:szCs w:val="28"/>
          <w:lang w:val="ru-RU"/>
        </w:rPr>
        <w:pBdr>
          <w:top w:val="none" w:color="000000" w:sz="4" w:space="0"/>
          <w:left w:val="none" w:color="000000" w:sz="4" w:space="0"/>
          <w:bottom w:val="none" w:color="000000" w:sz="4" w:space="0"/>
          <w:right w:val="none" w:color="000000" w:sz="4" w:space="0"/>
        </w:pBdr>
      </w:pPr>
      <w:r>
        <w:rPr>
          <w:rFonts w:ascii="Times New Roman" w:hAnsi="Times New Roman" w:eastAsia="Times New Roman"/>
          <w:color w:val="000000"/>
          <w:sz w:val="28"/>
          <w:szCs w:val="28"/>
          <w:lang w:val="ru-RU"/>
        </w:rPr>
        <w:t xml:space="preserve">Игорю </w:t>
      </w:r>
      <w:r>
        <w:rPr>
          <w:rFonts w:ascii="Times New Roman" w:hAnsi="Times New Roman" w:eastAsia="Times New Roman"/>
          <w:color w:val="000000"/>
          <w:sz w:val="28"/>
          <w:szCs w:val="28"/>
          <w:lang w:val="ru-RU"/>
        </w:rPr>
        <w:t xml:space="preserve">Светушкову</w:t>
      </w:r>
      <w:r>
        <w:rPr>
          <w:rFonts w:ascii="Times New Roman" w:hAnsi="Times New Roman" w:eastAsia="Times New Roman"/>
          <w:color w:val="000000"/>
          <w:sz w:val="28"/>
          <w:szCs w:val="28"/>
          <w:lang w:val="ru-RU"/>
        </w:rPr>
        <w:t xml:space="preserve"> - директору Ивановского автотранспортного колледжа;</w:t>
      </w:r>
      <w:r>
        <w:rPr>
          <w:rFonts w:ascii="Times New Roman" w:hAnsi="Times New Roman" w:eastAsia="Times New Roman"/>
          <w:color w:val="000000"/>
          <w:sz w:val="28"/>
          <w:szCs w:val="28"/>
          <w:lang w:val="ru-RU"/>
        </w:rPr>
      </w:r>
      <w:r>
        <w:rPr>
          <w:rFonts w:ascii="Times New Roman" w:hAnsi="Times New Roman" w:eastAsia="Times New Roman"/>
          <w:color w:val="000000"/>
          <w:sz w:val="28"/>
          <w:szCs w:val="28"/>
          <w:lang w:val="ru-RU"/>
        </w:rPr>
      </w:r>
    </w:p>
    <w:p>
      <w:pPr>
        <w:pStyle w:val="1227"/>
        <w:numPr>
          <w:ilvl w:val="0"/>
          <w:numId w:val="92"/>
        </w:numPr>
        <w:ind w:left="0" w:firstLine="709"/>
        <w:jc w:val="both"/>
        <w:spacing w:line="276" w:lineRule="auto"/>
        <w:rPr>
          <w:rFonts w:ascii="Times New Roman" w:hAnsi="Times New Roman" w:eastAsia="Times New Roman"/>
          <w:color w:val="000000"/>
          <w:sz w:val="28"/>
          <w:szCs w:val="28"/>
          <w:lang w:val="ru-RU"/>
        </w:rPr>
        <w:pBdr>
          <w:top w:val="none" w:color="000000" w:sz="4" w:space="0"/>
          <w:left w:val="none" w:color="000000" w:sz="4" w:space="0"/>
          <w:bottom w:val="none" w:color="000000" w:sz="4" w:space="0"/>
          <w:right w:val="none" w:color="000000" w:sz="4" w:space="0"/>
        </w:pBdr>
      </w:pPr>
      <w:r>
        <w:rPr>
          <w:rFonts w:ascii="Times New Roman" w:hAnsi="Times New Roman" w:eastAsia="Times New Roman"/>
          <w:color w:val="000000"/>
          <w:sz w:val="28"/>
          <w:szCs w:val="28"/>
          <w:lang w:val="ru-RU"/>
        </w:rPr>
        <w:t xml:space="preserve">Кристине Полозовой - директору Ивановского колледжа управления и права.</w:t>
      </w:r>
      <w:r>
        <w:rPr>
          <w:rFonts w:ascii="Times New Roman" w:hAnsi="Times New Roman" w:eastAsia="Times New Roman"/>
          <w:color w:val="000000"/>
          <w:sz w:val="28"/>
          <w:szCs w:val="28"/>
          <w:lang w:val="ru-RU"/>
        </w:rPr>
      </w:r>
      <w:r>
        <w:rPr>
          <w:rFonts w:ascii="Times New Roman" w:hAnsi="Times New Roman" w:eastAsia="Times New Roman"/>
          <w:color w:val="000000"/>
          <w:sz w:val="28"/>
          <w:szCs w:val="28"/>
          <w:lang w:val="ru-RU"/>
        </w:rPr>
      </w:r>
    </w:p>
    <w:p>
      <w:pPr>
        <w:pStyle w:val="1227"/>
        <w:ind w:left="0" w:firstLine="709"/>
        <w:jc w:val="both"/>
        <w:spacing w:line="276" w:lineRule="auto"/>
        <w:rPr>
          <w:rFonts w:ascii="Times New Roman" w:hAnsi="Times New Roman" w:eastAsia="Times New Roman"/>
          <w:sz w:val="28"/>
          <w:szCs w:val="28"/>
          <w:lang w:val="ru-RU" w:eastAsia="ru-RU" w:bidi="ru-RU"/>
        </w:rPr>
      </w:pPr>
      <w:r>
        <w:rPr>
          <w:rFonts w:ascii="Times New Roman" w:hAnsi="Times New Roman" w:eastAsia="Times New Roman"/>
          <w:sz w:val="28"/>
          <w:szCs w:val="28"/>
          <w:lang w:val="ru-RU" w:eastAsia="ru-RU" w:bidi="ru-RU"/>
        </w:rPr>
        <w:t xml:space="preserve">Департаментом социальной защиты Ивановской области проведено 39 мероприятий в </w:t>
      </w:r>
      <w:r>
        <w:rPr>
          <w:rFonts w:ascii="Times New Roman" w:hAnsi="Times New Roman" w:eastAsia="Times New Roman"/>
          <w:sz w:val="28"/>
          <w:szCs w:val="28"/>
          <w:lang w:val="ru-RU" w:eastAsia="ru-RU" w:bidi="ru-RU"/>
        </w:rPr>
        <w:t xml:space="preserve">образовательных учреждениях общего образования, в центрах социального обслуживания на территории Ивановской области, в которых приняли участие несовершеннолетние, законные представители, замещающие родители. Всего охват мероприятий составил 1344 человека. </w:t>
      </w:r>
      <w:r>
        <w:rPr>
          <w:rFonts w:ascii="Times New Roman" w:hAnsi="Times New Roman" w:eastAsia="Times New Roman"/>
          <w:sz w:val="28"/>
          <w:szCs w:val="28"/>
          <w:lang w:val="ru-RU" w:eastAsia="ru-RU" w:bidi="ru-RU"/>
        </w:rPr>
        <w:t xml:space="preserve">Проводимые мероприятия, направленные на повышение правовой </w:t>
      </w:r>
      <w:r>
        <w:rPr>
          <w:rFonts w:ascii="Times New Roman" w:hAnsi="Times New Roman" w:eastAsia="Times New Roman"/>
          <w:sz w:val="28"/>
          <w:szCs w:val="28"/>
          <w:lang w:val="ru-RU" w:eastAsia="ru-RU" w:bidi="ru-RU"/>
        </w:rPr>
        <w:t xml:space="preserve">грамотности несовершеннолетних, проводились в различной форме: интеллектуально-правовые игры, тренинги, профилактические беседы, лекции, информационные встречи с юристами, уроки-диалоги, круглые столы, конкурсы рисунков, викторины и </w:t>
      </w:r>
      <w:r>
        <w:rPr>
          <w:rFonts w:ascii="Times New Roman" w:hAnsi="Times New Roman" w:eastAsia="Times New Roman"/>
          <w:sz w:val="28"/>
          <w:szCs w:val="28"/>
          <w:lang w:val="ru-RU" w:eastAsia="ru-RU" w:bidi="ru-RU"/>
        </w:rPr>
        <w:t xml:space="preserve">квест-игры</w:t>
      </w:r>
      <w:r>
        <w:rPr>
          <w:rFonts w:ascii="Times New Roman" w:hAnsi="Times New Roman" w:eastAsia="Times New Roman"/>
          <w:sz w:val="28"/>
          <w:szCs w:val="28"/>
          <w:lang w:val="ru-RU" w:eastAsia="ru-RU" w:bidi="ru-RU"/>
        </w:rPr>
        <w:t xml:space="preserve">,  просмотр информационных видеороликов; распространение буклетов, содержащих правовую информацию и информацию о программах поддержки семей с детьми,  юридические ликбезы и т.д.</w:t>
      </w:r>
      <w:r>
        <w:rPr>
          <w:rFonts w:ascii="Times New Roman" w:hAnsi="Times New Roman" w:eastAsia="Times New Roman"/>
          <w:sz w:val="28"/>
          <w:szCs w:val="28"/>
          <w:lang w:val="ru-RU" w:eastAsia="ru-RU" w:bidi="ru-RU"/>
        </w:rPr>
        <w:t xml:space="preserve"> Кроме того, проведены мероприятия по местам проживания семей с целью профилактики семейного неблагополучия, осуществления </w:t>
      </w:r>
      <w:r>
        <w:rPr>
          <w:rFonts w:ascii="Times New Roman" w:hAnsi="Times New Roman" w:eastAsia="Times New Roman"/>
          <w:sz w:val="28"/>
          <w:szCs w:val="28"/>
          <w:lang w:val="ru-RU" w:eastAsia="ru-RU" w:bidi="ru-RU"/>
        </w:rPr>
        <w:t xml:space="preserve">контроля за</w:t>
      </w:r>
      <w:r>
        <w:rPr>
          <w:rFonts w:ascii="Times New Roman" w:hAnsi="Times New Roman" w:eastAsia="Times New Roman"/>
          <w:sz w:val="28"/>
          <w:szCs w:val="28"/>
          <w:lang w:val="ru-RU" w:eastAsia="ru-RU" w:bidi="ru-RU"/>
        </w:rPr>
        <w:t xml:space="preserve"> надлежащим исполнение</w:t>
      </w:r>
      <w:r>
        <w:rPr>
          <w:rFonts w:ascii="Times New Roman" w:hAnsi="Times New Roman" w:eastAsia="Times New Roman"/>
          <w:sz w:val="28"/>
          <w:szCs w:val="28"/>
          <w:lang w:val="ru-RU" w:eastAsia="ru-RU" w:bidi="ru-RU"/>
        </w:rPr>
        <w:t xml:space="preserve">м родителями обязанностей в отношении несовершеннолетних детей, соблюдением прав несовершеннолетних в соответствии с законодательством Российской Федерации и проведения социально-правовых мероприятий (профилактические информационно-разъяснительные беседы).</w:t>
      </w:r>
      <w:r>
        <w:rPr>
          <w:rFonts w:ascii="Times New Roman" w:hAnsi="Times New Roman" w:eastAsia="Times New Roman"/>
          <w:sz w:val="28"/>
          <w:szCs w:val="28"/>
          <w:lang w:val="ru-RU" w:eastAsia="ru-RU" w:bidi="ru-RU"/>
        </w:rPr>
      </w:r>
      <w:r>
        <w:rPr>
          <w:rFonts w:ascii="Times New Roman" w:hAnsi="Times New Roman" w:eastAsia="Times New Roman"/>
          <w:sz w:val="28"/>
          <w:szCs w:val="28"/>
          <w:lang w:val="ru-RU" w:eastAsia="ru-RU" w:bidi="ru-RU"/>
        </w:rPr>
      </w:r>
    </w:p>
    <w:p>
      <w:pPr>
        <w:ind w:firstLine="708"/>
        <w:jc w:val="both"/>
        <w:spacing w:after="0"/>
        <w:rPr>
          <w:rFonts w:ascii="Times New Roman" w:hAnsi="Times New Roman" w:eastAsia="Times New Roman"/>
          <w:color w:val="000000"/>
          <w:sz w:val="28"/>
          <w:szCs w:val="28"/>
        </w:rPr>
        <w:pBdr>
          <w:top w:val="none" w:color="000000" w:sz="4" w:space="0"/>
          <w:left w:val="none" w:color="000000" w:sz="4" w:space="0"/>
          <w:bottom w:val="none" w:color="000000" w:sz="4" w:space="0"/>
          <w:right w:val="none" w:color="000000" w:sz="4" w:space="0"/>
        </w:pBdr>
      </w:pPr>
      <w:r>
        <w:rPr>
          <w:rFonts w:ascii="Times New Roman" w:hAnsi="Times New Roman" w:eastAsia="Times New Roman"/>
          <w:color w:val="000000"/>
          <w:sz w:val="28"/>
          <w:szCs w:val="28"/>
        </w:rPr>
        <w:t xml:space="preserve">Совместная работа позволяет не только повысить правовую грамотность студентов и школьников, но и укрепить ценностные ориентиры подрастающего поколения через призму исторической памяти и уважения к правам человека. </w:t>
      </w:r>
      <w:r>
        <w:rPr>
          <w:rFonts w:ascii="Times New Roman" w:hAnsi="Times New Roman" w:eastAsia="Times New Roman"/>
          <w:color w:val="000000"/>
          <w:sz w:val="28"/>
          <w:szCs w:val="28"/>
        </w:rPr>
      </w:r>
      <w:r>
        <w:rPr>
          <w:rFonts w:ascii="Times New Roman" w:hAnsi="Times New Roman" w:eastAsia="Times New Roman"/>
          <w:color w:val="000000"/>
          <w:sz w:val="28"/>
          <w:szCs w:val="28"/>
        </w:rPr>
      </w:r>
    </w:p>
    <w:p>
      <w:pPr>
        <w:ind w:firstLine="708"/>
        <w:jc w:val="both"/>
        <w:spacing w:after="0"/>
        <w:rPr>
          <w:rFonts w:ascii="Times New Roman" w:hAnsi="Times New Roman" w:eastAsia="Times New Roman"/>
          <w:sz w:val="28"/>
          <w:szCs w:val="28"/>
        </w:rPr>
        <w:pBdr>
          <w:top w:val="none" w:color="000000" w:sz="4" w:space="0"/>
          <w:left w:val="none" w:color="000000" w:sz="4" w:space="0"/>
          <w:bottom w:val="none" w:color="000000" w:sz="4" w:space="0"/>
          <w:right w:val="none" w:color="000000" w:sz="4" w:space="0"/>
        </w:pBdr>
      </w:pPr>
      <w:r>
        <w:rPr>
          <w:rFonts w:ascii="Times New Roman" w:hAnsi="Times New Roman" w:eastAsia="Times New Roman"/>
          <w:sz w:val="28"/>
          <w:szCs w:val="28"/>
        </w:rPr>
        <w:t xml:space="preserve">В прошлом году была продолжена деятельность по изданию методических брошюр, сборников научных материалов, буклетов, информационных листовок и т.п.</w:t>
      </w:r>
      <w:r>
        <w:rPr>
          <w:rFonts w:ascii="Times New Roman" w:hAnsi="Times New Roman" w:eastAsia="Times New Roman"/>
          <w:sz w:val="28"/>
          <w:szCs w:val="28"/>
        </w:rPr>
      </w:r>
      <w:r>
        <w:rPr>
          <w:rFonts w:ascii="Times New Roman" w:hAnsi="Times New Roman" w:eastAsia="Times New Roman"/>
          <w:sz w:val="28"/>
          <w:szCs w:val="28"/>
        </w:rPr>
      </w:r>
    </w:p>
    <w:p>
      <w:pPr>
        <w:jc w:val="both"/>
        <w:spacing w:after="0"/>
        <w:shd w:val="clear" w:color="auto" w:fill="ffffff"/>
        <w:rPr>
          <w:rFonts w:ascii="Times New Roman" w:hAnsi="Times New Roman" w:eastAsia="Times New Roman"/>
          <w:sz w:val="24"/>
          <w:szCs w:val="24"/>
          <w:lang w:eastAsia="ru-RU"/>
        </w:rPr>
      </w:pPr>
      <w:r>
        <w:rPr>
          <w:rFonts w:ascii="Times New Roman" w:hAnsi="Times New Roman" w:eastAsia="Times New Roman"/>
          <w:sz w:val="24"/>
          <w:szCs w:val="24"/>
          <w:lang w:eastAsia="ru-RU"/>
        </w:rPr>
        <w:t xml:space="preserve"> </w:t>
      </w:r>
      <w:r>
        <w:rPr>
          <w:rFonts w:ascii="Times New Roman" w:hAnsi="Times New Roman" w:eastAsia="Times New Roman"/>
          <w:sz w:val="24"/>
          <w:szCs w:val="24"/>
          <w:lang w:eastAsia="ru-RU"/>
        </w:rPr>
        <w:tab/>
      </w:r>
      <w:r>
        <w:rPr>
          <w:rFonts w:ascii="Times New Roman" w:hAnsi="Times New Roman" w:eastAsia="Times New Roman"/>
          <w:color w:val="000000"/>
          <w:sz w:val="28"/>
          <w:szCs w:val="28"/>
          <w:lang w:eastAsia="ru-RU"/>
        </w:rPr>
        <w:t xml:space="preserve">Разработана брошюра «Основные меры поддержки участников Специальной военной операции и членов их семей». Выпущен сборник статей «Экология городских агломераций» по итогам проведения правозащитного экологического форума. </w:t>
      </w:r>
      <w:r>
        <w:rPr>
          <w:rFonts w:ascii="Times New Roman" w:hAnsi="Times New Roman" w:eastAsia="Times New Roman"/>
          <w:sz w:val="24"/>
          <w:szCs w:val="24"/>
          <w:lang w:eastAsia="ru-RU"/>
        </w:rPr>
      </w:r>
      <w:r>
        <w:rPr>
          <w:rFonts w:ascii="Times New Roman" w:hAnsi="Times New Roman" w:eastAsia="Times New Roman"/>
          <w:sz w:val="24"/>
          <w:szCs w:val="24"/>
          <w:lang w:eastAsia="ru-RU"/>
        </w:rPr>
      </w:r>
    </w:p>
    <w:p>
      <w:pPr>
        <w:ind w:firstLine="708"/>
        <w:jc w:val="both"/>
        <w:spacing w:after="0"/>
        <w:rPr>
          <w:rFonts w:ascii="Times New Roman" w:hAnsi="Times New Roman" w:eastAsia="Times New Roman"/>
          <w:color w:val="000000"/>
          <w:sz w:val="28"/>
          <w:szCs w:val="28"/>
          <w:lang w:eastAsia="ru-RU"/>
        </w:rPr>
        <w:pBdr>
          <w:top w:val="none" w:color="000000" w:sz="4" w:space="0"/>
          <w:left w:val="none" w:color="000000" w:sz="4" w:space="0"/>
          <w:bottom w:val="none" w:color="000000" w:sz="4" w:space="0"/>
          <w:right w:val="none" w:color="000000" w:sz="4" w:space="0"/>
        </w:pBdr>
      </w:pPr>
      <w:r>
        <w:rPr>
          <w:rFonts w:ascii="Times New Roman" w:hAnsi="Times New Roman" w:eastAsia="Times New Roman"/>
          <w:color w:val="000000"/>
          <w:sz w:val="28"/>
          <w:szCs w:val="28"/>
          <w:lang w:eastAsia="ru-RU"/>
        </w:rPr>
        <w:t xml:space="preserve">Издан буклет об институте Уполномоченного по правам человека с полезными контактами, указанием компетенции омбудсмена. Также изготовлен специальный информационный плакат, на котором размещены контакты правозащитной службы – федеральной и региональной. </w:t>
      </w:r>
      <w:r>
        <w:rPr>
          <w:rFonts w:ascii="Times New Roman" w:hAnsi="Times New Roman" w:eastAsia="Times New Roman"/>
          <w:color w:val="000000"/>
          <w:sz w:val="28"/>
          <w:szCs w:val="28"/>
          <w:lang w:eastAsia="ru-RU"/>
        </w:rPr>
      </w:r>
      <w:r>
        <w:rPr>
          <w:rFonts w:ascii="Times New Roman" w:hAnsi="Times New Roman" w:eastAsia="Times New Roman"/>
          <w:color w:val="000000"/>
          <w:sz w:val="28"/>
          <w:szCs w:val="28"/>
          <w:lang w:eastAsia="ru-RU"/>
        </w:rPr>
      </w:r>
    </w:p>
    <w:p>
      <w:pPr>
        <w:ind w:firstLine="708"/>
        <w:jc w:val="both"/>
        <w:spacing w:after="0"/>
        <w:rPr>
          <w:rFonts w:ascii="Times New Roman" w:hAnsi="Times New Roman" w:eastAsia="Times New Roman"/>
          <w:sz w:val="24"/>
          <w:szCs w:val="24"/>
          <w:lang w:eastAsia="ru-RU"/>
        </w:rPr>
      </w:pPr>
      <w:r>
        <w:rPr>
          <w:rFonts w:ascii="Times New Roman" w:hAnsi="Times New Roman" w:eastAsia="Times New Roman"/>
          <w:color w:val="000000"/>
          <w:sz w:val="28"/>
          <w:szCs w:val="28"/>
          <w:lang w:eastAsia="ru-RU"/>
        </w:rPr>
        <w:t xml:space="preserve">В течение года Уполномоченным с сотрудниками аппарата подготовлены специальные доклады «О защите прав граждан на создание безопасных условий труда на рабочих местах»</w:t>
      </w:r>
      <w:r>
        <w:rPr>
          <w:rFonts w:ascii="Times New Roman" w:hAnsi="Times New Roman" w:eastAsia="Times New Roman"/>
          <w:sz w:val="24"/>
          <w:szCs w:val="24"/>
          <w:lang w:eastAsia="ru-RU"/>
        </w:rPr>
        <w:t xml:space="preserve"> </w:t>
      </w:r>
      <w:r>
        <w:rPr>
          <w:rFonts w:ascii="Times New Roman" w:hAnsi="Times New Roman" w:eastAsia="Times New Roman"/>
          <w:sz w:val="28"/>
          <w:szCs w:val="28"/>
          <w:lang w:eastAsia="ru-RU"/>
        </w:rPr>
        <w:t xml:space="preserve">и </w:t>
      </w:r>
      <w:r>
        <w:rPr>
          <w:rFonts w:ascii="Times New Roman" w:hAnsi="Times New Roman" w:eastAsia="Times New Roman"/>
          <w:color w:val="000000"/>
          <w:sz w:val="28"/>
          <w:szCs w:val="28"/>
          <w:lang w:eastAsia="ru-RU"/>
        </w:rPr>
        <w:t xml:space="preserve">«</w:t>
      </w:r>
      <w:r>
        <w:rPr>
          <w:rFonts w:ascii="Times New Roman" w:hAnsi="Times New Roman" w:eastAsia="Times New Roman"/>
          <w:color w:val="000000"/>
          <w:sz w:val="28"/>
          <w:szCs w:val="28"/>
          <w:shd w:val="clear" w:color="auto" w:fill="ffffff"/>
          <w:lang w:eastAsia="ru-RU"/>
        </w:rPr>
        <w:t xml:space="preserve">Особенности реализации отдельных прав инвалидов в современных условиях</w:t>
      </w:r>
      <w:r>
        <w:rPr>
          <w:rFonts w:ascii="Times New Roman" w:hAnsi="Times New Roman" w:eastAsia="Times New Roman"/>
          <w:color w:val="000000"/>
          <w:sz w:val="28"/>
          <w:szCs w:val="28"/>
          <w:lang w:eastAsia="ru-RU"/>
        </w:rPr>
        <w:t xml:space="preserve">».</w:t>
      </w:r>
      <w:r>
        <w:rPr>
          <w:rFonts w:ascii="Times New Roman" w:hAnsi="Times New Roman" w:eastAsia="Times New Roman"/>
          <w:sz w:val="24"/>
          <w:szCs w:val="24"/>
          <w:lang w:eastAsia="ru-RU"/>
        </w:rPr>
      </w:r>
      <w:r>
        <w:rPr>
          <w:rFonts w:ascii="Times New Roman" w:hAnsi="Times New Roman" w:eastAsia="Times New Roman"/>
          <w:sz w:val="24"/>
          <w:szCs w:val="24"/>
          <w:lang w:eastAsia="ru-RU"/>
        </w:rPr>
      </w:r>
    </w:p>
    <w:p>
      <w:pPr>
        <w:jc w:val="both"/>
        <w:spacing w:after="0"/>
        <w:rPr>
          <w:rFonts w:ascii="Times New Roman" w:hAnsi="Times New Roman"/>
          <w:sz w:val="28"/>
          <w:szCs w:val="28"/>
        </w:rPr>
      </w:pPr>
      <w:r>
        <w:rPr>
          <w:rFonts w:ascii="Times New Roman" w:hAnsi="Times New Roman"/>
          <w:sz w:val="28"/>
          <w:szCs w:val="28"/>
        </w:rPr>
        <w:tab/>
        <w:t xml:space="preserve">Необходимо отметить, что все периодические издания размещаются в электронном виде на сайте регионального правозащитника в разделе «Библиотека Уполномоченного».</w:t>
      </w:r>
      <w:r>
        <w:rPr>
          <w:rFonts w:ascii="Times New Roman" w:hAnsi="Times New Roman"/>
          <w:sz w:val="28"/>
          <w:szCs w:val="28"/>
        </w:rPr>
      </w:r>
      <w:r>
        <w:rPr>
          <w:rFonts w:ascii="Times New Roman" w:hAnsi="Times New Roman"/>
          <w:sz w:val="28"/>
          <w:szCs w:val="28"/>
        </w:rPr>
      </w:r>
      <w:r>
        <w:rPr>
          <w:rFonts w:ascii="Times New Roman" w:hAnsi="Times New Roman"/>
          <w:sz w:val="28"/>
          <w:szCs w:val="28"/>
        </w:rPr>
      </w:r>
      <w:r>
        <w:rPr>
          <w:rFonts w:ascii="Times New Roman" w:hAnsi="Times New Roman"/>
          <w:sz w:val="28"/>
          <w:szCs w:val="28"/>
        </w:rPr>
      </w:r>
      <w:r>
        <w:rPr>
          <w:rFonts w:ascii="Times New Roman" w:hAnsi="Times New Roman"/>
          <w:sz w:val="28"/>
          <w:szCs w:val="28"/>
        </w:rPr>
      </w:r>
      <w:r>
        <w:rPr>
          <w:rFonts w:ascii="Times New Roman" w:hAnsi="Times New Roman"/>
          <w:sz w:val="28"/>
          <w:szCs w:val="28"/>
        </w:rPr>
      </w:r>
    </w:p>
    <w:p>
      <w:pPr>
        <w:jc w:val="both"/>
        <w:spacing w:after="0"/>
        <w:rPr>
          <w:rFonts w:ascii="Times New Roman" w:hAnsi="Times New Roman"/>
          <w:sz w:val="28"/>
          <w:szCs w:val="28"/>
        </w:rPr>
      </w:pPr>
      <w:r>
        <w:rPr>
          <w:rFonts w:ascii="Times New Roman" w:hAnsi="Times New Roman"/>
          <w:sz w:val="28"/>
          <w:szCs w:val="28"/>
        </w:rPr>
      </w:r>
      <w:r>
        <w:rPr>
          <w:rFonts w:ascii="Times New Roman" w:hAnsi="Times New Roman"/>
          <w:sz w:val="28"/>
          <w:szCs w:val="28"/>
        </w:rPr>
      </w:r>
      <w:r>
        <w:rPr>
          <w:rFonts w:ascii="Times New Roman" w:hAnsi="Times New Roman"/>
          <w:sz w:val="28"/>
          <w:szCs w:val="28"/>
        </w:rPr>
      </w:r>
    </w:p>
    <w:p>
      <w:pPr>
        <w:pStyle w:val="1226"/>
        <w:jc w:val="center"/>
        <w:rPr>
          <w:rFonts w:ascii="Times New Roman" w:hAnsi="Times New Roman" w:cs="Times New Roman"/>
          <w:b/>
          <w:bCs/>
          <w:color w:val="auto"/>
          <w:sz w:val="28"/>
          <w:szCs w:val="28"/>
        </w:rPr>
      </w:pPr>
      <w:r/>
      <w:bookmarkStart w:id="74" w:name="_Toc52"/>
      <w:r>
        <w:rPr>
          <w:rFonts w:ascii="Times New Roman" w:hAnsi="Times New Roman" w:cs="Times New Roman"/>
          <w:b/>
          <w:bCs/>
          <w:color w:val="auto"/>
          <w:sz w:val="28"/>
          <w:szCs w:val="28"/>
        </w:rPr>
        <w:t xml:space="preserve">15.2. Право на квалифицированную юридическую помощь</w:t>
      </w:r>
      <w:r>
        <w:rPr>
          <w:rFonts w:ascii="Times New Roman" w:hAnsi="Times New Roman" w:cs="Times New Roman"/>
          <w:b/>
          <w:bCs/>
          <w:color w:val="auto"/>
          <w:sz w:val="28"/>
          <w:szCs w:val="28"/>
        </w:rPr>
      </w:r>
      <w:bookmarkEnd w:id="74"/>
      <w:r>
        <w:rPr>
          <w:rFonts w:ascii="Times New Roman" w:hAnsi="Times New Roman" w:cs="Times New Roman"/>
          <w:b/>
          <w:bCs/>
          <w:color w:val="auto"/>
          <w:sz w:val="28"/>
          <w:szCs w:val="28"/>
        </w:rPr>
      </w:r>
      <w:r>
        <w:rPr>
          <w:rFonts w:ascii="Times New Roman" w:hAnsi="Times New Roman" w:cs="Times New Roman"/>
          <w:b/>
          <w:bCs/>
          <w:color w:val="auto"/>
          <w:sz w:val="28"/>
          <w:szCs w:val="28"/>
        </w:rPr>
      </w:r>
    </w:p>
    <w:p>
      <w:r/>
      <w:r/>
    </w:p>
    <w:p>
      <w:pPr>
        <w:ind w:firstLine="709"/>
        <w:jc w:val="both"/>
        <w:spacing w:after="0"/>
        <w:rPr>
          <w:rFonts w:ascii="Times New Roman" w:hAnsi="Times New Roman" w:eastAsia="Times New Roman"/>
          <w:sz w:val="28"/>
          <w:szCs w:val="28"/>
          <w:lang w:eastAsia="ru-RU" w:bidi="ru-RU"/>
        </w:rPr>
      </w:pPr>
      <w:r>
        <w:rPr>
          <w:rFonts w:ascii="Times New Roman" w:hAnsi="Times New Roman" w:eastAsia="Times New Roman"/>
          <w:sz w:val="28"/>
          <w:szCs w:val="28"/>
          <w:lang w:eastAsia="ru-RU" w:bidi="ru-RU"/>
        </w:rPr>
        <w:t xml:space="preserve">В целях создания условий реализации установленного Конституцией Российской Федерации права граждан на получение квалифицированной юридической помощи,</w:t>
      </w:r>
      <w:r>
        <w:rPr>
          <w:rFonts w:ascii="Times New Roman" w:hAnsi="Times New Roman" w:eastAsia="Times New Roman"/>
          <w:sz w:val="28"/>
          <w:szCs w:val="28"/>
          <w:lang w:eastAsia="ru-RU" w:bidi="ru-RU"/>
        </w:rPr>
        <w:t xml:space="preserve"> оказываемой бесплатно, а также в соответствии с Федеральным законом от 21.11.2011 №324-Ф3 «О бесплатной юридической помощи в Российской Федерации» (далее – Федеральный закон о БЮП) на территории Ивановской области действует ряд нормативных правовых актов.</w:t>
      </w:r>
      <w:r>
        <w:rPr>
          <w:rFonts w:ascii="Times New Roman" w:hAnsi="Times New Roman" w:eastAsia="Times New Roman"/>
          <w:sz w:val="28"/>
          <w:szCs w:val="28"/>
          <w:lang w:eastAsia="ru-RU" w:bidi="ru-RU"/>
        </w:rPr>
      </w:r>
      <w:r>
        <w:rPr>
          <w:rFonts w:ascii="Times New Roman" w:hAnsi="Times New Roman" w:eastAsia="Times New Roman"/>
          <w:sz w:val="28"/>
          <w:szCs w:val="28"/>
          <w:lang w:eastAsia="ru-RU" w:bidi="ru-RU"/>
        </w:rPr>
      </w:r>
    </w:p>
    <w:p>
      <w:pPr>
        <w:ind w:firstLine="709"/>
        <w:jc w:val="both"/>
        <w:spacing w:after="0"/>
        <w:rPr>
          <w:rFonts w:ascii="Times New Roman" w:hAnsi="Times New Roman" w:eastAsia="Times New Roman"/>
          <w:sz w:val="28"/>
          <w:szCs w:val="28"/>
          <w:lang w:eastAsia="ru-RU" w:bidi="ru-RU"/>
        </w:rPr>
      </w:pPr>
      <w:r>
        <w:rPr>
          <w:rFonts w:ascii="Times New Roman" w:hAnsi="Times New Roman" w:eastAsia="Times New Roman"/>
          <w:sz w:val="28"/>
          <w:szCs w:val="28"/>
          <w:lang w:eastAsia="ru-RU" w:bidi="ru-RU"/>
        </w:rPr>
        <w:t xml:space="preserve">Закон Ивановской области от 08.11.2012 № </w:t>
      </w:r>
      <w:r>
        <w:rPr>
          <w:rFonts w:ascii="Times New Roman" w:hAnsi="Times New Roman" w:eastAsia="Times New Roman"/>
          <w:sz w:val="28"/>
          <w:szCs w:val="28"/>
          <w:lang w:eastAsia="ru-RU" w:bidi="ru-RU"/>
        </w:rPr>
        <w:t xml:space="preserve">90-ОЗ «Об обеспечении граждан Российской Федерации бесплатной юридической помощью на территории Ивановской области, о правовом информировании и правовом просвещении населения Ивановской области» (далее – Закон Ивановской области о БЮП) разграничивает полно</w:t>
      </w:r>
      <w:r>
        <w:rPr>
          <w:rFonts w:ascii="Times New Roman" w:hAnsi="Times New Roman" w:eastAsia="Times New Roman"/>
          <w:sz w:val="28"/>
          <w:szCs w:val="28"/>
          <w:lang w:eastAsia="ru-RU" w:bidi="ru-RU"/>
        </w:rPr>
        <w:t xml:space="preserve">мочия органов государственной власти Ивановской области в области обеспечения граждан бесплатной юридической помощью, правового информирования и правового просвещения, определяет уполномоченный исполнительный орган государственной власти Ивановской области</w:t>
      </w:r>
      <w:r>
        <w:rPr>
          <w:rFonts w:ascii="Times New Roman" w:hAnsi="Times New Roman" w:eastAsia="Times New Roman"/>
          <w:sz w:val="28"/>
          <w:szCs w:val="28"/>
          <w:lang w:eastAsia="ru-RU" w:bidi="ru-RU"/>
        </w:rPr>
        <w:t xml:space="preserve"> в сфере обеспечения граждан бесплатной юридической помощью, расширяет категории граждан, имеющих право на получение бесплатной юридической помощи, и случаи оказания такой помощи на территории Ивановской области, и другие вопросы.</w:t>
      </w:r>
      <w:r>
        <w:rPr>
          <w:rFonts w:ascii="Times New Roman" w:hAnsi="Times New Roman" w:eastAsia="Times New Roman"/>
          <w:sz w:val="28"/>
          <w:szCs w:val="28"/>
          <w:lang w:eastAsia="ru-RU" w:bidi="ru-RU"/>
        </w:rPr>
      </w:r>
      <w:r>
        <w:rPr>
          <w:rFonts w:ascii="Times New Roman" w:hAnsi="Times New Roman" w:eastAsia="Times New Roman"/>
          <w:sz w:val="28"/>
          <w:szCs w:val="28"/>
          <w:lang w:eastAsia="ru-RU" w:bidi="ru-RU"/>
        </w:rPr>
      </w:r>
    </w:p>
    <w:p>
      <w:pPr>
        <w:ind w:firstLine="709"/>
        <w:jc w:val="both"/>
        <w:spacing w:after="0"/>
        <w:rPr>
          <w:rFonts w:ascii="Times New Roman" w:hAnsi="Times New Roman" w:eastAsia="Times New Roman"/>
          <w:sz w:val="28"/>
          <w:szCs w:val="28"/>
          <w:lang w:eastAsia="ru-RU" w:bidi="ru-RU"/>
        </w:rPr>
      </w:pPr>
      <w:r>
        <w:rPr>
          <w:rFonts w:ascii="Times New Roman" w:hAnsi="Times New Roman" w:eastAsia="Times New Roman"/>
          <w:sz w:val="28"/>
          <w:szCs w:val="28"/>
          <w:lang w:eastAsia="ru-RU" w:bidi="ru-RU"/>
        </w:rPr>
        <w:t xml:space="preserve">В соответствии с Законом Ивановской области о БЮП</w:t>
      </w:r>
      <w:r>
        <w:rPr>
          <w:rFonts w:ascii="Times New Roman" w:hAnsi="Times New Roman" w:eastAsia="Times New Roman"/>
          <w:sz w:val="28"/>
          <w:szCs w:val="28"/>
          <w:lang w:eastAsia="ru-RU" w:bidi="ru-RU"/>
        </w:rPr>
        <w:t xml:space="preserve"> уполномоченным исполнительным органом государственной власти Ивановской области в рамках обеспечения граждан бесплатной юридической помощью является Правительство Ивановской области, а постановлением Правительства Ивановской области от 28.12.2012 № 571-п </w:t>
      </w:r>
      <w:r>
        <w:rPr>
          <w:rFonts w:ascii="Times New Roman" w:hAnsi="Times New Roman" w:eastAsia="Times New Roman"/>
          <w:sz w:val="28"/>
          <w:szCs w:val="28"/>
          <w:lang w:eastAsia="ru-RU" w:bidi="ru-RU"/>
        </w:rPr>
        <w:t xml:space="preserve">«О некоторых вопросах участия адвокатов в деятельности государственной системы бесплатной юридической помощи на территории Ивановской области» Главное правовое управление Правительства Ивановской области определено уполномоченным структурным подразделением</w:t>
      </w:r>
      <w:r>
        <w:rPr>
          <w:rFonts w:ascii="Times New Roman" w:hAnsi="Times New Roman" w:eastAsia="Times New Roman"/>
          <w:sz w:val="28"/>
          <w:szCs w:val="28"/>
          <w:lang w:eastAsia="ru-RU" w:bidi="ru-RU"/>
        </w:rPr>
        <w:t xml:space="preserve"> аппарата Правительства Ивановской области, </w:t>
      </w:r>
      <w:r>
        <w:rPr>
          <w:rFonts w:ascii="Times New Roman" w:hAnsi="Times New Roman" w:eastAsia="Times New Roman"/>
          <w:sz w:val="28"/>
          <w:szCs w:val="28"/>
          <w:lang w:eastAsia="ru-RU" w:bidi="ru-RU"/>
        </w:rPr>
        <w:t xml:space="preserve">осуществляющим</w:t>
      </w:r>
      <w:r>
        <w:rPr>
          <w:rFonts w:ascii="Times New Roman" w:hAnsi="Times New Roman" w:eastAsia="Times New Roman"/>
          <w:sz w:val="28"/>
          <w:szCs w:val="28"/>
          <w:lang w:eastAsia="ru-RU" w:bidi="ru-RU"/>
        </w:rPr>
        <w:t xml:space="preserve"> организационное обеспечение деятельности Правительства Ивановской области в рамках обеспечения граждан Российской Федерации бесплатной юридической помощью.</w:t>
      </w:r>
      <w:r>
        <w:rPr>
          <w:rFonts w:ascii="Times New Roman" w:hAnsi="Times New Roman" w:eastAsia="Times New Roman"/>
          <w:sz w:val="28"/>
          <w:szCs w:val="28"/>
          <w:lang w:eastAsia="ru-RU" w:bidi="ru-RU"/>
        </w:rPr>
      </w:r>
      <w:r>
        <w:rPr>
          <w:rFonts w:ascii="Times New Roman" w:hAnsi="Times New Roman" w:eastAsia="Times New Roman"/>
          <w:sz w:val="28"/>
          <w:szCs w:val="28"/>
          <w:lang w:eastAsia="ru-RU" w:bidi="ru-RU"/>
        </w:rPr>
      </w:r>
    </w:p>
    <w:p>
      <w:pPr>
        <w:ind w:firstLine="709"/>
        <w:jc w:val="both"/>
        <w:spacing w:after="0"/>
        <w:rPr>
          <w:rFonts w:ascii="Times New Roman" w:hAnsi="Times New Roman" w:eastAsia="Times New Roman"/>
          <w:sz w:val="28"/>
          <w:szCs w:val="28"/>
          <w:lang w:eastAsia="ru-RU"/>
        </w:rPr>
      </w:pPr>
      <w:r>
        <w:rPr>
          <w:rFonts w:ascii="Times New Roman" w:hAnsi="Times New Roman" w:eastAsia="Times New Roman"/>
          <w:sz w:val="28"/>
          <w:szCs w:val="28"/>
          <w:lang w:eastAsia="ru-RU" w:bidi="ru-RU"/>
        </w:rPr>
        <w:t xml:space="preserve">Уполномоченный входит в региональную систему оказания бесплатной юридической помощи. В соответствии с Законом Ивановской области о БЮП участниками государственной системы бесплатной юридической помощи на территории Ивановской области являются </w:t>
      </w:r>
      <w:r>
        <w:rPr>
          <w:rFonts w:ascii="Times New Roman" w:hAnsi="Times New Roman" w:eastAsia="Times New Roman"/>
          <w:sz w:val="28"/>
          <w:szCs w:val="28"/>
          <w:lang w:eastAsia="ru-RU"/>
        </w:rPr>
        <w:t xml:space="preserve">исполнительные органы </w:t>
      </w:r>
      <w:r>
        <w:rPr>
          <w:rFonts w:ascii="Times New Roman" w:hAnsi="Times New Roman" w:eastAsia="Times New Roman"/>
          <w:sz w:val="28"/>
          <w:szCs w:val="28"/>
          <w:lang w:eastAsia="ru-RU"/>
        </w:rPr>
        <w:t xml:space="preserve">государственной власти Ивановской области и подведомственные им учреждения и адвокаты.</w:t>
      </w:r>
      <w:r>
        <w:rPr>
          <w:rFonts w:ascii="Times New Roman" w:hAnsi="Times New Roman" w:eastAsia="Times New Roman"/>
          <w:sz w:val="28"/>
          <w:szCs w:val="28"/>
          <w:lang w:eastAsia="ru-RU"/>
        </w:rPr>
      </w:r>
      <w:r>
        <w:rPr>
          <w:rFonts w:ascii="Times New Roman" w:hAnsi="Times New Roman" w:eastAsia="Times New Roman"/>
          <w:sz w:val="28"/>
          <w:szCs w:val="28"/>
          <w:lang w:eastAsia="ru-RU"/>
        </w:rPr>
      </w:r>
    </w:p>
    <w:p>
      <w:pPr>
        <w:ind w:firstLine="709"/>
        <w:jc w:val="both"/>
        <w:spacing w:after="0"/>
        <w:rPr>
          <w:rFonts w:ascii="Times New Roman" w:hAnsi="Times New Roman" w:eastAsia="Times New Roman"/>
          <w:sz w:val="28"/>
          <w:szCs w:val="28"/>
          <w:lang w:eastAsia="ru-RU"/>
        </w:rPr>
      </w:pPr>
      <w:r>
        <w:rPr>
          <w:rFonts w:ascii="Times New Roman" w:hAnsi="Times New Roman" w:eastAsia="Times New Roman"/>
          <w:sz w:val="28"/>
          <w:szCs w:val="28"/>
          <w:lang w:eastAsia="ru-RU" w:bidi="ru-RU"/>
        </w:rPr>
        <w:t xml:space="preserve">Постановлением Правительства Ивановской области от 19.02.2014               № </w:t>
      </w:r>
      <w:r>
        <w:rPr>
          <w:rFonts w:ascii="Times New Roman" w:hAnsi="Times New Roman" w:eastAsia="Times New Roman"/>
          <w:sz w:val="28"/>
          <w:szCs w:val="28"/>
          <w:lang w:eastAsia="ru-RU" w:bidi="ru-RU"/>
        </w:rPr>
        <w:t xml:space="preserve">50-п «О государственной системе бесплатной юридической помощи в Ивановской области» утвержден перечень исполнительных органов государственной власти Ивановской области, входящих в государственную систему бесплатной юридической помощи в Ивановской области. </w:t>
      </w:r>
      <w:r>
        <w:rPr>
          <w:rFonts w:ascii="Times New Roman" w:hAnsi="Times New Roman" w:eastAsia="Times New Roman"/>
          <w:sz w:val="28"/>
          <w:szCs w:val="28"/>
          <w:lang w:eastAsia="ru-RU"/>
        </w:rPr>
        <w:t xml:space="preserve">Оказание гражданам бесплатной юридической помощи данными органами осуществляется в соответствии с Федеральным законом о БЮП. </w:t>
      </w:r>
      <w:r>
        <w:rPr>
          <w:rFonts w:ascii="Times New Roman" w:hAnsi="Times New Roman" w:eastAsia="Times New Roman"/>
          <w:sz w:val="28"/>
          <w:szCs w:val="28"/>
          <w:lang w:eastAsia="ru-RU"/>
        </w:rPr>
        <w:t xml:space="preserve">При этом в случаях, указанных в частях 2 и 3 статьи 20 Федерального закона о БЮП участники государственной системы бесплатной юридической помощи Ивано</w:t>
      </w:r>
      <w:r>
        <w:rPr>
          <w:rFonts w:ascii="Times New Roman" w:hAnsi="Times New Roman" w:eastAsia="Times New Roman"/>
          <w:sz w:val="28"/>
          <w:szCs w:val="28"/>
          <w:lang w:eastAsia="ru-RU"/>
        </w:rPr>
        <w:t xml:space="preserve">вской области выдают гражданам (их законным представителям), имеющим право на получение бесплатной юридической помощи, направления к адвокату, включенному в список адвокатов, участвующих в деятельности государственной системы бесплатной юридической помощи.</w:t>
      </w:r>
      <w:r>
        <w:rPr>
          <w:rFonts w:ascii="Times New Roman" w:hAnsi="Times New Roman" w:eastAsia="Times New Roman"/>
          <w:sz w:val="28"/>
          <w:szCs w:val="28"/>
          <w:lang w:eastAsia="ru-RU"/>
        </w:rPr>
      </w:r>
      <w:r>
        <w:rPr>
          <w:rFonts w:ascii="Times New Roman" w:hAnsi="Times New Roman" w:eastAsia="Times New Roman"/>
          <w:sz w:val="28"/>
          <w:szCs w:val="28"/>
          <w:lang w:eastAsia="ru-RU"/>
        </w:rPr>
      </w:r>
    </w:p>
    <w:p>
      <w:pPr>
        <w:ind w:firstLine="709"/>
        <w:jc w:val="both"/>
        <w:spacing w:after="0"/>
        <w:rPr>
          <w:rFonts w:ascii="Times New Roman" w:hAnsi="Times New Roman" w:eastAsia="Times New Roman"/>
          <w:sz w:val="28"/>
          <w:szCs w:val="28"/>
          <w:lang w:eastAsia="ru-RU"/>
        </w:rPr>
      </w:pPr>
      <w:r>
        <w:rPr>
          <w:rFonts w:ascii="Times New Roman" w:hAnsi="Times New Roman" w:eastAsia="Times New Roman"/>
          <w:sz w:val="28"/>
          <w:szCs w:val="28"/>
          <w:lang w:eastAsia="ru-RU"/>
        </w:rPr>
        <w:t xml:space="preserve">Оказание гражданам бесплатной юридической помощи адвокатами осуществляется в соответствии с Федеральным законом о БЮП и Федеральным законом от 31.05.2002 № 63-ФЗ «Об адвокатской деятельности и адвокатуре в Российской Федерации». </w:t>
      </w:r>
      <w:r>
        <w:rPr>
          <w:rFonts w:ascii="Times New Roman" w:hAnsi="Times New Roman" w:eastAsia="Times New Roman"/>
          <w:sz w:val="28"/>
          <w:szCs w:val="28"/>
          <w:lang w:eastAsia="ru-RU"/>
        </w:rPr>
      </w:r>
      <w:r>
        <w:rPr>
          <w:rFonts w:ascii="Times New Roman" w:hAnsi="Times New Roman" w:eastAsia="Times New Roman"/>
          <w:sz w:val="28"/>
          <w:szCs w:val="28"/>
          <w:lang w:eastAsia="ru-RU"/>
        </w:rPr>
      </w:r>
    </w:p>
    <w:p>
      <w:pPr>
        <w:ind w:firstLine="709"/>
        <w:jc w:val="both"/>
        <w:spacing w:after="0"/>
        <w:rPr>
          <w:rFonts w:ascii="Times New Roman" w:hAnsi="Times New Roman" w:eastAsia="Times New Roman"/>
          <w:sz w:val="28"/>
          <w:szCs w:val="28"/>
          <w:lang w:eastAsia="ru-RU" w:bidi="ru-RU"/>
        </w:rPr>
      </w:pPr>
      <w:r>
        <w:rPr>
          <w:rFonts w:ascii="Times New Roman" w:hAnsi="Times New Roman" w:eastAsia="Times New Roman"/>
          <w:sz w:val="28"/>
          <w:szCs w:val="28"/>
          <w:lang w:eastAsia="ru-RU"/>
        </w:rPr>
        <w:t xml:space="preserve">По состоянию на </w:t>
      </w:r>
      <w:r>
        <w:rPr>
          <w:rFonts w:ascii="Times New Roman" w:hAnsi="Times New Roman" w:eastAsia="Times New Roman"/>
          <w:sz w:val="28"/>
          <w:szCs w:val="28"/>
          <w:lang w:eastAsia="ru-RU" w:bidi="ru-RU"/>
        </w:rPr>
        <w:t xml:space="preserve">отчетную дату бесплатную юридическую помощь на территории Ивановской области оказывают 363 адвоката (АППГ - 362). </w:t>
      </w:r>
      <w:r>
        <w:rPr>
          <w:rFonts w:ascii="Times New Roman" w:hAnsi="Times New Roman" w:eastAsia="Times New Roman"/>
          <w:sz w:val="28"/>
          <w:szCs w:val="28"/>
          <w:lang w:eastAsia="ru-RU" w:bidi="ru-RU"/>
        </w:rPr>
      </w:r>
      <w:r>
        <w:rPr>
          <w:rFonts w:ascii="Times New Roman" w:hAnsi="Times New Roman" w:eastAsia="Times New Roman"/>
          <w:sz w:val="28"/>
          <w:szCs w:val="28"/>
          <w:lang w:eastAsia="ru-RU" w:bidi="ru-RU"/>
        </w:rPr>
      </w:r>
    </w:p>
    <w:p>
      <w:pPr>
        <w:ind w:firstLine="709"/>
        <w:jc w:val="both"/>
        <w:spacing w:after="0"/>
        <w:rPr>
          <w:rFonts w:ascii="Times New Roman" w:hAnsi="Times New Roman" w:eastAsia="Times New Roman"/>
          <w:sz w:val="28"/>
          <w:szCs w:val="28"/>
          <w:lang w:eastAsia="ru-RU" w:bidi="ru-RU"/>
        </w:rPr>
      </w:pPr>
      <w:r>
        <w:rPr>
          <w:rFonts w:ascii="Times New Roman" w:hAnsi="Times New Roman" w:eastAsia="Times New Roman"/>
          <w:sz w:val="28"/>
          <w:szCs w:val="28"/>
          <w:lang w:eastAsia="ru-RU" w:bidi="ru-RU"/>
        </w:rPr>
        <w:t xml:space="preserve">Ежегодно Законом Ивановской области «Об областном бюджете» выделяются бюджетные ассигнования на об</w:t>
      </w:r>
      <w:r>
        <w:rPr>
          <w:rFonts w:ascii="Times New Roman" w:hAnsi="Times New Roman" w:eastAsia="Times New Roman"/>
          <w:sz w:val="28"/>
          <w:szCs w:val="28"/>
          <w:lang w:eastAsia="ru-RU" w:bidi="ru-RU"/>
        </w:rPr>
        <w:t xml:space="preserve">еспечения граждан бесплатной юридической помощью на территории Ивановской области. В 2025 году на финансирование деятельности адвокатов в государственной системе бесплатной юридической помощи в Ивановской области выделено 457 231 руб. (АППГ -249 000 руб.).</w:t>
      </w:r>
      <w:r>
        <w:rPr>
          <w:rFonts w:ascii="Times New Roman" w:hAnsi="Times New Roman" w:eastAsia="Times New Roman"/>
          <w:sz w:val="28"/>
          <w:szCs w:val="28"/>
          <w:lang w:eastAsia="ru-RU" w:bidi="ru-RU"/>
        </w:rPr>
      </w:r>
      <w:r>
        <w:rPr>
          <w:rFonts w:ascii="Times New Roman" w:hAnsi="Times New Roman" w:eastAsia="Times New Roman"/>
          <w:sz w:val="28"/>
          <w:szCs w:val="28"/>
          <w:lang w:eastAsia="ru-RU" w:bidi="ru-RU"/>
        </w:rPr>
      </w:r>
    </w:p>
    <w:p>
      <w:pPr>
        <w:ind w:firstLine="709"/>
        <w:jc w:val="both"/>
        <w:spacing w:after="0"/>
        <w:rPr>
          <w:rFonts w:ascii="Times New Roman" w:hAnsi="Times New Roman" w:eastAsia="Times New Roman"/>
          <w:sz w:val="28"/>
          <w:szCs w:val="28"/>
          <w:lang w:eastAsia="ru-RU" w:bidi="ru-RU"/>
        </w:rPr>
      </w:pPr>
      <w:r>
        <w:rPr>
          <w:rFonts w:ascii="Times New Roman" w:hAnsi="Times New Roman" w:eastAsia="Times New Roman"/>
          <w:sz w:val="28"/>
          <w:szCs w:val="28"/>
          <w:lang w:eastAsia="ru-RU" w:bidi="ru-RU"/>
        </w:rPr>
        <w:t xml:space="preserve">В 2025 году в государственную систему бесплатной юриди</w:t>
      </w:r>
      <w:r>
        <w:rPr>
          <w:rFonts w:ascii="Times New Roman" w:hAnsi="Times New Roman" w:eastAsia="Times New Roman"/>
          <w:sz w:val="28"/>
          <w:szCs w:val="28"/>
          <w:lang w:eastAsia="ru-RU" w:bidi="ru-RU"/>
        </w:rPr>
        <w:t xml:space="preserve">ческой помощи в Ивановской области добавилось государственное юридическое бюро. Правительством Ивановской области принято распоряжение от 11.06.2025 № 70-рп «О создании областного казенного учреждения «Государственное юридическое бюро Ивановской области». </w:t>
      </w:r>
      <w:r>
        <w:rPr>
          <w:rFonts w:ascii="Times New Roman" w:hAnsi="Times New Roman" w:eastAsia="Times New Roman"/>
          <w:sz w:val="28"/>
          <w:szCs w:val="28"/>
          <w:lang w:eastAsia="ru-RU" w:bidi="ru-RU"/>
        </w:rPr>
        <w:t xml:space="preserve">Изменения в части расходов на обеспечение деятельности учреждения включены в проект закона Ивановской области «О внесении изменений в закон Ивановской области «Об областном бюджете на 2025 год и на плановый период 2026</w:t>
      </w:r>
      <w:r>
        <w:rPr>
          <w:rFonts w:ascii="Times New Roman" w:hAnsi="Times New Roman" w:eastAsia="Times New Roman"/>
          <w:sz w:val="28"/>
          <w:szCs w:val="28"/>
          <w:lang w:eastAsia="ru-RU" w:bidi="ru-RU"/>
        </w:rPr>
        <w:t xml:space="preserve"> и 2027 годов». 17.07.2025 Правительством также принято постановление № 281-п «О внесении изменений в постановление Правительства Ивановской области от 28.11.2011 № 433-п «Об утверждении уставов областных казенных учреждений, подведомственных Правительству</w:t>
      </w:r>
      <w:r>
        <w:rPr>
          <w:rFonts w:ascii="Times New Roman" w:hAnsi="Times New Roman" w:eastAsia="Times New Roman"/>
          <w:sz w:val="28"/>
          <w:szCs w:val="28"/>
          <w:lang w:eastAsia="ru-RU" w:bidi="ru-RU"/>
        </w:rPr>
        <w:t xml:space="preserve"> Ивановской </w:t>
      </w:r>
      <w:r>
        <w:rPr>
          <w:rFonts w:ascii="Times New Roman" w:hAnsi="Times New Roman" w:eastAsia="Times New Roman"/>
          <w:sz w:val="28"/>
          <w:szCs w:val="28"/>
          <w:lang w:eastAsia="ru-RU" w:bidi="ru-RU"/>
        </w:rPr>
        <w:t xml:space="preserve">области», которым утвержден устав областного казенного учреждения «Государственное юридическое бюро Ивановской области». </w:t>
      </w:r>
      <w:r>
        <w:rPr>
          <w:rFonts w:ascii="Times New Roman" w:hAnsi="Times New Roman" w:eastAsia="Times New Roman"/>
          <w:sz w:val="28"/>
          <w:szCs w:val="28"/>
          <w:lang w:eastAsia="ru-RU" w:bidi="ru-RU"/>
        </w:rPr>
        <w:t xml:space="preserve">Госюрбюро</w:t>
      </w:r>
      <w:r>
        <w:rPr>
          <w:rFonts w:ascii="Times New Roman" w:hAnsi="Times New Roman" w:eastAsia="Times New Roman"/>
          <w:sz w:val="28"/>
          <w:szCs w:val="28"/>
          <w:lang w:eastAsia="ru-RU" w:bidi="ru-RU"/>
        </w:rPr>
        <w:t xml:space="preserve"> в установленном порядке зареги</w:t>
      </w:r>
      <w:r>
        <w:rPr>
          <w:rFonts w:ascii="Times New Roman" w:hAnsi="Times New Roman" w:eastAsia="Times New Roman"/>
          <w:sz w:val="28"/>
          <w:szCs w:val="28"/>
          <w:lang w:eastAsia="ru-RU" w:bidi="ru-RU"/>
        </w:rPr>
        <w:t xml:space="preserve">стрировано 29.07.2025 Управлением Федеральной налоговой службы по Ивановской области с разрешенным видом деятельности 69.10 Деятельность в области права. В августе – ноябре 2025 года произведен подбор персонала, а также проведена работа по укомплектованию </w:t>
      </w:r>
      <w:r>
        <w:rPr>
          <w:rFonts w:ascii="Times New Roman" w:hAnsi="Times New Roman" w:eastAsia="Times New Roman"/>
          <w:sz w:val="28"/>
          <w:szCs w:val="28"/>
          <w:lang w:eastAsia="ru-RU" w:bidi="ru-RU"/>
        </w:rPr>
        <w:t xml:space="preserve">госюрбюро</w:t>
      </w:r>
      <w:r>
        <w:rPr>
          <w:rFonts w:ascii="Times New Roman" w:hAnsi="Times New Roman" w:eastAsia="Times New Roman"/>
          <w:sz w:val="28"/>
          <w:szCs w:val="28"/>
          <w:lang w:eastAsia="ru-RU" w:bidi="ru-RU"/>
        </w:rPr>
        <w:t xml:space="preserve"> материально-техническим оснащением. С ноября 2025 года </w:t>
      </w:r>
      <w:r>
        <w:rPr>
          <w:rFonts w:ascii="Times New Roman" w:hAnsi="Times New Roman" w:eastAsia="Times New Roman"/>
          <w:sz w:val="28"/>
          <w:szCs w:val="28"/>
          <w:lang w:eastAsia="ru-RU" w:bidi="ru-RU"/>
        </w:rPr>
        <w:t xml:space="preserve">госюрбюро</w:t>
      </w:r>
      <w:r>
        <w:rPr>
          <w:rFonts w:ascii="Times New Roman" w:hAnsi="Times New Roman" w:eastAsia="Times New Roman"/>
          <w:sz w:val="28"/>
          <w:szCs w:val="28"/>
          <w:lang w:eastAsia="ru-RU" w:bidi="ru-RU"/>
        </w:rPr>
        <w:t xml:space="preserve"> оказывает гражданам бесплатную юридическую помощь.</w:t>
      </w:r>
      <w:r>
        <w:rPr>
          <w:rFonts w:ascii="Times New Roman" w:hAnsi="Times New Roman" w:eastAsia="Times New Roman"/>
          <w:sz w:val="28"/>
          <w:szCs w:val="28"/>
          <w:lang w:eastAsia="ru-RU" w:bidi="ru-RU"/>
        </w:rPr>
      </w:r>
      <w:r>
        <w:rPr>
          <w:rFonts w:ascii="Times New Roman" w:hAnsi="Times New Roman" w:eastAsia="Times New Roman"/>
          <w:sz w:val="28"/>
          <w:szCs w:val="28"/>
          <w:lang w:eastAsia="ru-RU" w:bidi="ru-RU"/>
        </w:rPr>
      </w:r>
    </w:p>
    <w:p>
      <w:pPr>
        <w:ind w:firstLine="709"/>
        <w:jc w:val="both"/>
        <w:spacing w:after="0"/>
        <w:rPr>
          <w:rFonts w:ascii="Times New Roman" w:hAnsi="Times New Roman" w:eastAsia="Times New Roman"/>
          <w:sz w:val="28"/>
          <w:szCs w:val="28"/>
          <w:lang w:eastAsia="ru-RU" w:bidi="ru-RU"/>
        </w:rPr>
      </w:pPr>
      <w:r>
        <w:rPr>
          <w:rFonts w:ascii="Times New Roman" w:hAnsi="Times New Roman" w:eastAsia="Times New Roman"/>
          <w:sz w:val="28"/>
          <w:szCs w:val="28"/>
          <w:lang w:eastAsia="ru-RU" w:bidi="ru-RU"/>
        </w:rPr>
        <w:t xml:space="preserve">Во исполнение Федерального закона о БЮП, на территории области функционирует негосударственная система бесплатной </w:t>
      </w:r>
      <w:r>
        <w:rPr>
          <w:rFonts w:ascii="Times New Roman" w:hAnsi="Times New Roman" w:eastAsia="Times New Roman"/>
          <w:sz w:val="28"/>
          <w:szCs w:val="28"/>
          <w:lang w:eastAsia="ru-RU" w:bidi="ru-RU"/>
        </w:rPr>
        <w:t xml:space="preserve">юридической помощи, к которой относится деятельность 3 юридических клиник образовательных организаций высшего профессионального образования и 3 негосударственных центров бесплатной юридической помощи. На сегодняшний день в Ивановской области функционируют:</w:t>
      </w:r>
      <w:r>
        <w:rPr>
          <w:rFonts w:ascii="Times New Roman" w:hAnsi="Times New Roman" w:eastAsia="Times New Roman"/>
          <w:sz w:val="28"/>
          <w:szCs w:val="28"/>
          <w:lang w:eastAsia="ru-RU" w:bidi="ru-RU"/>
        </w:rPr>
      </w:r>
      <w:r>
        <w:rPr>
          <w:rFonts w:ascii="Times New Roman" w:hAnsi="Times New Roman" w:eastAsia="Times New Roman"/>
          <w:sz w:val="28"/>
          <w:szCs w:val="28"/>
          <w:lang w:eastAsia="ru-RU" w:bidi="ru-RU"/>
        </w:rPr>
      </w:r>
    </w:p>
    <w:p>
      <w:pPr>
        <w:numPr>
          <w:ilvl w:val="0"/>
          <w:numId w:val="86"/>
        </w:numPr>
        <w:contextualSpacing/>
        <w:ind w:left="0" w:firstLine="709"/>
        <w:jc w:val="both"/>
        <w:spacing w:after="0"/>
        <w:rPr>
          <w:rFonts w:ascii="Times New Roman" w:hAnsi="Times New Roman" w:eastAsia="Times New Roman"/>
          <w:sz w:val="28"/>
          <w:szCs w:val="28"/>
          <w:lang w:eastAsia="ru-RU" w:bidi="ru-RU"/>
        </w:rPr>
      </w:pPr>
      <w:r>
        <w:rPr>
          <w:rFonts w:ascii="Times New Roman" w:hAnsi="Times New Roman" w:eastAsia="Times New Roman"/>
          <w:sz w:val="28"/>
          <w:szCs w:val="28"/>
          <w:lang w:eastAsia="ru-RU" w:bidi="ru-RU"/>
        </w:rPr>
        <w:t xml:space="preserve"> «Центр бесплатной юридической помощи для граждан» Ивановской областной нотариальной палаты;</w:t>
      </w:r>
      <w:r>
        <w:rPr>
          <w:rFonts w:ascii="Times New Roman" w:hAnsi="Times New Roman" w:eastAsia="Times New Roman"/>
          <w:sz w:val="28"/>
          <w:szCs w:val="28"/>
          <w:lang w:eastAsia="ru-RU" w:bidi="ru-RU"/>
        </w:rPr>
      </w:r>
      <w:r>
        <w:rPr>
          <w:rFonts w:ascii="Times New Roman" w:hAnsi="Times New Roman" w:eastAsia="Times New Roman"/>
          <w:sz w:val="28"/>
          <w:szCs w:val="28"/>
          <w:lang w:eastAsia="ru-RU" w:bidi="ru-RU"/>
        </w:rPr>
      </w:r>
    </w:p>
    <w:p>
      <w:pPr>
        <w:numPr>
          <w:ilvl w:val="0"/>
          <w:numId w:val="86"/>
        </w:numPr>
        <w:contextualSpacing/>
        <w:ind w:left="0" w:firstLine="709"/>
        <w:jc w:val="both"/>
        <w:spacing w:after="0"/>
        <w:rPr>
          <w:rFonts w:ascii="Times New Roman" w:hAnsi="Times New Roman" w:eastAsia="Times New Roman"/>
          <w:sz w:val="28"/>
          <w:szCs w:val="28"/>
          <w:lang w:eastAsia="ru-RU" w:bidi="ru-RU"/>
        </w:rPr>
      </w:pPr>
      <w:r>
        <w:rPr>
          <w:rFonts w:ascii="Times New Roman" w:hAnsi="Times New Roman" w:eastAsia="Times New Roman"/>
          <w:sz w:val="28"/>
          <w:szCs w:val="28"/>
          <w:lang w:eastAsia="ru-RU" w:bidi="ru-RU"/>
        </w:rPr>
        <w:t xml:space="preserve"> Негосударственный центр бесплатной юридической помощи «Адвокаты - гражданам»;</w:t>
      </w:r>
      <w:r>
        <w:rPr>
          <w:rFonts w:ascii="Times New Roman" w:hAnsi="Times New Roman" w:eastAsia="Times New Roman"/>
          <w:sz w:val="28"/>
          <w:szCs w:val="28"/>
          <w:lang w:eastAsia="ru-RU" w:bidi="ru-RU"/>
        </w:rPr>
      </w:r>
      <w:r>
        <w:rPr>
          <w:rFonts w:ascii="Times New Roman" w:hAnsi="Times New Roman" w:eastAsia="Times New Roman"/>
          <w:sz w:val="28"/>
          <w:szCs w:val="28"/>
          <w:lang w:eastAsia="ru-RU" w:bidi="ru-RU"/>
        </w:rPr>
      </w:r>
    </w:p>
    <w:p>
      <w:pPr>
        <w:numPr>
          <w:ilvl w:val="0"/>
          <w:numId w:val="86"/>
        </w:numPr>
        <w:contextualSpacing/>
        <w:ind w:left="0" w:firstLine="709"/>
        <w:jc w:val="both"/>
        <w:spacing w:after="0"/>
        <w:rPr>
          <w:rFonts w:ascii="Times New Roman" w:hAnsi="Times New Roman" w:eastAsia="Times New Roman"/>
          <w:sz w:val="28"/>
          <w:szCs w:val="28"/>
          <w:lang w:eastAsia="ru-RU" w:bidi="ru-RU"/>
        </w:rPr>
      </w:pPr>
      <w:r>
        <w:rPr>
          <w:rFonts w:ascii="Times New Roman" w:hAnsi="Times New Roman" w:eastAsia="Times New Roman"/>
          <w:sz w:val="28"/>
          <w:szCs w:val="28"/>
          <w:lang w:eastAsia="ru-RU" w:bidi="ru-RU"/>
        </w:rPr>
        <w:t xml:space="preserve"> Негосударственный центр бесплатной юридической помощи «Ивановского регионального отделения Ассоциации юристов России»;</w:t>
      </w:r>
      <w:r>
        <w:rPr>
          <w:rFonts w:ascii="Times New Roman" w:hAnsi="Times New Roman" w:eastAsia="Times New Roman"/>
          <w:sz w:val="28"/>
          <w:szCs w:val="28"/>
          <w:lang w:eastAsia="ru-RU" w:bidi="ru-RU"/>
        </w:rPr>
      </w:r>
      <w:r>
        <w:rPr>
          <w:rFonts w:ascii="Times New Roman" w:hAnsi="Times New Roman" w:eastAsia="Times New Roman"/>
          <w:sz w:val="28"/>
          <w:szCs w:val="28"/>
          <w:lang w:eastAsia="ru-RU" w:bidi="ru-RU"/>
        </w:rPr>
      </w:r>
    </w:p>
    <w:p>
      <w:pPr>
        <w:numPr>
          <w:ilvl w:val="0"/>
          <w:numId w:val="85"/>
        </w:numPr>
        <w:contextualSpacing/>
        <w:ind w:left="0" w:firstLine="709"/>
        <w:jc w:val="both"/>
        <w:spacing w:after="0"/>
        <w:rPr>
          <w:rFonts w:ascii="Times New Roman" w:hAnsi="Times New Roman" w:eastAsia="Times New Roman"/>
          <w:sz w:val="28"/>
          <w:szCs w:val="28"/>
          <w:lang w:eastAsia="ru-RU" w:bidi="ru-RU"/>
        </w:rPr>
      </w:pPr>
      <w:r>
        <w:rPr>
          <w:rFonts w:ascii="Times New Roman" w:hAnsi="Times New Roman" w:eastAsia="Times New Roman"/>
          <w:sz w:val="28"/>
          <w:szCs w:val="28"/>
          <w:lang w:eastAsia="ru-RU" w:bidi="ru-RU"/>
        </w:rPr>
        <w:t xml:space="preserve"> Центр студенческой правовой помощи при юридическом факультете ФГБОУ </w:t>
      </w:r>
      <w:r>
        <w:rPr>
          <w:rFonts w:ascii="Times New Roman" w:hAnsi="Times New Roman" w:eastAsia="Times New Roman"/>
          <w:sz w:val="28"/>
          <w:szCs w:val="28"/>
          <w:lang w:eastAsia="ru-RU" w:bidi="ru-RU"/>
        </w:rPr>
        <w:t xml:space="preserve">ВО</w:t>
      </w:r>
      <w:r>
        <w:rPr>
          <w:rFonts w:ascii="Times New Roman" w:hAnsi="Times New Roman" w:eastAsia="Times New Roman"/>
          <w:sz w:val="28"/>
          <w:szCs w:val="28"/>
          <w:lang w:eastAsia="ru-RU" w:bidi="ru-RU"/>
        </w:rPr>
        <w:t xml:space="preserve"> «Ивановский государственный университет»;</w:t>
      </w:r>
      <w:r>
        <w:rPr>
          <w:rFonts w:ascii="Times New Roman" w:hAnsi="Times New Roman" w:eastAsia="Times New Roman"/>
          <w:sz w:val="28"/>
          <w:szCs w:val="28"/>
          <w:lang w:eastAsia="ru-RU" w:bidi="ru-RU"/>
        </w:rPr>
      </w:r>
      <w:r>
        <w:rPr>
          <w:rFonts w:ascii="Times New Roman" w:hAnsi="Times New Roman" w:eastAsia="Times New Roman"/>
          <w:sz w:val="28"/>
          <w:szCs w:val="28"/>
          <w:lang w:eastAsia="ru-RU" w:bidi="ru-RU"/>
        </w:rPr>
      </w:r>
    </w:p>
    <w:p>
      <w:pPr>
        <w:numPr>
          <w:ilvl w:val="0"/>
          <w:numId w:val="85"/>
        </w:numPr>
        <w:contextualSpacing/>
        <w:ind w:left="0" w:firstLine="709"/>
        <w:jc w:val="both"/>
        <w:spacing w:after="0"/>
        <w:rPr>
          <w:rFonts w:ascii="Times New Roman" w:hAnsi="Times New Roman" w:eastAsia="Times New Roman"/>
          <w:sz w:val="28"/>
          <w:szCs w:val="28"/>
          <w:lang w:eastAsia="ru-RU" w:bidi="ru-RU"/>
        </w:rPr>
      </w:pPr>
      <w:r>
        <w:rPr>
          <w:rFonts w:ascii="Times New Roman" w:hAnsi="Times New Roman" w:eastAsia="Times New Roman"/>
          <w:sz w:val="28"/>
          <w:szCs w:val="28"/>
          <w:lang w:eastAsia="ru-RU" w:bidi="ru-RU"/>
        </w:rPr>
        <w:t xml:space="preserve"> Юридическая клиника при Ивановском филиале Международного юридического института;</w:t>
      </w:r>
      <w:r>
        <w:rPr>
          <w:rFonts w:ascii="Times New Roman" w:hAnsi="Times New Roman" w:eastAsia="Times New Roman"/>
          <w:sz w:val="28"/>
          <w:szCs w:val="28"/>
          <w:lang w:eastAsia="ru-RU" w:bidi="ru-RU"/>
        </w:rPr>
      </w:r>
      <w:r>
        <w:rPr>
          <w:rFonts w:ascii="Times New Roman" w:hAnsi="Times New Roman" w:eastAsia="Times New Roman"/>
          <w:sz w:val="28"/>
          <w:szCs w:val="28"/>
          <w:lang w:eastAsia="ru-RU" w:bidi="ru-RU"/>
        </w:rPr>
      </w:r>
    </w:p>
    <w:p>
      <w:pPr>
        <w:numPr>
          <w:ilvl w:val="0"/>
          <w:numId w:val="85"/>
        </w:numPr>
        <w:contextualSpacing/>
        <w:ind w:left="0" w:firstLine="709"/>
        <w:jc w:val="both"/>
        <w:spacing w:after="0"/>
        <w:rPr>
          <w:rFonts w:ascii="Times New Roman" w:hAnsi="Times New Roman" w:eastAsia="Times New Roman"/>
          <w:sz w:val="28"/>
          <w:szCs w:val="28"/>
          <w:lang w:eastAsia="ru-RU" w:bidi="ru-RU"/>
        </w:rPr>
      </w:pPr>
      <w:r>
        <w:rPr>
          <w:rFonts w:ascii="Times New Roman" w:hAnsi="Times New Roman" w:eastAsia="Times New Roman"/>
          <w:sz w:val="28"/>
          <w:szCs w:val="28"/>
          <w:lang w:eastAsia="ru-RU" w:bidi="ru-RU"/>
        </w:rPr>
        <w:t xml:space="preserve"> Юридическая клиника Ивановского филиала Негосударственного образовательного учреждения высшего профессионального образования «Институт управления».</w:t>
      </w:r>
      <w:r>
        <w:rPr>
          <w:rFonts w:ascii="Times New Roman" w:hAnsi="Times New Roman" w:eastAsia="Times New Roman"/>
          <w:sz w:val="28"/>
          <w:szCs w:val="28"/>
          <w:lang w:eastAsia="ru-RU" w:bidi="ru-RU"/>
        </w:rPr>
      </w:r>
      <w:r>
        <w:rPr>
          <w:rFonts w:ascii="Times New Roman" w:hAnsi="Times New Roman" w:eastAsia="Times New Roman"/>
          <w:sz w:val="28"/>
          <w:szCs w:val="28"/>
          <w:lang w:eastAsia="ru-RU" w:bidi="ru-RU"/>
        </w:rPr>
      </w:r>
    </w:p>
    <w:p>
      <w:pPr>
        <w:contextualSpacing/>
        <w:ind w:firstLine="709"/>
        <w:jc w:val="both"/>
        <w:spacing w:after="0"/>
        <w:rPr>
          <w:rFonts w:ascii="Times New Roman" w:hAnsi="Times New Roman" w:eastAsia="Times New Roman"/>
          <w:sz w:val="28"/>
          <w:szCs w:val="28"/>
          <w:lang w:eastAsia="ru-RU" w:bidi="ru-RU"/>
        </w:rPr>
      </w:pPr>
      <w:r>
        <w:rPr>
          <w:rFonts w:ascii="Times New Roman" w:hAnsi="Times New Roman" w:eastAsia="Times New Roman"/>
          <w:sz w:val="28"/>
          <w:szCs w:val="28"/>
          <w:lang w:eastAsia="ru-RU" w:bidi="ru-RU"/>
        </w:rPr>
        <w:t xml:space="preserve">С данными центрами БЮП и организациями Уполномоченным налажено продуктивное взаимодействие в сфере защиты прав человека и оказания бесплатной квалифицированной юридической помощи, в том числе подкрепленное Соглашениями о сотрудничестве. </w:t>
      </w:r>
      <w:r>
        <w:rPr>
          <w:rFonts w:ascii="Times New Roman" w:hAnsi="Times New Roman" w:eastAsia="Times New Roman"/>
          <w:sz w:val="28"/>
          <w:szCs w:val="28"/>
          <w:lang w:eastAsia="ru-RU" w:bidi="ru-RU"/>
        </w:rPr>
      </w:r>
      <w:r>
        <w:rPr>
          <w:rFonts w:ascii="Times New Roman" w:hAnsi="Times New Roman" w:eastAsia="Times New Roman"/>
          <w:sz w:val="28"/>
          <w:szCs w:val="28"/>
          <w:lang w:eastAsia="ru-RU" w:bidi="ru-RU"/>
        </w:rPr>
      </w:r>
    </w:p>
    <w:p>
      <w:pPr>
        <w:ind w:firstLine="708"/>
        <w:jc w:val="both"/>
        <w:spacing w:after="0"/>
        <w:rPr>
          <w:rFonts w:ascii="Times New Roman" w:hAnsi="Times New Roman"/>
          <w:sz w:val="28"/>
          <w:szCs w:val="28"/>
        </w:rPr>
      </w:pPr>
      <w:r>
        <w:rPr>
          <w:rFonts w:ascii="Times New Roman" w:hAnsi="Times New Roman"/>
          <w:sz w:val="28"/>
          <w:szCs w:val="28"/>
        </w:rPr>
        <w:t xml:space="preserve">Координатором функционирования системы бесплатной юридической помощи в Ивановской области является Управление Министерства юстиции Российской Федерации.</w:t>
      </w:r>
      <w:r>
        <w:rPr>
          <w:rFonts w:ascii="Times New Roman" w:hAnsi="Times New Roman"/>
          <w:sz w:val="28"/>
          <w:szCs w:val="28"/>
        </w:rPr>
      </w:r>
      <w:r>
        <w:rPr>
          <w:rFonts w:ascii="Times New Roman" w:hAnsi="Times New Roman"/>
          <w:sz w:val="28"/>
          <w:szCs w:val="28"/>
        </w:rPr>
      </w:r>
    </w:p>
    <w:p>
      <w:pPr>
        <w:ind w:firstLine="709"/>
        <w:jc w:val="both"/>
        <w:spacing w:after="0"/>
        <w:rPr>
          <w:rFonts w:ascii="Times New Roman" w:hAnsi="Times New Roman" w:eastAsia="Times New Roman"/>
          <w:sz w:val="28"/>
          <w:szCs w:val="28"/>
          <w:lang w:eastAsia="ru-RU"/>
        </w:rPr>
      </w:pPr>
      <w:r>
        <w:rPr>
          <w:rFonts w:ascii="Times New Roman" w:hAnsi="Times New Roman" w:eastAsia="Times New Roman"/>
          <w:sz w:val="28"/>
          <w:szCs w:val="28"/>
          <w:lang w:eastAsia="ru-RU"/>
        </w:rPr>
        <w:t xml:space="preserve">Сотрудниками Управления проведены прямые линии на тему: </w:t>
      </w:r>
      <w:r>
        <w:rPr>
          <w:rFonts w:ascii="Times New Roman" w:hAnsi="Times New Roman" w:eastAsia="Times New Roman"/>
          <w:sz w:val="28"/>
          <w:szCs w:val="28"/>
          <w:lang w:eastAsia="ru-RU"/>
        </w:rPr>
        <w:t xml:space="preserve">«Оказание консультационной помощи в Центре правового просвещения при Управлении Минюста России по Ивановской области», «Оказание </w:t>
      </w:r>
      <w:r>
        <w:rPr>
          <w:rFonts w:ascii="Times New Roman" w:hAnsi="Times New Roman" w:eastAsia="Times New Roman"/>
          <w:sz w:val="28"/>
          <w:szCs w:val="28"/>
          <w:lang w:eastAsia="ru-RU"/>
        </w:rPr>
        <w:t xml:space="preserve">бесплатной юридической помощи исполнительными органами государственной власти Ивановской </w:t>
      </w:r>
      <w:r>
        <w:rPr>
          <w:rFonts w:ascii="Times New Roman" w:hAnsi="Times New Roman" w:eastAsia="Times New Roman"/>
          <w:sz w:val="28"/>
          <w:szCs w:val="28"/>
          <w:lang w:eastAsia="ru-RU"/>
        </w:rPr>
        <w:t xml:space="preserve">области и подведомственными им учреждениями», «Оказание бесплатной юридической помощи в негосударственных центрах бесплатной юридической помощи в Ивановской области», «Порядок и условия оказания бесплатной юридической помощи адвокатами Ивановской области».</w:t>
      </w:r>
      <w:r>
        <w:rPr>
          <w:rFonts w:ascii="Times New Roman" w:hAnsi="Times New Roman" w:eastAsia="Times New Roman"/>
          <w:sz w:val="28"/>
          <w:szCs w:val="28"/>
          <w:lang w:eastAsia="ru-RU"/>
        </w:rPr>
      </w:r>
      <w:r>
        <w:rPr>
          <w:rFonts w:ascii="Times New Roman" w:hAnsi="Times New Roman" w:eastAsia="Times New Roman"/>
          <w:sz w:val="28"/>
          <w:szCs w:val="28"/>
          <w:lang w:eastAsia="ru-RU"/>
        </w:rPr>
      </w:r>
    </w:p>
    <w:p>
      <w:pPr>
        <w:ind w:firstLine="709"/>
        <w:jc w:val="both"/>
        <w:spacing w:after="0"/>
        <w:rPr>
          <w:rFonts w:ascii="Times New Roman" w:hAnsi="Times New Roman"/>
          <w:sz w:val="28"/>
          <w:szCs w:val="28"/>
        </w:rPr>
      </w:pPr>
      <w:r>
        <w:rPr>
          <w:rFonts w:ascii="Times New Roman" w:hAnsi="Times New Roman"/>
          <w:sz w:val="28"/>
          <w:szCs w:val="28"/>
        </w:rPr>
        <w:t xml:space="preserve">Уполномоченный и сотрудники аппарата  организовали и </w:t>
      </w:r>
      <w:r>
        <w:rPr>
          <w:rFonts w:ascii="Times New Roman" w:hAnsi="Times New Roman"/>
          <w:sz w:val="28"/>
          <w:szCs w:val="28"/>
        </w:rPr>
        <w:t xml:space="preserve">(или) приняли участие в следующих тематических приемах граждан: для многодетных семей, приуроченный к празднованию Дня матери; для ветеранов Великой Отечественной войны, труда и пенсионеров,  приуроченный к празднованию юбилея Победы; ко дню защиты детей. </w:t>
      </w:r>
      <w:r>
        <w:rPr>
          <w:rFonts w:ascii="Times New Roman" w:hAnsi="Times New Roman"/>
          <w:sz w:val="28"/>
          <w:szCs w:val="28"/>
        </w:rPr>
      </w:r>
      <w:r>
        <w:rPr>
          <w:rFonts w:ascii="Times New Roman" w:hAnsi="Times New Roman"/>
          <w:sz w:val="28"/>
          <w:szCs w:val="28"/>
        </w:rPr>
      </w:r>
    </w:p>
    <w:p>
      <w:pPr>
        <w:ind w:firstLine="709"/>
        <w:jc w:val="both"/>
        <w:spacing w:after="0"/>
        <w:rPr>
          <w:rFonts w:ascii="Times New Roman" w:hAnsi="Times New Roman"/>
          <w:sz w:val="28"/>
          <w:szCs w:val="28"/>
        </w:rPr>
      </w:pPr>
      <w:r>
        <w:rPr>
          <w:rFonts w:ascii="Times New Roman" w:hAnsi="Times New Roman"/>
          <w:sz w:val="28"/>
          <w:szCs w:val="28"/>
        </w:rPr>
        <w:t xml:space="preserve">В рамках имеющихся партнерских отношений с </w:t>
      </w:r>
      <w:r>
        <w:rPr>
          <w:rFonts w:ascii="Times New Roman" w:hAnsi="Times New Roman" w:eastAsia="Times New Roman"/>
          <w:sz w:val="28"/>
          <w:szCs w:val="28"/>
          <w:lang w:eastAsia="ru-RU" w:bidi="ru-RU"/>
        </w:rPr>
        <w:t xml:space="preserve">Ивановским региональным отделением Ассоциации юристов России Уполномоченный и юристы аппарата </w:t>
      </w:r>
      <w:r>
        <w:rPr>
          <w:rFonts w:ascii="Times New Roman" w:hAnsi="Times New Roman"/>
          <w:sz w:val="28"/>
          <w:szCs w:val="28"/>
        </w:rPr>
        <w:t xml:space="preserve"> ежеквартально участвовали во Всероссийских единых днях бесплатной юридической помощи.</w:t>
      </w:r>
      <w:r>
        <w:rPr>
          <w:rFonts w:ascii="Times New Roman" w:hAnsi="Times New Roman"/>
          <w:sz w:val="28"/>
          <w:szCs w:val="28"/>
        </w:rPr>
      </w:r>
      <w:r>
        <w:rPr>
          <w:rFonts w:ascii="Times New Roman" w:hAnsi="Times New Roman"/>
          <w:sz w:val="28"/>
          <w:szCs w:val="28"/>
        </w:rPr>
      </w:r>
    </w:p>
    <w:p>
      <w:pPr>
        <w:ind w:firstLine="709"/>
        <w:jc w:val="both"/>
        <w:spacing w:after="0"/>
        <w:rPr>
          <w:rFonts w:ascii="Times New Roman" w:hAnsi="Times New Roman" w:eastAsia="Times New Roman"/>
          <w:sz w:val="28"/>
          <w:szCs w:val="28"/>
          <w:lang w:eastAsia="ru-RU" w:bidi="ru-RU"/>
        </w:rPr>
      </w:pPr>
      <w:r>
        <w:rPr>
          <w:rFonts w:ascii="Times New Roman" w:hAnsi="Times New Roman"/>
          <w:sz w:val="28"/>
          <w:szCs w:val="28"/>
        </w:rPr>
        <w:t xml:space="preserve">Члены </w:t>
      </w:r>
      <w:r>
        <w:rPr>
          <w:rFonts w:ascii="Times New Roman" w:hAnsi="Times New Roman" w:eastAsia="Times New Roman"/>
          <w:sz w:val="28"/>
          <w:szCs w:val="28"/>
          <w:lang w:eastAsia="ru-RU" w:bidi="ru-RU"/>
        </w:rPr>
        <w:t xml:space="preserve">регионального отделения Ассоциации юристов России и партнеры отделения за 2025 год </w:t>
      </w:r>
      <w:r>
        <w:rPr>
          <w:rFonts w:ascii="Times New Roman" w:hAnsi="Times New Roman" w:eastAsia="Times New Roman"/>
          <w:sz w:val="28"/>
          <w:szCs w:val="28"/>
          <w:shd w:val="clear" w:color="auto" w:fill="ffffff"/>
        </w:rPr>
        <w:t xml:space="preserve">в ходе дней БЮП </w:t>
      </w:r>
      <w:r>
        <w:rPr>
          <w:rFonts w:ascii="Times New Roman" w:hAnsi="Times New Roman" w:eastAsia="Times New Roman"/>
          <w:sz w:val="28"/>
          <w:szCs w:val="28"/>
          <w:lang w:eastAsia="ru-RU" w:bidi="ru-RU"/>
        </w:rPr>
        <w:t xml:space="preserve">оказали правовую помощь 967 гражданам</w:t>
      </w:r>
      <w:r>
        <w:rPr>
          <w:rFonts w:ascii="Times New Roman" w:hAnsi="Times New Roman" w:eastAsia="Times New Roman"/>
          <w:sz w:val="28"/>
          <w:szCs w:val="28"/>
          <w:shd w:val="clear" w:color="auto" w:fill="ffffff"/>
        </w:rPr>
        <w:t xml:space="preserve">.</w:t>
      </w:r>
      <w:r>
        <w:rPr>
          <w:rFonts w:ascii="Times New Roman" w:hAnsi="Times New Roman" w:eastAsia="Times New Roman"/>
          <w:sz w:val="28"/>
          <w:szCs w:val="28"/>
          <w:lang w:eastAsia="ru-RU" w:bidi="ru-RU"/>
        </w:rPr>
      </w:r>
      <w:r>
        <w:rPr>
          <w:rFonts w:ascii="Times New Roman" w:hAnsi="Times New Roman" w:eastAsia="Times New Roman"/>
          <w:sz w:val="28"/>
          <w:szCs w:val="28"/>
          <w:lang w:eastAsia="ru-RU" w:bidi="ru-RU"/>
        </w:rPr>
      </w:r>
    </w:p>
    <w:p>
      <w:pPr>
        <w:ind w:firstLine="709"/>
        <w:jc w:val="both"/>
        <w:spacing w:after="0"/>
        <w:rPr>
          <w:rFonts w:ascii="Times New Roman" w:hAnsi="Times New Roman" w:eastAsia="Times New Roman"/>
          <w:sz w:val="28"/>
          <w:szCs w:val="28"/>
          <w:lang w:eastAsia="ru-RU" w:bidi="ru-RU"/>
        </w:rPr>
      </w:pPr>
      <w:r>
        <w:rPr>
          <w:rFonts w:ascii="Times New Roman" w:hAnsi="Times New Roman" w:eastAsia="Times New Roman"/>
          <w:sz w:val="28"/>
          <w:szCs w:val="28"/>
          <w:lang w:eastAsia="ru-RU" w:bidi="ru-RU"/>
        </w:rPr>
        <w:t xml:space="preserve">26 июня 2025 года прошла акция «</w:t>
      </w:r>
      <w:r>
        <w:rPr>
          <w:rFonts w:ascii="Times New Roman" w:hAnsi="Times New Roman" w:eastAsia="Times New Roman"/>
          <w:sz w:val="28"/>
          <w:szCs w:val="28"/>
          <w:lang w:eastAsia="ru-RU" w:bidi="ru-RU"/>
        </w:rPr>
        <w:t xml:space="preserve">Правомобиль</w:t>
      </w:r>
      <w:r>
        <w:rPr>
          <w:rFonts w:ascii="Times New Roman" w:hAnsi="Times New Roman" w:eastAsia="Times New Roman"/>
          <w:sz w:val="28"/>
          <w:szCs w:val="28"/>
          <w:lang w:eastAsia="ru-RU" w:bidi="ru-RU"/>
        </w:rPr>
        <w:t xml:space="preserve">», организованная Центром правового просвещения при Управлении совместно с Управлением Федеральной службы судебных приставов по Ивановской области. Участники акции «</w:t>
      </w:r>
      <w:r>
        <w:rPr>
          <w:rFonts w:ascii="Times New Roman" w:hAnsi="Times New Roman" w:eastAsia="Times New Roman"/>
          <w:sz w:val="28"/>
          <w:szCs w:val="28"/>
          <w:lang w:eastAsia="ru-RU" w:bidi="ru-RU"/>
        </w:rPr>
        <w:t xml:space="preserve">Правомобиль</w:t>
      </w:r>
      <w:r>
        <w:rPr>
          <w:rFonts w:ascii="Times New Roman" w:hAnsi="Times New Roman" w:eastAsia="Times New Roman"/>
          <w:sz w:val="28"/>
          <w:szCs w:val="28"/>
          <w:lang w:eastAsia="ru-RU" w:bidi="ru-RU"/>
        </w:rPr>
        <w:t xml:space="preserve">» посетили Шую, </w:t>
      </w:r>
      <w:r>
        <w:rPr>
          <w:rFonts w:ascii="Times New Roman" w:hAnsi="Times New Roman" w:eastAsia="Times New Roman"/>
          <w:sz w:val="28"/>
          <w:szCs w:val="28"/>
          <w:lang w:eastAsia="ru-RU" w:bidi="ru-RU"/>
        </w:rPr>
        <w:t xml:space="preserve">Остаповское</w:t>
      </w:r>
      <w:r>
        <w:rPr>
          <w:rFonts w:ascii="Times New Roman" w:hAnsi="Times New Roman" w:eastAsia="Times New Roman"/>
          <w:sz w:val="28"/>
          <w:szCs w:val="28"/>
          <w:lang w:eastAsia="ru-RU" w:bidi="ru-RU"/>
        </w:rPr>
        <w:t xml:space="preserve"> сельское поселение и </w:t>
      </w:r>
      <w:r>
        <w:rPr>
          <w:rFonts w:ascii="Times New Roman" w:hAnsi="Times New Roman" w:eastAsia="Times New Roman"/>
          <w:sz w:val="28"/>
          <w:szCs w:val="28"/>
          <w:lang w:eastAsia="ru-RU" w:bidi="ru-RU"/>
        </w:rPr>
        <w:t xml:space="preserve">Колобовское</w:t>
      </w:r>
      <w:r>
        <w:rPr>
          <w:rFonts w:ascii="Times New Roman" w:hAnsi="Times New Roman" w:eastAsia="Times New Roman"/>
          <w:sz w:val="28"/>
          <w:szCs w:val="28"/>
          <w:lang w:eastAsia="ru-RU" w:bidi="ru-RU"/>
        </w:rPr>
        <w:t xml:space="preserve"> городское поселение Шуйского муниципального района. </w:t>
      </w:r>
      <w:r>
        <w:rPr>
          <w:rFonts w:ascii="Times New Roman" w:hAnsi="Times New Roman" w:eastAsia="Times New Roman"/>
          <w:sz w:val="28"/>
          <w:szCs w:val="28"/>
          <w:lang w:eastAsia="ru-RU" w:bidi="ru-RU"/>
        </w:rPr>
        <w:t xml:space="preserve">В акции п</w:t>
      </w:r>
      <w:r>
        <w:rPr>
          <w:rFonts w:ascii="Times New Roman" w:hAnsi="Times New Roman" w:eastAsia="Times New Roman"/>
          <w:sz w:val="28"/>
          <w:szCs w:val="28"/>
          <w:lang w:eastAsia="ru-RU" w:bidi="ru-RU"/>
        </w:rPr>
        <w:t xml:space="preserve">риняли участие представители Управления Федеральной службы судебных приставов по Ивановской области, Управления Федеральной налоговой службы по Ивановской области, Управления Федеральной службы государственной регистрации, кадастра и картографии по Ивановс</w:t>
      </w:r>
      <w:r>
        <w:rPr>
          <w:rFonts w:ascii="Times New Roman" w:hAnsi="Times New Roman" w:eastAsia="Times New Roman"/>
          <w:sz w:val="28"/>
          <w:szCs w:val="28"/>
          <w:lang w:eastAsia="ru-RU" w:bidi="ru-RU"/>
        </w:rPr>
        <w:t xml:space="preserve">кой области, Отделения Социального фонда России по Ивановской области, Ивановской областной нотариальной палаты, Адвокатской палаты Ивановской области, Ивановского регионального отделения Общероссийской общественной организации «Ассоциация юристов России».</w:t>
      </w:r>
      <w:r>
        <w:rPr>
          <w:rFonts w:ascii="Times New Roman" w:hAnsi="Times New Roman" w:eastAsia="Times New Roman"/>
          <w:sz w:val="28"/>
          <w:szCs w:val="28"/>
          <w:lang w:eastAsia="ru-RU" w:bidi="ru-RU"/>
        </w:rPr>
        <w:t xml:space="preserve"> Жители сельских поселений обращались с в</w:t>
      </w:r>
      <w:r>
        <w:rPr>
          <w:rFonts w:ascii="Times New Roman" w:hAnsi="Times New Roman" w:eastAsia="Times New Roman"/>
          <w:sz w:val="28"/>
          <w:szCs w:val="28"/>
          <w:lang w:eastAsia="ru-RU" w:bidi="ru-RU"/>
        </w:rPr>
        <w:t xml:space="preserve">опросами, связанными с назначением и определением размера пенсий, изменением разрешенного вида использования земель, получения выплат участникам СВО и членам их семей и др. Всем обратившимся гражданам даны подробные консультации по волновавшим их вопросам.</w:t>
      </w:r>
      <w:r>
        <w:rPr>
          <w:rFonts w:ascii="Times New Roman" w:hAnsi="Times New Roman" w:eastAsia="Times New Roman"/>
          <w:sz w:val="28"/>
          <w:szCs w:val="28"/>
          <w:lang w:eastAsia="ru-RU" w:bidi="ru-RU"/>
        </w:rPr>
      </w:r>
      <w:r>
        <w:rPr>
          <w:rFonts w:ascii="Times New Roman" w:hAnsi="Times New Roman" w:eastAsia="Times New Roman"/>
          <w:sz w:val="28"/>
          <w:szCs w:val="28"/>
          <w:lang w:eastAsia="ru-RU" w:bidi="ru-RU"/>
        </w:rPr>
      </w:r>
    </w:p>
    <w:p>
      <w:pPr>
        <w:ind w:firstLine="709"/>
        <w:jc w:val="both"/>
        <w:spacing w:after="0"/>
        <w:rPr>
          <w:rFonts w:ascii="Times New Roman" w:hAnsi="Times New Roman" w:eastAsia="Times New Roman"/>
          <w:sz w:val="28"/>
          <w:szCs w:val="28"/>
          <w:lang w:eastAsia="ru-RU" w:bidi="ru-RU"/>
        </w:rPr>
      </w:pPr>
      <w:r>
        <w:rPr>
          <w:rFonts w:ascii="Times New Roman" w:hAnsi="Times New Roman" w:eastAsia="Times New Roman"/>
          <w:sz w:val="28"/>
          <w:szCs w:val="28"/>
          <w:lang w:eastAsia="ru-RU" w:bidi="ru-RU"/>
        </w:rPr>
        <w:t xml:space="preserve"> Реализуя координационные функции в сфере бесплатной юридической помощи, Управление проводит мониторинг реализации Федерального закона о БЮП. Управлением в инициативном порядке ежегодно обобщаются </w:t>
      </w:r>
      <w:r>
        <w:rPr>
          <w:rFonts w:ascii="Times New Roman" w:hAnsi="Times New Roman" w:eastAsia="Times New Roman"/>
          <w:sz w:val="28"/>
          <w:szCs w:val="28"/>
          <w:lang w:eastAsia="ru-RU" w:bidi="ru-RU"/>
        </w:rPr>
        <w:t xml:space="preserve">результаты мониторинга в части оказания бесплатной юридической помощи органами местн</w:t>
      </w:r>
      <w:r>
        <w:rPr>
          <w:rFonts w:ascii="Times New Roman" w:hAnsi="Times New Roman" w:eastAsia="Times New Roman"/>
          <w:sz w:val="28"/>
          <w:szCs w:val="28"/>
          <w:lang w:eastAsia="ru-RU" w:bidi="ru-RU"/>
        </w:rPr>
        <w:t xml:space="preserve">ого самоуправления Ивановской области и деятельности исполнительных органов государственной власти  Ивановской области в части осуществления правого просвещения и правового информирования, результаты которых направляются в Правительство Ивановской области.</w:t>
      </w:r>
      <w:r>
        <w:rPr>
          <w:rFonts w:ascii="Times New Roman" w:hAnsi="Times New Roman" w:eastAsia="Times New Roman"/>
          <w:sz w:val="28"/>
          <w:szCs w:val="28"/>
          <w:lang w:eastAsia="ru-RU" w:bidi="ru-RU"/>
        </w:rPr>
      </w:r>
      <w:r>
        <w:rPr>
          <w:rFonts w:ascii="Times New Roman" w:hAnsi="Times New Roman" w:eastAsia="Times New Roman"/>
          <w:sz w:val="28"/>
          <w:szCs w:val="28"/>
          <w:lang w:eastAsia="ru-RU" w:bidi="ru-RU"/>
        </w:rPr>
      </w:r>
    </w:p>
    <w:p>
      <w:pPr>
        <w:ind w:firstLine="709"/>
        <w:jc w:val="both"/>
        <w:spacing w:after="0"/>
        <w:rPr>
          <w:rFonts w:ascii="Times New Roman" w:hAnsi="Times New Roman" w:eastAsia="Times New Roman"/>
          <w:sz w:val="28"/>
          <w:szCs w:val="28"/>
          <w:lang w:eastAsia="ru-RU" w:bidi="ru-RU"/>
        </w:rPr>
      </w:pPr>
      <w:r>
        <w:rPr>
          <w:rFonts w:ascii="Times New Roman" w:hAnsi="Times New Roman" w:eastAsia="Times New Roman"/>
          <w:sz w:val="28"/>
          <w:szCs w:val="28"/>
          <w:lang w:eastAsia="ru-RU" w:bidi="ru-RU"/>
        </w:rPr>
        <w:t xml:space="preserve">Во исполнение поручения Минюста России от</w:t>
      </w:r>
      <w:r>
        <w:rPr>
          <w:rFonts w:ascii="Times New Roman" w:hAnsi="Times New Roman" w:eastAsia="Times New Roman"/>
          <w:sz w:val="28"/>
          <w:szCs w:val="28"/>
          <w:lang w:eastAsia="ru-RU" w:bidi="ru-RU"/>
        </w:rPr>
        <w:t xml:space="preserve"> 22.11.2022 № 08/135972-ДЖ Управлением ежеквартально актуализируется перечень льгот и мер социальной поддержки, предоставляемых в настоящее время военнослужащим и членам их семей в Ивановской области, а также нормативных правовых актов, которыми они утверж</w:t>
      </w:r>
      <w:r>
        <w:rPr>
          <w:rFonts w:ascii="Times New Roman" w:hAnsi="Times New Roman" w:eastAsia="Times New Roman"/>
          <w:sz w:val="28"/>
          <w:szCs w:val="28"/>
          <w:lang w:eastAsia="ru-RU" w:bidi="ru-RU"/>
        </w:rPr>
        <w:t xml:space="preserve">дены. Указанный перечень направляется всем участникам государственной и негосударственной систем бесплатной юридической помощи, в Ивановский филиал государственного фонда «Защитники Отечества», а также публикуется на официальном интернет-сайте Управления. </w:t>
      </w:r>
      <w:r>
        <w:rPr>
          <w:rFonts w:ascii="Times New Roman" w:hAnsi="Times New Roman" w:eastAsia="Times New Roman"/>
          <w:sz w:val="28"/>
          <w:szCs w:val="28"/>
          <w:lang w:eastAsia="ru-RU" w:bidi="ru-RU"/>
        </w:rPr>
      </w:r>
      <w:r>
        <w:rPr>
          <w:rFonts w:ascii="Times New Roman" w:hAnsi="Times New Roman" w:eastAsia="Times New Roman"/>
          <w:sz w:val="28"/>
          <w:szCs w:val="28"/>
          <w:lang w:eastAsia="ru-RU" w:bidi="ru-RU"/>
        </w:rPr>
      </w:r>
    </w:p>
    <w:p>
      <w:pPr>
        <w:ind w:firstLine="709"/>
        <w:jc w:val="both"/>
        <w:spacing w:after="0"/>
        <w:rPr>
          <w:rFonts w:ascii="Times New Roman" w:hAnsi="Times New Roman" w:eastAsia="Times New Roman"/>
          <w:sz w:val="28"/>
          <w:szCs w:val="28"/>
          <w:lang w:eastAsia="ru-RU" w:bidi="ru-RU"/>
        </w:rPr>
      </w:pPr>
      <w:r>
        <w:rPr>
          <w:rFonts w:ascii="Times New Roman" w:hAnsi="Times New Roman" w:eastAsia="Times New Roman"/>
          <w:sz w:val="28"/>
          <w:szCs w:val="28"/>
          <w:lang w:eastAsia="ru-RU" w:bidi="ru-RU"/>
        </w:rPr>
        <w:t xml:space="preserve">В Ивановской области проведены мероприятия в рамках Недели правовой помощи с 7 по 13 июля 2025 года.</w:t>
      </w:r>
      <w:r>
        <w:rPr>
          <w:rFonts w:ascii="Times New Roman" w:hAnsi="Times New Roman" w:eastAsia="Times New Roman"/>
          <w:sz w:val="28"/>
          <w:szCs w:val="28"/>
          <w:lang w:eastAsia="ru-RU" w:bidi="ru-RU"/>
        </w:rPr>
      </w:r>
      <w:r>
        <w:rPr>
          <w:rFonts w:ascii="Times New Roman" w:hAnsi="Times New Roman" w:eastAsia="Times New Roman"/>
          <w:sz w:val="28"/>
          <w:szCs w:val="28"/>
          <w:lang w:eastAsia="ru-RU" w:bidi="ru-RU"/>
        </w:rPr>
      </w:r>
    </w:p>
    <w:p>
      <w:pPr>
        <w:ind w:firstLine="709"/>
        <w:jc w:val="both"/>
        <w:spacing w:after="0"/>
        <w:rPr>
          <w:rFonts w:ascii="Times New Roman" w:hAnsi="Times New Roman" w:eastAsia="Times New Roman"/>
          <w:sz w:val="28"/>
          <w:szCs w:val="28"/>
          <w:lang w:eastAsia="ru-RU" w:bidi="ru-RU"/>
        </w:rPr>
      </w:pPr>
      <w:r>
        <w:rPr>
          <w:rFonts w:ascii="Times New Roman" w:hAnsi="Times New Roman" w:eastAsia="Times New Roman"/>
          <w:sz w:val="28"/>
          <w:szCs w:val="28"/>
          <w:lang w:eastAsia="ru-RU" w:bidi="ru-RU"/>
        </w:rPr>
        <w:t xml:space="preserve">Участие в акции приняли Уполномоченный по правам человека в Ивановской области, Уполномоченный по правам ребенка в Ивановской области, Комитет Ивановской области ЗАГС, филиал Государственного фонда поддержки участников специальной военно</w:t>
      </w:r>
      <w:r>
        <w:rPr>
          <w:rFonts w:ascii="Times New Roman" w:hAnsi="Times New Roman" w:eastAsia="Times New Roman"/>
          <w:sz w:val="28"/>
          <w:szCs w:val="28"/>
          <w:lang w:eastAsia="ru-RU" w:bidi="ru-RU"/>
        </w:rPr>
        <w:t xml:space="preserve">й операции «Защитники Отечества» по Ивановской области, Департамент социальной защиты населения Ивановской области, комитет Ивановской области по труду, содействию занятости населения и трудовой миграции, УФСИН России по Ивановской области, УФССП России по</w:t>
      </w:r>
      <w:r>
        <w:rPr>
          <w:rFonts w:ascii="Times New Roman" w:hAnsi="Times New Roman" w:eastAsia="Times New Roman"/>
          <w:sz w:val="28"/>
          <w:szCs w:val="28"/>
          <w:lang w:eastAsia="ru-RU" w:bidi="ru-RU"/>
        </w:rPr>
        <w:t xml:space="preserve"> </w:t>
      </w:r>
      <w:r>
        <w:rPr>
          <w:rFonts w:ascii="Times New Roman" w:hAnsi="Times New Roman" w:eastAsia="Times New Roman"/>
          <w:sz w:val="28"/>
          <w:szCs w:val="28"/>
          <w:lang w:eastAsia="ru-RU" w:bidi="ru-RU"/>
        </w:rPr>
        <w:t xml:space="preserve">Ивановской области, УМВД России по Ивановской области, нотариальное и адвокатское сообщество, Ивановское региональное отделение Общероссийской общественной организации «Ассоциация юристов России», АНО «Ивановский региональный центр медиации и переговоров».</w:t>
      </w:r>
      <w:r>
        <w:rPr>
          <w:rFonts w:ascii="Times New Roman" w:hAnsi="Times New Roman" w:eastAsia="Times New Roman"/>
          <w:sz w:val="28"/>
          <w:szCs w:val="28"/>
          <w:lang w:eastAsia="ru-RU" w:bidi="ru-RU"/>
        </w:rPr>
      </w:r>
      <w:r>
        <w:rPr>
          <w:rFonts w:ascii="Times New Roman" w:hAnsi="Times New Roman" w:eastAsia="Times New Roman"/>
          <w:sz w:val="28"/>
          <w:szCs w:val="28"/>
          <w:lang w:eastAsia="ru-RU" w:bidi="ru-RU"/>
        </w:rPr>
      </w:r>
    </w:p>
    <w:p>
      <w:pPr>
        <w:ind w:firstLine="709"/>
        <w:jc w:val="both"/>
        <w:spacing w:after="0"/>
        <w:rPr>
          <w:rFonts w:ascii="Times New Roman" w:hAnsi="Times New Roman" w:eastAsia="Times New Roman"/>
          <w:sz w:val="28"/>
          <w:szCs w:val="28"/>
          <w:lang w:eastAsia="ru-RU" w:bidi="ru-RU"/>
        </w:rPr>
      </w:pPr>
      <w:r>
        <w:rPr>
          <w:rFonts w:ascii="Times New Roman" w:hAnsi="Times New Roman" w:eastAsia="Times New Roman"/>
          <w:sz w:val="28"/>
          <w:szCs w:val="28"/>
          <w:lang w:eastAsia="ru-RU" w:bidi="ru-RU"/>
        </w:rPr>
        <w:t xml:space="preserve">На протяжении Недели правовой помощи граждане Ивановской </w:t>
      </w:r>
      <w:r>
        <w:rPr>
          <w:rFonts w:ascii="Times New Roman" w:hAnsi="Times New Roman" w:eastAsia="Times New Roman"/>
          <w:sz w:val="28"/>
          <w:szCs w:val="28"/>
          <w:lang w:eastAsia="ru-RU" w:bidi="ru-RU"/>
        </w:rPr>
        <w:t xml:space="preserve">области могли обратиться за бесплатными консультациями по вопросам семейного права в 50 адвокатских образований и 11 нотариальных контор.  09.07.2025 в 20 районных отделах судебных приставов проведены консультации по вопросам взыскания алиментных платежей.</w:t>
      </w:r>
      <w:r>
        <w:rPr>
          <w:rFonts w:ascii="Times New Roman" w:hAnsi="Times New Roman" w:eastAsia="Times New Roman"/>
          <w:sz w:val="28"/>
          <w:szCs w:val="28"/>
          <w:lang w:eastAsia="ru-RU" w:bidi="ru-RU"/>
        </w:rPr>
      </w:r>
      <w:r>
        <w:rPr>
          <w:rFonts w:ascii="Times New Roman" w:hAnsi="Times New Roman" w:eastAsia="Times New Roman"/>
          <w:sz w:val="28"/>
          <w:szCs w:val="28"/>
          <w:lang w:eastAsia="ru-RU" w:bidi="ru-RU"/>
        </w:rPr>
      </w:r>
    </w:p>
    <w:p>
      <w:pPr>
        <w:ind w:firstLine="709"/>
        <w:jc w:val="both"/>
        <w:spacing w:after="0"/>
        <w:rPr>
          <w:rFonts w:ascii="Times New Roman" w:hAnsi="Times New Roman" w:eastAsia="Times New Roman"/>
          <w:sz w:val="28"/>
          <w:szCs w:val="28"/>
          <w:lang w:eastAsia="ru-RU" w:bidi="ru-RU"/>
        </w:rPr>
      </w:pPr>
      <w:r>
        <w:rPr>
          <w:rFonts w:ascii="Times New Roman" w:hAnsi="Times New Roman" w:eastAsia="Times New Roman"/>
          <w:sz w:val="28"/>
          <w:szCs w:val="28"/>
          <w:lang w:eastAsia="ru-RU" w:bidi="ru-RU"/>
        </w:rPr>
        <w:t xml:space="preserve">Совместно с Департаментом внутренней политики Ивановской области проработан вопрос о социальной рекламе, направленной на повышение информированности граждан о бесплатной юридической помощи. </w:t>
      </w:r>
      <w:r>
        <w:rPr>
          <w:rFonts w:ascii="Times New Roman" w:hAnsi="Times New Roman" w:eastAsia="Times New Roman"/>
          <w:sz w:val="28"/>
          <w:szCs w:val="28"/>
          <w:lang w:eastAsia="ru-RU" w:bidi="ru-RU"/>
        </w:rPr>
      </w:r>
      <w:r>
        <w:rPr>
          <w:rFonts w:ascii="Times New Roman" w:hAnsi="Times New Roman" w:eastAsia="Times New Roman"/>
          <w:sz w:val="28"/>
          <w:szCs w:val="28"/>
          <w:lang w:eastAsia="ru-RU" w:bidi="ru-RU"/>
        </w:rPr>
      </w:r>
    </w:p>
    <w:p>
      <w:pPr>
        <w:jc w:val="both"/>
        <w:spacing w:after="0"/>
        <w:rPr>
          <w:rFonts w:ascii="Times New Roman" w:hAnsi="Times New Roman"/>
          <w:sz w:val="28"/>
          <w:szCs w:val="28"/>
        </w:rPr>
      </w:pPr>
      <w:r>
        <w:rPr>
          <w:rFonts w:ascii="Times New Roman" w:hAnsi="Times New Roman"/>
          <w:sz w:val="28"/>
          <w:szCs w:val="28"/>
        </w:rPr>
        <w:tab/>
        <w:t xml:space="preserve">Вызывает тревогу тот факт, что некоторые граждане обращаются к частным юристам за написанием своих обращений  в органы власти, в том числе к Уполномоченному. Так называемые «частные юристы» за крупные суммы </w:t>
      </w:r>
      <w:r>
        <w:rPr>
          <w:rFonts w:ascii="Times New Roman" w:hAnsi="Times New Roman"/>
          <w:sz w:val="28"/>
          <w:szCs w:val="28"/>
        </w:rPr>
        <w:t xml:space="preserve">денег составляют обращения зачастую с ошибками, со ссылками на устаревшие нормы законодательства. Заявители в силу возраста, юридической неграмотности и других факторов не осознают содеянное, что попались в руки недобросовестных юристов. </w:t>
      </w:r>
      <w:r>
        <w:rPr>
          <w:rFonts w:ascii="Times New Roman" w:hAnsi="Times New Roman"/>
          <w:sz w:val="28"/>
          <w:szCs w:val="28"/>
        </w:rPr>
      </w:r>
      <w:r>
        <w:rPr>
          <w:rFonts w:ascii="Times New Roman" w:hAnsi="Times New Roman"/>
          <w:sz w:val="28"/>
          <w:szCs w:val="28"/>
        </w:rPr>
      </w:r>
    </w:p>
    <w:p>
      <w:pPr>
        <w:jc w:val="both"/>
        <w:spacing w:after="0"/>
        <w:tabs>
          <w:tab w:val="left" w:pos="709" w:leader="none"/>
        </w:tabs>
        <w:rPr>
          <w:rFonts w:ascii="Times New Roman" w:hAnsi="Times New Roman"/>
          <w:sz w:val="28"/>
          <w:szCs w:val="28"/>
        </w:rPr>
      </w:pPr>
      <w:r>
        <w:rPr>
          <w:rFonts w:ascii="Times New Roman" w:hAnsi="Times New Roman"/>
          <w:sz w:val="28"/>
          <w:szCs w:val="28"/>
        </w:rPr>
        <w:tab/>
        <w:t xml:space="preserve"> Обращаем внимание граждан, что написание обращения в службу Уполномоченного не требует от вас глубоких юридических познаний, осуществляется в нашем офисе на бесплатной основе. </w:t>
      </w:r>
      <w:r>
        <w:rPr>
          <w:rFonts w:ascii="Times New Roman" w:hAnsi="Times New Roman"/>
          <w:sz w:val="28"/>
          <w:szCs w:val="28"/>
        </w:rPr>
      </w:r>
      <w:r>
        <w:rPr>
          <w:rFonts w:ascii="Times New Roman" w:hAnsi="Times New Roman"/>
          <w:sz w:val="28"/>
          <w:szCs w:val="28"/>
        </w:rPr>
      </w:r>
    </w:p>
    <w:p>
      <w:pPr>
        <w:rPr>
          <w:rFonts w:ascii="Times New Roman" w:hAnsi="Times New Roman"/>
          <w:sz w:val="28"/>
          <w:szCs w:val="28"/>
        </w:rPr>
      </w:pPr>
      <w:r>
        <w:rPr>
          <w:rFonts w:ascii="Times New Roman" w:hAnsi="Times New Roman"/>
          <w:sz w:val="28"/>
          <w:szCs w:val="28"/>
        </w:rPr>
      </w:r>
      <w:r>
        <w:rPr>
          <w:rFonts w:ascii="Times New Roman" w:hAnsi="Times New Roman"/>
          <w:sz w:val="28"/>
          <w:szCs w:val="28"/>
        </w:rPr>
      </w:r>
      <w:r>
        <w:rPr>
          <w:rFonts w:ascii="Times New Roman" w:hAnsi="Times New Roman"/>
          <w:sz w:val="28"/>
          <w:szCs w:val="28"/>
        </w:rPr>
      </w:r>
    </w:p>
    <w:p>
      <w:pPr>
        <w:rPr>
          <w:rFonts w:ascii="Times New Roman" w:hAnsi="Times New Roman"/>
          <w:sz w:val="28"/>
          <w:szCs w:val="28"/>
        </w:rPr>
      </w:pPr>
      <w:r>
        <w:rPr>
          <w:rFonts w:ascii="Times New Roman" w:hAnsi="Times New Roman"/>
          <w:sz w:val="28"/>
          <w:szCs w:val="28"/>
        </w:rPr>
      </w:r>
      <w:r>
        <w:rPr>
          <w:rFonts w:ascii="Times New Roman" w:hAnsi="Times New Roman"/>
          <w:sz w:val="28"/>
          <w:szCs w:val="28"/>
        </w:rPr>
      </w:r>
      <w:r>
        <w:rPr>
          <w:rFonts w:ascii="Times New Roman" w:hAnsi="Times New Roman"/>
          <w:sz w:val="28"/>
          <w:szCs w:val="28"/>
        </w:rPr>
      </w:r>
    </w:p>
    <w:p>
      <w:pPr>
        <w:rPr>
          <w:rFonts w:ascii="Times New Roman" w:hAnsi="Times New Roman"/>
          <w:sz w:val="28"/>
          <w:szCs w:val="28"/>
        </w:rPr>
      </w:pPr>
      <w:r>
        <w:rPr>
          <w:rFonts w:ascii="Times New Roman" w:hAnsi="Times New Roman"/>
          <w:sz w:val="28"/>
          <w:szCs w:val="28"/>
        </w:rPr>
      </w:r>
      <w:r>
        <w:rPr>
          <w:rFonts w:ascii="Times New Roman" w:hAnsi="Times New Roman"/>
          <w:sz w:val="28"/>
          <w:szCs w:val="28"/>
        </w:rPr>
      </w:r>
      <w:r>
        <w:rPr>
          <w:rFonts w:ascii="Times New Roman" w:hAnsi="Times New Roman"/>
          <w:sz w:val="28"/>
          <w:szCs w:val="28"/>
        </w:rPr>
      </w:r>
    </w:p>
    <w:p>
      <w:pPr>
        <w:rPr>
          <w:rFonts w:ascii="Times New Roman" w:hAnsi="Times New Roman"/>
          <w:sz w:val="28"/>
          <w:szCs w:val="28"/>
        </w:rPr>
      </w:pPr>
      <w:r>
        <w:rPr>
          <w:rFonts w:ascii="Times New Roman" w:hAnsi="Times New Roman"/>
          <w:sz w:val="28"/>
          <w:szCs w:val="28"/>
        </w:rPr>
      </w:r>
      <w:r>
        <w:rPr>
          <w:rFonts w:ascii="Times New Roman" w:hAnsi="Times New Roman"/>
          <w:sz w:val="28"/>
          <w:szCs w:val="28"/>
        </w:rPr>
      </w:r>
      <w:r>
        <w:rPr>
          <w:rFonts w:ascii="Times New Roman" w:hAnsi="Times New Roman"/>
          <w:sz w:val="28"/>
          <w:szCs w:val="28"/>
        </w:rPr>
      </w:r>
    </w:p>
    <w:p>
      <w:pPr>
        <w:rPr>
          <w:rFonts w:ascii="Times New Roman" w:hAnsi="Times New Roman"/>
          <w:sz w:val="28"/>
          <w:szCs w:val="28"/>
        </w:rPr>
      </w:pPr>
      <w:r>
        <w:rPr>
          <w:rFonts w:ascii="Times New Roman" w:hAnsi="Times New Roman"/>
          <w:sz w:val="28"/>
          <w:szCs w:val="28"/>
        </w:rPr>
      </w:r>
      <w:r>
        <w:rPr>
          <w:rFonts w:ascii="Times New Roman" w:hAnsi="Times New Roman"/>
          <w:sz w:val="28"/>
          <w:szCs w:val="28"/>
        </w:rPr>
      </w:r>
      <w:r>
        <w:rPr>
          <w:rFonts w:ascii="Times New Roman" w:hAnsi="Times New Roman"/>
          <w:sz w:val="28"/>
          <w:szCs w:val="28"/>
        </w:rPr>
      </w:r>
    </w:p>
    <w:p>
      <w:pPr>
        <w:rPr>
          <w:rFonts w:ascii="Times New Roman" w:hAnsi="Times New Roman"/>
          <w:sz w:val="28"/>
          <w:szCs w:val="28"/>
        </w:rPr>
      </w:pPr>
      <w:r>
        <w:rPr>
          <w:rFonts w:ascii="Times New Roman" w:hAnsi="Times New Roman"/>
          <w:sz w:val="28"/>
          <w:szCs w:val="28"/>
        </w:rPr>
      </w:r>
      <w:r>
        <w:rPr>
          <w:rFonts w:ascii="Times New Roman" w:hAnsi="Times New Roman"/>
          <w:sz w:val="28"/>
          <w:szCs w:val="28"/>
        </w:rPr>
      </w:r>
      <w:r>
        <w:rPr>
          <w:rFonts w:ascii="Times New Roman" w:hAnsi="Times New Roman"/>
          <w:sz w:val="28"/>
          <w:szCs w:val="28"/>
        </w:rPr>
      </w:r>
    </w:p>
    <w:p>
      <w:pPr>
        <w:rPr>
          <w:rFonts w:ascii="Times New Roman" w:hAnsi="Times New Roman"/>
          <w:sz w:val="28"/>
          <w:szCs w:val="28"/>
        </w:rPr>
      </w:pPr>
      <w:r>
        <w:rPr>
          <w:rFonts w:ascii="Times New Roman" w:hAnsi="Times New Roman"/>
          <w:sz w:val="28"/>
          <w:szCs w:val="28"/>
        </w:rPr>
      </w:r>
      <w:r>
        <w:rPr>
          <w:rFonts w:ascii="Times New Roman" w:hAnsi="Times New Roman"/>
          <w:sz w:val="28"/>
          <w:szCs w:val="28"/>
        </w:rPr>
      </w:r>
      <w:r>
        <w:rPr>
          <w:rFonts w:ascii="Times New Roman" w:hAnsi="Times New Roman"/>
          <w:sz w:val="28"/>
          <w:szCs w:val="28"/>
        </w:rPr>
      </w:r>
    </w:p>
    <w:p>
      <w:pPr>
        <w:rPr>
          <w:rFonts w:ascii="Times New Roman" w:hAnsi="Times New Roman"/>
          <w:sz w:val="28"/>
          <w:szCs w:val="28"/>
        </w:rPr>
      </w:pPr>
      <w:r>
        <w:rPr>
          <w:rFonts w:ascii="Times New Roman" w:hAnsi="Times New Roman"/>
          <w:sz w:val="28"/>
          <w:szCs w:val="28"/>
        </w:rPr>
      </w:r>
      <w:r>
        <w:rPr>
          <w:rFonts w:ascii="Times New Roman" w:hAnsi="Times New Roman"/>
          <w:sz w:val="28"/>
          <w:szCs w:val="28"/>
        </w:rPr>
      </w:r>
      <w:r>
        <w:rPr>
          <w:rFonts w:ascii="Times New Roman" w:hAnsi="Times New Roman"/>
          <w:sz w:val="28"/>
          <w:szCs w:val="28"/>
        </w:rPr>
      </w:r>
    </w:p>
    <w:p>
      <w:pPr>
        <w:rPr>
          <w:rFonts w:ascii="Times New Roman" w:hAnsi="Times New Roman"/>
          <w:sz w:val="28"/>
          <w:szCs w:val="28"/>
        </w:rPr>
      </w:pPr>
      <w:r>
        <w:rPr>
          <w:rFonts w:ascii="Times New Roman" w:hAnsi="Times New Roman"/>
          <w:sz w:val="28"/>
          <w:szCs w:val="28"/>
        </w:rPr>
      </w:r>
      <w:r>
        <w:rPr>
          <w:rFonts w:ascii="Times New Roman" w:hAnsi="Times New Roman"/>
          <w:sz w:val="28"/>
          <w:szCs w:val="28"/>
        </w:rPr>
      </w:r>
      <w:r>
        <w:rPr>
          <w:rFonts w:ascii="Times New Roman" w:hAnsi="Times New Roman"/>
          <w:sz w:val="28"/>
          <w:szCs w:val="28"/>
        </w:rPr>
      </w:r>
    </w:p>
    <w:p>
      <w:pPr>
        <w:rPr>
          <w:rFonts w:ascii="Times New Roman" w:hAnsi="Times New Roman"/>
          <w:sz w:val="28"/>
          <w:szCs w:val="28"/>
        </w:rPr>
      </w:pPr>
      <w:r>
        <w:rPr>
          <w:rFonts w:ascii="Times New Roman" w:hAnsi="Times New Roman"/>
          <w:sz w:val="28"/>
          <w:szCs w:val="28"/>
        </w:rPr>
      </w:r>
      <w:r>
        <w:rPr>
          <w:rFonts w:ascii="Times New Roman" w:hAnsi="Times New Roman"/>
          <w:sz w:val="28"/>
          <w:szCs w:val="28"/>
        </w:rPr>
      </w:r>
      <w:r>
        <w:rPr>
          <w:rFonts w:ascii="Times New Roman" w:hAnsi="Times New Roman"/>
          <w:sz w:val="28"/>
          <w:szCs w:val="28"/>
        </w:rPr>
      </w:r>
    </w:p>
    <w:p>
      <w:pPr>
        <w:rPr>
          <w:rFonts w:ascii="Times New Roman" w:hAnsi="Times New Roman"/>
          <w:sz w:val="28"/>
          <w:szCs w:val="28"/>
        </w:rPr>
      </w:pPr>
      <w:r>
        <w:rPr>
          <w:rFonts w:ascii="Times New Roman" w:hAnsi="Times New Roman"/>
          <w:sz w:val="28"/>
          <w:szCs w:val="28"/>
        </w:rPr>
      </w:r>
      <w:r>
        <w:rPr>
          <w:rFonts w:ascii="Times New Roman" w:hAnsi="Times New Roman"/>
          <w:sz w:val="28"/>
          <w:szCs w:val="28"/>
        </w:rPr>
      </w:r>
      <w:r>
        <w:rPr>
          <w:rFonts w:ascii="Times New Roman" w:hAnsi="Times New Roman"/>
          <w:sz w:val="28"/>
          <w:szCs w:val="28"/>
        </w:rPr>
      </w:r>
    </w:p>
    <w:p>
      <w:pPr>
        <w:pStyle w:val="1225"/>
        <w:jc w:val="center"/>
      </w:pPr>
      <w:r/>
      <w:bookmarkStart w:id="75" w:name="_Toc53"/>
      <w:r>
        <w:t xml:space="preserve">ЗАКЛЮЧЕНИЕ</w:t>
      </w:r>
      <w:bookmarkEnd w:id="75"/>
      <w:r/>
      <w:r/>
    </w:p>
    <w:p>
      <w:r/>
      <w:r/>
    </w:p>
    <w:p>
      <w:pPr>
        <w:jc w:val="both"/>
        <w:spacing w:after="0" w:line="276" w:lineRule="auto"/>
        <w:rPr>
          <w:rFonts w:ascii="Times New Roman" w:hAnsi="Times New Roman"/>
          <w:sz w:val="28"/>
          <w:szCs w:val="28"/>
        </w:rPr>
        <w:pBdr>
          <w:top w:val="none" w:color="000000" w:sz="4" w:space="0"/>
          <w:left w:val="none" w:color="000000" w:sz="4" w:space="0"/>
          <w:bottom w:val="none" w:color="000000" w:sz="4" w:space="0"/>
          <w:right w:val="none" w:color="000000" w:sz="4" w:space="0"/>
        </w:pBdr>
      </w:pPr>
      <w:r>
        <w:rPr>
          <w:rFonts w:ascii="Times New Roman" w:hAnsi="Times New Roman"/>
          <w:sz w:val="28"/>
          <w:szCs w:val="28"/>
        </w:rPr>
        <w:tab/>
      </w:r>
      <w:r>
        <w:rPr>
          <w:rFonts w:ascii="Times New Roman" w:hAnsi="Times New Roman" w:eastAsia="Liberation Sans"/>
          <w:color w:val="000000"/>
          <w:sz w:val="28"/>
          <w:szCs w:val="28"/>
        </w:rPr>
        <w:t xml:space="preserve">Подготовленный</w:t>
      </w:r>
      <w:r>
        <w:rPr>
          <w:rFonts w:ascii="Times New Roman" w:hAnsi="Times New Roman" w:eastAsia="Liberation Sans"/>
          <w:color w:val="000000"/>
          <w:sz w:val="28"/>
          <w:szCs w:val="28"/>
        </w:rPr>
        <w:t xml:space="preserve"> Доклад подчеркнул важность системного подхода к вопросам защиты прав граждан и необходимости дальнейшего сотрудничества с органами государственной власти и общественными институтами для повышения уровня правовой защищенности населения  Ивановской области.</w:t>
      </w:r>
      <w:r>
        <w:rPr>
          <w:rFonts w:ascii="Times New Roman" w:hAnsi="Times New Roman"/>
          <w:sz w:val="28"/>
          <w:szCs w:val="28"/>
        </w:rPr>
      </w:r>
      <w:r>
        <w:rPr>
          <w:rFonts w:ascii="Times New Roman" w:hAnsi="Times New Roman"/>
          <w:sz w:val="28"/>
          <w:szCs w:val="28"/>
        </w:rPr>
      </w:r>
    </w:p>
    <w:p>
      <w:pPr>
        <w:jc w:val="both"/>
        <w:spacing w:after="0" w:line="276" w:lineRule="auto"/>
        <w:rPr>
          <w:rFonts w:ascii="Times New Roman" w:hAnsi="Times New Roman"/>
          <w:sz w:val="28"/>
          <w:szCs w:val="28"/>
        </w:rPr>
      </w:pPr>
      <w:r>
        <w:rPr>
          <w:rFonts w:ascii="Times New Roman" w:hAnsi="Times New Roman"/>
          <w:sz w:val="28"/>
          <w:szCs w:val="28"/>
        </w:rPr>
        <w:tab/>
        <w:t xml:space="preserve">Подводя итоги правозащитного 2025 года, отметим, что год </w:t>
      </w:r>
      <w:r>
        <w:rPr>
          <w:rFonts w:ascii="Times New Roman" w:hAnsi="Times New Roman" w:eastAsia="Times New Roman"/>
          <w:sz w:val="28"/>
          <w:szCs w:val="28"/>
        </w:rPr>
        <w:t xml:space="preserve">стал  временем серьёзных испытаний и одновременно — временем осмысления, поиска новых подходов и укрепления базовых принципов, развития социального партнерства.</w:t>
      </w:r>
      <w:r>
        <w:rPr>
          <w:rFonts w:ascii="Times New Roman" w:hAnsi="Times New Roman"/>
          <w:sz w:val="28"/>
          <w:szCs w:val="28"/>
        </w:rPr>
      </w:r>
      <w:r>
        <w:rPr>
          <w:rFonts w:ascii="Times New Roman" w:hAnsi="Times New Roman"/>
          <w:sz w:val="28"/>
          <w:szCs w:val="28"/>
        </w:rPr>
      </w:r>
    </w:p>
    <w:p>
      <w:pPr>
        <w:jc w:val="both"/>
        <w:spacing w:after="0" w:line="276" w:lineRule="auto"/>
        <w:tabs>
          <w:tab w:val="left" w:pos="567" w:leader="none"/>
          <w:tab w:val="left" w:pos="709" w:leader="none"/>
        </w:tabs>
        <w:rPr>
          <w:rFonts w:ascii="Times New Roman" w:hAnsi="Times New Roman" w:eastAsia="Times New Roman"/>
          <w:sz w:val="28"/>
          <w:szCs w:val="28"/>
        </w:rPr>
      </w:pPr>
      <w:r>
        <w:rPr>
          <w:rFonts w:ascii="Times New Roman" w:hAnsi="Times New Roman" w:eastAsia="Times New Roman"/>
          <w:sz w:val="28"/>
          <w:szCs w:val="28"/>
        </w:rPr>
        <w:tab/>
      </w:r>
      <w:r>
        <w:rPr>
          <w:rFonts w:ascii="Times New Roman" w:hAnsi="Times New Roman" w:eastAsia="Times New Roman"/>
          <w:sz w:val="28"/>
          <w:szCs w:val="28"/>
        </w:rPr>
        <w:tab/>
        <w:t xml:space="preserve">Но главное остается неизменным из года в </w:t>
      </w:r>
      <w:r>
        <w:rPr>
          <w:rFonts w:ascii="Times New Roman" w:hAnsi="Times New Roman" w:eastAsia="Times New Roman"/>
          <w:sz w:val="28"/>
          <w:szCs w:val="28"/>
        </w:rPr>
        <w:t xml:space="preserve">год..</w:t>
      </w:r>
      <w:r>
        <w:rPr>
          <w:rFonts w:ascii="Times New Roman" w:hAnsi="Times New Roman" w:eastAsia="Times New Roman"/>
          <w:sz w:val="28"/>
          <w:szCs w:val="28"/>
        </w:rPr>
        <w:t xml:space="preserve">.Л</w:t>
      </w:r>
      <w:r>
        <w:rPr>
          <w:rFonts w:ascii="Times New Roman" w:hAnsi="Times New Roman" w:eastAsia="Times New Roman"/>
          <w:sz w:val="28"/>
          <w:szCs w:val="28"/>
        </w:rPr>
        <w:t xml:space="preserve">юди! Те,</w:t>
      </w:r>
      <w:r>
        <w:rPr>
          <w:rFonts w:ascii="Times New Roman" w:hAnsi="Times New Roman" w:eastAsia="Times New Roman"/>
          <w:sz w:val="28"/>
          <w:szCs w:val="28"/>
        </w:rPr>
        <w:t xml:space="preserve"> кто обратился  к нам за помощью, кто поверил, что их голос услышат. В каждом обращении — своя боль, своя надежда, своя история человеческого достоинства, требующего защиты.</w:t>
      </w:r>
      <w:r>
        <w:rPr>
          <w:rFonts w:ascii="Times New Roman" w:hAnsi="Times New Roman" w:eastAsia="Times New Roman"/>
          <w:sz w:val="28"/>
          <w:szCs w:val="28"/>
        </w:rPr>
      </w:r>
      <w:r>
        <w:rPr>
          <w:rFonts w:ascii="Times New Roman" w:hAnsi="Times New Roman" w:eastAsia="Times New Roman"/>
          <w:sz w:val="28"/>
          <w:szCs w:val="28"/>
        </w:rPr>
      </w:r>
    </w:p>
    <w:p>
      <w:pPr>
        <w:jc w:val="both"/>
        <w:spacing w:after="0" w:line="276" w:lineRule="auto"/>
        <w:rPr>
          <w:rFonts w:ascii="Times New Roman" w:hAnsi="Times New Roman" w:eastAsia="Times New Roman"/>
          <w:sz w:val="28"/>
          <w:szCs w:val="28"/>
        </w:rPr>
      </w:pPr>
      <w:r>
        <w:rPr>
          <w:rFonts w:ascii="Times New Roman" w:hAnsi="Times New Roman" w:eastAsia="Times New Roman"/>
          <w:sz w:val="28"/>
          <w:szCs w:val="28"/>
        </w:rPr>
        <w:tab/>
        <w:t xml:space="preserve">Следует подчеркнуть, что </w:t>
      </w:r>
      <w:r>
        <w:rPr>
          <w:rFonts w:ascii="Times New Roman" w:hAnsi="Times New Roman" w:eastAsia="Times New Roman"/>
          <w:sz w:val="28"/>
          <w:szCs w:val="28"/>
        </w:rPr>
        <w:t xml:space="preserve">правозащита</w:t>
      </w:r>
      <w:r>
        <w:rPr>
          <w:rFonts w:ascii="Times New Roman" w:hAnsi="Times New Roman" w:eastAsia="Times New Roman"/>
          <w:sz w:val="28"/>
          <w:szCs w:val="28"/>
        </w:rPr>
        <w:t xml:space="preserve"> — это не разовая акция, а ежедневная работа. Иногда </w:t>
      </w:r>
      <w:r>
        <w:rPr>
          <w:rFonts w:ascii="Times New Roman" w:hAnsi="Times New Roman" w:eastAsia="Times New Roman"/>
          <w:sz w:val="28"/>
          <w:szCs w:val="28"/>
        </w:rPr>
        <w:t xml:space="preserve">незаметная</w:t>
      </w:r>
      <w:r>
        <w:rPr>
          <w:rFonts w:ascii="Times New Roman" w:hAnsi="Times New Roman" w:eastAsia="Times New Roman"/>
          <w:sz w:val="28"/>
          <w:szCs w:val="28"/>
        </w:rPr>
        <w:t xml:space="preserve">, иногда — вызывающая споры, но всегда необходимая. Мы знаем, как оказанная своевременная поддержка может предотвратить целую цепочку нарушений. </w:t>
      </w:r>
      <w:r>
        <w:rPr>
          <w:rFonts w:ascii="Times New Roman" w:hAnsi="Times New Roman" w:eastAsia="Times New Roman"/>
          <w:sz w:val="28"/>
          <w:szCs w:val="28"/>
        </w:rPr>
      </w:r>
      <w:r>
        <w:rPr>
          <w:rFonts w:ascii="Times New Roman" w:hAnsi="Times New Roman" w:eastAsia="Times New Roman"/>
          <w:sz w:val="28"/>
          <w:szCs w:val="28"/>
        </w:rPr>
      </w:r>
    </w:p>
    <w:p>
      <w:pPr>
        <w:ind w:firstLine="709"/>
        <w:jc w:val="both"/>
        <w:spacing w:after="0" w:line="276" w:lineRule="auto"/>
        <w:rPr>
          <w:color w:val="000000" w:themeColor="text1"/>
        </w:rPr>
      </w:pPr>
      <w:r>
        <w:rPr>
          <w:rFonts w:ascii="Times New Roman" w:hAnsi="Times New Roman"/>
          <w:color w:val="000000" w:themeColor="text1"/>
          <w:sz w:val="28"/>
          <w:szCs w:val="28"/>
        </w:rPr>
        <w:t xml:space="preserve">Обращаемся к органам региональной власти с просьбой обратить особо</w:t>
      </w:r>
      <w:r>
        <w:rPr>
          <w:rFonts w:ascii="Times New Roman" w:hAnsi="Times New Roman"/>
          <w:color w:val="000000" w:themeColor="text1"/>
          <w:sz w:val="28"/>
          <w:szCs w:val="28"/>
        </w:rPr>
        <w:t xml:space="preserve">е внимание на проблемы, связанные с соблюдением прав человека, которые были изложены в нашем докладе. Призываем принять все необходимые меры для их оперативного разрешения и устранения, чтобы создать условия для достойной жизни и развития каждого человека.</w:t>
      </w:r>
      <w:r>
        <w:rPr>
          <w:color w:val="000000" w:themeColor="text1"/>
        </w:rPr>
      </w:r>
      <w:r>
        <w:rPr>
          <w:color w:val="000000" w:themeColor="text1"/>
        </w:rPr>
      </w:r>
    </w:p>
    <w:p>
      <w:pPr>
        <w:ind w:firstLine="708"/>
        <w:jc w:val="both"/>
        <w:spacing w:after="0" w:line="276" w:lineRule="auto"/>
        <w:rPr>
          <w:rFonts w:ascii="Times New Roman" w:hAnsi="Times New Roman"/>
          <w:sz w:val="28"/>
          <w:szCs w:val="28"/>
        </w:rPr>
      </w:pPr>
      <w:r>
        <w:rPr>
          <w:rFonts w:ascii="Times New Roman" w:hAnsi="Times New Roman"/>
          <w:sz w:val="28"/>
          <w:szCs w:val="28"/>
        </w:rPr>
        <w:t xml:space="preserve">Благодарность и глубокая признательность за плодотворное сотрудничество: </w:t>
      </w:r>
      <w:r>
        <w:rPr>
          <w:rFonts w:ascii="Times New Roman" w:hAnsi="Times New Roman"/>
          <w:sz w:val="28"/>
          <w:szCs w:val="28"/>
        </w:rPr>
      </w:r>
      <w:r>
        <w:rPr>
          <w:rFonts w:ascii="Times New Roman" w:hAnsi="Times New Roman"/>
          <w:sz w:val="28"/>
          <w:szCs w:val="28"/>
        </w:rPr>
      </w:r>
    </w:p>
    <w:p>
      <w:pPr>
        <w:ind w:firstLine="708"/>
        <w:jc w:val="both"/>
        <w:spacing w:after="0" w:line="276" w:lineRule="auto"/>
        <w:rPr>
          <w:rFonts w:ascii="Times New Roman" w:hAnsi="Times New Roman"/>
          <w:sz w:val="28"/>
          <w:szCs w:val="28"/>
        </w:rPr>
      </w:pPr>
      <w:r>
        <w:rPr>
          <w:rFonts w:ascii="Times New Roman" w:hAnsi="Times New Roman"/>
          <w:sz w:val="28"/>
          <w:szCs w:val="28"/>
        </w:rPr>
        <w:t xml:space="preserve">Уполномоченному по правам человека в Российской Федерации и региональным коллегам-правозащитникам; Губернатору Ивановской об</w:t>
      </w:r>
      <w:r>
        <w:rPr>
          <w:rFonts w:ascii="Times New Roman" w:hAnsi="Times New Roman"/>
          <w:sz w:val="28"/>
          <w:szCs w:val="28"/>
        </w:rPr>
        <w:t xml:space="preserve">ласти; Правительству Ивановской области; Ивановск</w:t>
      </w:r>
      <w:r>
        <w:rPr>
          <w:rFonts w:ascii="Times New Roman" w:hAnsi="Times New Roman"/>
          <w:sz w:val="28"/>
          <w:szCs w:val="28"/>
        </w:rPr>
        <w:t xml:space="preserve">ой областной Думе; региональным органам исполнительной власти; Прокуратуре Ивановской области; Управлению Министерства внутренних дел Российской Федерации по Ивановской  области; Управлению Минюста России по Ивановской области; территориальному Управлению </w:t>
      </w:r>
      <w:r>
        <w:rPr>
          <w:rFonts w:ascii="Times New Roman" w:hAnsi="Times New Roman"/>
          <w:sz w:val="28"/>
          <w:szCs w:val="28"/>
        </w:rPr>
        <w:t xml:space="preserve">Росгвардии</w:t>
      </w:r>
      <w:r>
        <w:rPr>
          <w:rFonts w:ascii="Times New Roman" w:hAnsi="Times New Roman"/>
          <w:sz w:val="28"/>
          <w:szCs w:val="28"/>
        </w:rPr>
        <w:t xml:space="preserve">; Ивановской межрайонной природоохранной прокуратуре; Управлению </w:t>
      </w:r>
      <w:r>
        <w:rPr>
          <w:rFonts w:ascii="Times New Roman" w:hAnsi="Times New Roman"/>
          <w:sz w:val="28"/>
          <w:szCs w:val="28"/>
        </w:rPr>
        <w:t xml:space="preserve">Росреестра</w:t>
      </w:r>
      <w:r>
        <w:rPr>
          <w:rFonts w:ascii="Times New Roman" w:hAnsi="Times New Roman"/>
          <w:sz w:val="28"/>
          <w:szCs w:val="28"/>
        </w:rPr>
        <w:t xml:space="preserve"> по Ивановской области; Управлению Роспотребнадзора по Ивановской области, межрегиональному управлению </w:t>
      </w:r>
      <w:r>
        <w:rPr>
          <w:rFonts w:ascii="Times New Roman" w:hAnsi="Times New Roman"/>
          <w:sz w:val="28"/>
          <w:szCs w:val="28"/>
        </w:rPr>
        <w:t xml:space="preserve">Росприроднадзора</w:t>
      </w:r>
      <w:r>
        <w:rPr>
          <w:rFonts w:ascii="Times New Roman" w:hAnsi="Times New Roman"/>
          <w:sz w:val="28"/>
          <w:szCs w:val="28"/>
        </w:rPr>
        <w:t xml:space="preserve"> по Ивановской и Владимирской областям;</w:t>
      </w:r>
      <w:r>
        <w:rPr>
          <w:rFonts w:ascii="Times New Roman" w:hAnsi="Times New Roman"/>
          <w:sz w:val="28"/>
          <w:szCs w:val="28"/>
        </w:rPr>
        <w:t xml:space="preserve"> </w:t>
      </w:r>
      <w:r>
        <w:rPr>
          <w:rFonts w:ascii="Times New Roman" w:hAnsi="Times New Roman" w:eastAsia="Times New Roman" w:cs="Times New Roman"/>
          <w:b w:val="0"/>
          <w:bCs w:val="0"/>
          <w:color w:val="000000" w:themeColor="text1"/>
          <w:sz w:val="28"/>
          <w:szCs w:val="28"/>
          <w:highlight w:val="white"/>
        </w:rPr>
        <w:t xml:space="preserve">Управлению </w:t>
      </w:r>
      <w:r>
        <w:rPr>
          <w:rFonts w:ascii="Times New Roman" w:hAnsi="Times New Roman" w:eastAsia="Times New Roman" w:cs="Times New Roman"/>
          <w:b w:val="0"/>
          <w:bCs w:val="0"/>
          <w:color w:val="000000" w:themeColor="text1"/>
          <w:sz w:val="28"/>
          <w:szCs w:val="28"/>
          <w:highlight w:val="white"/>
        </w:rPr>
        <w:t xml:space="preserve">Россельхознадзора</w:t>
      </w:r>
      <w:r>
        <w:rPr>
          <w:rFonts w:ascii="Times New Roman" w:hAnsi="Times New Roman" w:eastAsia="Times New Roman" w:cs="Times New Roman"/>
          <w:b w:val="0"/>
          <w:bCs w:val="0"/>
          <w:color w:val="000000" w:themeColor="text1"/>
          <w:sz w:val="28"/>
          <w:szCs w:val="28"/>
          <w:highlight w:val="white"/>
        </w:rPr>
        <w:t xml:space="preserve"> по Владимирской, Костромской и </w:t>
      </w:r>
      <w:r>
        <w:rPr>
          <w:rFonts w:ascii="Times New Roman" w:hAnsi="Times New Roman" w:eastAsia="Times New Roman" w:cs="Times New Roman"/>
          <w:b w:val="0"/>
          <w:bCs w:val="0"/>
          <w:color w:val="000000" w:themeColor="text1"/>
          <w:sz w:val="28"/>
          <w:szCs w:val="28"/>
          <w:highlight w:val="white"/>
        </w:rPr>
        <w:t xml:space="preserve">Ивановской</w:t>
      </w:r>
      <w:r>
        <w:rPr>
          <w:rFonts w:ascii="Times New Roman" w:hAnsi="Times New Roman" w:eastAsia="Times New Roman" w:cs="Times New Roman"/>
          <w:b w:val="0"/>
          <w:bCs w:val="0"/>
          <w:color w:val="000000" w:themeColor="text1"/>
          <w:sz w:val="28"/>
          <w:szCs w:val="28"/>
          <w:highlight w:val="white"/>
        </w:rPr>
        <w:t xml:space="preserve"> областям</w:t>
      </w:r>
      <w:r>
        <w:rPr>
          <w:rFonts w:ascii="Times New Roman" w:hAnsi="Times New Roman" w:eastAsia="Times New Roman" w:cs="Times New Roman"/>
          <w:b w:val="0"/>
          <w:bCs w:val="0"/>
          <w:color w:val="000000" w:themeColor="text1"/>
          <w:sz w:val="28"/>
          <w:szCs w:val="28"/>
          <w:highlight w:val="white"/>
        </w:rPr>
        <w:t xml:space="preserve">;</w:t>
      </w:r>
      <w:r>
        <w:rPr>
          <w:rFonts w:ascii="Arial" w:hAnsi="Arial" w:eastAsia="Arial" w:cs="Arial"/>
          <w:color w:val="333333"/>
          <w:sz w:val="21"/>
          <w:highlight w:val="white"/>
        </w:rPr>
        <w:t xml:space="preserve"> </w:t>
      </w:r>
      <w:r>
        <w:rPr>
          <w:rFonts w:ascii="Times New Roman" w:hAnsi="Times New Roman"/>
          <w:sz w:val="28"/>
          <w:szCs w:val="28"/>
        </w:rPr>
        <w:t xml:space="preserve">Управлению Федер</w:t>
      </w:r>
      <w:r>
        <w:rPr>
          <w:rFonts w:ascii="Times New Roman" w:hAnsi="Times New Roman"/>
          <w:sz w:val="28"/>
          <w:szCs w:val="28"/>
        </w:rPr>
        <w:t xml:space="preserve">альной службы  исполнения наказаний по Ивановской области; Управлению  Федеральной службы  судебных приставов  по Ивановской области;  отделу государственного контроля, надзора и охраны водных биологических ресурсов по Ивановской области Московско-Окского </w:t>
      </w:r>
      <w:r>
        <w:rPr>
          <w:rFonts w:ascii="Times New Roman" w:hAnsi="Times New Roman"/>
          <w:sz w:val="28"/>
          <w:szCs w:val="28"/>
        </w:rPr>
        <w:t xml:space="preserve">территориального управления Федерального агентства по  рыболовству;  ФКУ «Главное бюро медико-санитарной экспертизы  по Ивановской области»; отделению Социального фонда России по Ивановской области;  </w:t>
      </w:r>
      <w:r>
        <w:rPr>
          <w:rFonts w:ascii="Times New Roman" w:hAnsi="Times New Roman"/>
          <w:sz w:val="28"/>
          <w:szCs w:val="28"/>
        </w:rPr>
        <w:t xml:space="preserve">Государственной жилищной инспекции по Ивановской области; Избирательной комиссии  Ивановской области</w:t>
      </w:r>
      <w:r>
        <w:rPr>
          <w:rFonts w:ascii="Times New Roman" w:hAnsi="Times New Roman"/>
          <w:sz w:val="28"/>
          <w:szCs w:val="28"/>
        </w:rPr>
        <w:t xml:space="preserve">; Общественной палате Ивановской области;  Региональному союзу «Ивановское  областное  объединение организаций профсоюзов»; Общественной наблюдательной комиссии; органам  местного самоуправления Ивановской области; членам Экспертного совет при Уполномоченн</w:t>
      </w:r>
      <w:r>
        <w:rPr>
          <w:rFonts w:ascii="Times New Roman" w:hAnsi="Times New Roman"/>
          <w:sz w:val="28"/>
          <w:szCs w:val="28"/>
        </w:rPr>
        <w:t xml:space="preserve">ом; общественным помощникам Уполномоченного; представителям Молодежного общественного совета при Уполномоченном;  средствам массовой информации; общественным правозащитным организациям, социально ориентированным организациям и всем неравнодушным гражданам.</w:t>
      </w:r>
      <w:r>
        <w:rPr>
          <w:rFonts w:ascii="Times New Roman" w:hAnsi="Times New Roman"/>
          <w:sz w:val="28"/>
          <w:szCs w:val="28"/>
        </w:rPr>
      </w:r>
      <w:r>
        <w:rPr>
          <w:rFonts w:ascii="Times New Roman" w:hAnsi="Times New Roman"/>
          <w:sz w:val="28"/>
          <w:szCs w:val="28"/>
        </w:rPr>
      </w:r>
    </w:p>
    <w:p>
      <w:pPr>
        <w:jc w:val="both"/>
        <w:spacing w:after="0" w:line="276" w:lineRule="auto"/>
        <w:rPr>
          <w:rFonts w:ascii="Times New Roman" w:hAnsi="Times New Roman"/>
          <w:sz w:val="28"/>
          <w:szCs w:val="28"/>
        </w:rPr>
      </w:pPr>
      <w:r>
        <w:rPr>
          <w:rFonts w:ascii="Times New Roman" w:hAnsi="Times New Roman"/>
          <w:sz w:val="28"/>
          <w:szCs w:val="28"/>
        </w:rPr>
        <w:tab/>
        <w:t xml:space="preserve">Спасибо и низкий поклон нашим военным, которые героически сражаются на передовой и выполняют самые сложные боевые задачи и охраняют наш с вами покой! Слава и вечная память всем героям, павшим в бою!</w:t>
      </w:r>
      <w:r>
        <w:rPr>
          <w:rFonts w:ascii="Times New Roman" w:hAnsi="Times New Roman"/>
          <w:sz w:val="28"/>
          <w:szCs w:val="28"/>
        </w:rPr>
      </w:r>
      <w:r>
        <w:rPr>
          <w:rFonts w:ascii="Times New Roman" w:hAnsi="Times New Roman"/>
          <w:sz w:val="28"/>
          <w:szCs w:val="28"/>
        </w:rPr>
      </w:r>
    </w:p>
    <w:p>
      <w:pPr>
        <w:ind w:firstLine="709"/>
        <w:jc w:val="both"/>
        <w:spacing w:after="0" w:line="276" w:lineRule="auto"/>
        <w:rPr>
          <w:color w:val="000000" w:themeColor="text1"/>
        </w:rPr>
      </w:pPr>
      <w:r>
        <w:rPr>
          <w:rFonts w:ascii="Times New Roman" w:hAnsi="Times New Roman"/>
          <w:color w:val="000000" w:themeColor="text1"/>
          <w:sz w:val="28"/>
          <w:szCs w:val="28"/>
        </w:rPr>
        <w:t xml:space="preserve">Современная жизнь ставит перед нами серьезные вызовы, испытывая на прочность наши человеческие ценности и принцип</w:t>
      </w:r>
      <w:r>
        <w:rPr>
          <w:rFonts w:ascii="Times New Roman" w:hAnsi="Times New Roman"/>
          <w:color w:val="000000" w:themeColor="text1"/>
          <w:sz w:val="28"/>
          <w:szCs w:val="28"/>
        </w:rPr>
        <w:t xml:space="preserve">ы. В этих условиях особенно важно сохранять единство и продолжать совместную работу. Мы твердо верим, что наша общая Победа в специальной военной операции станет залогом дальнейшего укрепления и развития традиционных ценностей в сфере защиты прав человека.</w:t>
      </w:r>
      <w:r>
        <w:rPr>
          <w:color w:val="000000" w:themeColor="text1"/>
        </w:rPr>
      </w:r>
      <w:r>
        <w:rPr>
          <w:color w:val="000000" w:themeColor="text1"/>
        </w:rPr>
      </w:r>
    </w:p>
    <w:p>
      <w:pPr>
        <w:ind w:firstLine="709"/>
        <w:jc w:val="both"/>
        <w:spacing w:after="0" w:line="276" w:lineRule="auto"/>
        <w:rPr>
          <w:color w:val="000000" w:themeColor="text1"/>
        </w:rPr>
      </w:pPr>
      <w:r>
        <w:rPr>
          <w:rFonts w:ascii="Times New Roman" w:hAnsi="Times New Roman"/>
          <w:color w:val="000000" w:themeColor="text1"/>
          <w:sz w:val="28"/>
          <w:szCs w:val="28"/>
        </w:rPr>
        <w:t xml:space="preserve">Уверены, что совместными усилиями мы сможем и дальше сохранять и р</w:t>
      </w:r>
      <w:r>
        <w:rPr>
          <w:rFonts w:ascii="Times New Roman" w:hAnsi="Times New Roman"/>
          <w:color w:val="000000" w:themeColor="text1"/>
          <w:sz w:val="28"/>
          <w:szCs w:val="28"/>
        </w:rPr>
        <w:t xml:space="preserve">азвивать основополагающие права и свободы каждого человека, обеспечивая устойчивое развитие и процветание нашего общества. Давайте вместе продолжать нашу важную миссию по защите прав и свобод граждан, делая наш мир более справедливым и безопасным для всех.</w:t>
      </w:r>
      <w:r>
        <w:rPr>
          <w:color w:val="000000" w:themeColor="text1"/>
        </w:rPr>
      </w:r>
      <w:r>
        <w:rPr>
          <w:color w:val="000000" w:themeColor="text1"/>
        </w:rPr>
      </w:r>
    </w:p>
    <w:p>
      <w:pPr>
        <w:jc w:val="both"/>
        <w:spacing w:after="0"/>
        <w:tabs>
          <w:tab w:val="left" w:pos="7260" w:leader="none"/>
        </w:tabs>
        <w:rPr>
          <w:rFonts w:ascii="Times New Roman" w:hAnsi="Times New Roman"/>
          <w:sz w:val="28"/>
          <w:szCs w:val="28"/>
        </w:rPr>
      </w:pPr>
      <w:r>
        <w:rPr>
          <w:rFonts w:ascii="Times New Roman" w:hAnsi="Times New Roman"/>
          <w:sz w:val="28"/>
          <w:szCs w:val="28"/>
        </w:rPr>
      </w:r>
      <w:r>
        <w:rPr>
          <w:rFonts w:ascii="Times New Roman" w:hAnsi="Times New Roman"/>
          <w:sz w:val="28"/>
          <w:szCs w:val="28"/>
        </w:rPr>
      </w:r>
      <w:r>
        <w:rPr>
          <w:rFonts w:ascii="Times New Roman" w:hAnsi="Times New Roman"/>
          <w:sz w:val="28"/>
          <w:szCs w:val="28"/>
        </w:rPr>
      </w:r>
    </w:p>
    <w:tbl>
      <w:tblPr>
        <w:tblStyle w:val="1265"/>
        <w:tblW w:w="0" w:type="auto"/>
        <w:tblBorders>
          <w:top w:val="none" w:color="auto" w:sz="0" w:space="0"/>
          <w:left w:val="none" w:color="auto" w:sz="0" w:space="0"/>
          <w:bottom w:val="none" w:color="auto" w:sz="0" w:space="0"/>
          <w:right w:val="none" w:color="auto" w:sz="0" w:space="0"/>
          <w:insideH w:val="none" w:color="auto" w:sz="0" w:space="0"/>
          <w:insideV w:val="none" w:color="auto" w:sz="0" w:space="0"/>
        </w:tblBorders>
        <w:tblLook w:val="04A0" w:firstRow="1" w:lastRow="0" w:firstColumn="1" w:lastColumn="0" w:noHBand="0" w:noVBand="1"/>
      </w:tblPr>
      <w:tblGrid>
        <w:gridCol w:w="4644"/>
        <w:gridCol w:w="2410"/>
        <w:gridCol w:w="2517"/>
      </w:tblGrid>
      <w:tr>
        <w:tblPrEx/>
        <w:trPr/>
        <w:tc>
          <w:tcPr>
            <w:tcW w:w="4644" w:type="dxa"/>
            <w:textDirection w:val="lrTb"/>
            <w:noWrap w:val="false"/>
          </w:tcPr>
          <w:p>
            <w:pPr>
              <w:jc w:val="both"/>
              <w:rPr>
                <w:rFonts w:ascii="Times New Roman" w:hAnsi="Times New Roman"/>
                <w:b/>
                <w:sz w:val="28"/>
                <w:szCs w:val="28"/>
                <w:lang w:eastAsia="ru-RU"/>
              </w:rPr>
            </w:pPr>
            <w:r>
              <w:rPr>
                <w:rFonts w:ascii="Times New Roman" w:hAnsi="Times New Roman"/>
                <w:b/>
                <w:sz w:val="28"/>
                <w:szCs w:val="28"/>
                <w:lang w:eastAsia="ru-RU"/>
              </w:rPr>
            </w:r>
            <w:r>
              <w:rPr>
                <w:rFonts w:ascii="Times New Roman" w:hAnsi="Times New Roman"/>
                <w:b/>
                <w:sz w:val="28"/>
                <w:szCs w:val="28"/>
                <w:lang w:eastAsia="ru-RU"/>
              </w:rPr>
            </w:r>
            <w:r>
              <w:rPr>
                <w:rFonts w:ascii="Times New Roman" w:hAnsi="Times New Roman"/>
                <w:b/>
                <w:sz w:val="28"/>
                <w:szCs w:val="28"/>
                <w:lang w:eastAsia="ru-RU"/>
              </w:rPr>
            </w:r>
          </w:p>
          <w:p>
            <w:pPr>
              <w:jc w:val="both"/>
              <w:rPr>
                <w:rFonts w:ascii="Times New Roman" w:hAnsi="Times New Roman"/>
                <w:b/>
                <w:sz w:val="28"/>
                <w:szCs w:val="28"/>
                <w:lang w:eastAsia="ru-RU"/>
              </w:rPr>
            </w:pPr>
            <w:r>
              <w:rPr>
                <w:rFonts w:ascii="Times New Roman" w:hAnsi="Times New Roman"/>
                <w:b/>
                <w:sz w:val="28"/>
                <w:szCs w:val="28"/>
                <w:lang w:eastAsia="ru-RU"/>
              </w:rPr>
            </w:r>
            <w:r>
              <w:rPr>
                <w:rFonts w:ascii="Times New Roman" w:hAnsi="Times New Roman"/>
                <w:b/>
                <w:sz w:val="28"/>
                <w:szCs w:val="28"/>
                <w:lang w:eastAsia="ru-RU"/>
              </w:rPr>
            </w:r>
            <w:r>
              <w:rPr>
                <w:rFonts w:ascii="Times New Roman" w:hAnsi="Times New Roman"/>
                <w:b/>
                <w:sz w:val="28"/>
                <w:szCs w:val="28"/>
                <w:lang w:eastAsia="ru-RU"/>
              </w:rPr>
            </w:r>
          </w:p>
          <w:p>
            <w:pPr>
              <w:jc w:val="both"/>
              <w:rPr>
                <w:rFonts w:ascii="Times New Roman" w:hAnsi="Times New Roman"/>
                <w:b/>
                <w:sz w:val="28"/>
                <w:szCs w:val="28"/>
                <w:lang w:eastAsia="ru-RU"/>
              </w:rPr>
            </w:pPr>
            <w:r>
              <w:rPr>
                <w:rFonts w:ascii="Times New Roman" w:hAnsi="Times New Roman"/>
                <w:b/>
                <w:sz w:val="28"/>
                <w:szCs w:val="28"/>
                <w:lang w:eastAsia="ru-RU"/>
              </w:rPr>
              <w:t xml:space="preserve">Уполномоченный по правам человека в Ивановской области</w:t>
            </w:r>
            <w:r>
              <w:rPr>
                <w:rFonts w:ascii="Times New Roman" w:hAnsi="Times New Roman"/>
                <w:b/>
                <w:sz w:val="28"/>
                <w:szCs w:val="28"/>
                <w:lang w:eastAsia="ru-RU"/>
              </w:rPr>
            </w:r>
            <w:r>
              <w:rPr>
                <w:rFonts w:ascii="Times New Roman" w:hAnsi="Times New Roman"/>
                <w:b/>
                <w:sz w:val="28"/>
                <w:szCs w:val="28"/>
                <w:lang w:eastAsia="ru-RU"/>
              </w:rPr>
            </w:r>
          </w:p>
          <w:p>
            <w:pPr>
              <w:jc w:val="both"/>
              <w:rPr>
                <w:rFonts w:ascii="Times New Roman" w:hAnsi="Times New Roman"/>
                <w:sz w:val="28"/>
                <w:szCs w:val="28"/>
              </w:rPr>
            </w:pPr>
            <w:r>
              <w:rPr>
                <w:rFonts w:ascii="Times New Roman" w:hAnsi="Times New Roman"/>
                <w:sz w:val="28"/>
                <w:szCs w:val="28"/>
              </w:rPr>
            </w:r>
            <w:r>
              <w:rPr>
                <w:rFonts w:ascii="Times New Roman" w:hAnsi="Times New Roman"/>
                <w:sz w:val="28"/>
                <w:szCs w:val="28"/>
              </w:rPr>
            </w:r>
            <w:r>
              <w:rPr>
                <w:rFonts w:ascii="Times New Roman" w:hAnsi="Times New Roman"/>
                <w:sz w:val="28"/>
                <w:szCs w:val="28"/>
              </w:rPr>
            </w:r>
          </w:p>
        </w:tc>
        <w:tc>
          <w:tcPr>
            <w:tcW w:w="2410" w:type="dxa"/>
            <w:textDirection w:val="lrTb"/>
            <w:noWrap w:val="false"/>
          </w:tcPr>
          <w:p>
            <w:pPr>
              <w:jc w:val="center"/>
              <w:rPr>
                <w:rFonts w:ascii="Times New Roman" w:hAnsi="Times New Roman"/>
                <w:sz w:val="28"/>
                <w:szCs w:val="28"/>
              </w:rPr>
            </w:pPr>
            <w:r>
              <w:rPr>
                <w:rFonts w:ascii="Times New Roman" w:hAnsi="Times New Roman"/>
                <w:sz w:val="28"/>
                <w:szCs w:val="28"/>
                <w:lang w:eastAsia="ru-RU"/>
              </w:rPr>
            </w:r>
            <w:r>
              <w:rPr>
                <w:rFonts w:ascii="Times New Roman" w:hAnsi="Times New Roman"/>
                <w:sz w:val="28"/>
                <w:szCs w:val="28"/>
                <w:lang w:eastAsia="ru-RU"/>
              </w:rPr>
              <mc:AlternateContent>
                <mc:Choice Requires="wpg">
                  <w:drawing>
                    <wp:inline xmlns:wp="http://schemas.openxmlformats.org/drawingml/2006/wordprocessingDrawing" distT="0" distB="0" distL="0" distR="0">
                      <wp:extent cx="742950" cy="1019175"/>
                      <wp:effectExtent l="0" t="0" r="0" b="0"/>
                      <wp:docPr id="27" name="_x0000_i1030"/>
                      <wp:cNvGraphicFramePr/>
                      <a:graphic xmlns:a="http://schemas.openxmlformats.org/drawingml/2006/main">
                        <a:graphicData uri="http://schemas.openxmlformats.org/drawingml/2006/picture">
                          <pic:pic xmlns:pic="http://schemas.openxmlformats.org/drawingml/2006/picture">
                            <pic:nvPicPr>
                              <pic:cNvPr id="0" name=""/>
                              <pic:cNvPicPr/>
                              <pic:nvPr/>
                            </pic:nvPicPr>
                            <pic:blipFill>
                              <a:blip r:embed="rId41"/>
                              <a:stretch/>
                            </pic:blipFill>
                            <pic:spPr bwMode="auto">
                              <a:xfrm>
                                <a:off x="0" y="0"/>
                                <a:ext cx="742950" cy="1019174"/>
                              </a:xfrm>
                              <a:prstGeom prst="rect">
                                <a:avLst/>
                              </a:prstGeom>
                              <a:noFill/>
                              <a:ln>
                                <a:noFill/>
                                <a:round/>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6" o:spid="_x0000_s16" type="#_x0000_t75" style="width:58.50pt;height:80.25pt;mso-wrap-distance-left:0.00pt;mso-wrap-distance-top:0.00pt;mso-wrap-distance-right:0.00pt;mso-wrap-distance-bottom:0.00pt;" stroked="f">
                      <v:path textboxrect="0,0,0,0"/>
                      <v:imagedata r:id="rId41" o:title=""/>
                    </v:shape>
                  </w:pict>
                </mc:Fallback>
              </mc:AlternateContent>
            </w:r>
            <w:r>
              <w:rPr>
                <w:rFonts w:ascii="Times New Roman" w:hAnsi="Times New Roman"/>
                <w:sz w:val="28"/>
                <w:szCs w:val="28"/>
              </w:rPr>
            </w:r>
            <w:r>
              <w:rPr>
                <w:rFonts w:ascii="Times New Roman" w:hAnsi="Times New Roman"/>
                <w:sz w:val="28"/>
                <w:szCs w:val="28"/>
              </w:rPr>
            </w:r>
          </w:p>
        </w:tc>
        <w:tc>
          <w:tcPr>
            <w:tcW w:w="2517" w:type="dxa"/>
            <w:textDirection w:val="lrTb"/>
            <w:noWrap w:val="false"/>
          </w:tcPr>
          <w:p>
            <w:pPr>
              <w:rPr>
                <w:rFonts w:ascii="Times New Roman" w:hAnsi="Times New Roman"/>
                <w:b/>
                <w:sz w:val="28"/>
                <w:szCs w:val="28"/>
                <w:lang w:eastAsia="ru-RU"/>
              </w:rPr>
            </w:pPr>
            <w:r>
              <w:rPr>
                <w:rFonts w:ascii="Times New Roman" w:hAnsi="Times New Roman"/>
                <w:b/>
                <w:sz w:val="28"/>
                <w:szCs w:val="28"/>
                <w:lang w:eastAsia="ru-RU"/>
              </w:rPr>
            </w:r>
            <w:r>
              <w:rPr>
                <w:rFonts w:ascii="Times New Roman" w:hAnsi="Times New Roman"/>
                <w:b/>
                <w:sz w:val="28"/>
                <w:szCs w:val="28"/>
                <w:lang w:eastAsia="ru-RU"/>
              </w:rPr>
            </w:r>
            <w:r>
              <w:rPr>
                <w:rFonts w:ascii="Times New Roman" w:hAnsi="Times New Roman"/>
                <w:b/>
                <w:sz w:val="28"/>
                <w:szCs w:val="28"/>
                <w:lang w:eastAsia="ru-RU"/>
              </w:rPr>
            </w:r>
          </w:p>
          <w:p>
            <w:pPr>
              <w:jc w:val="right"/>
              <w:rPr>
                <w:rFonts w:ascii="Times New Roman" w:hAnsi="Times New Roman"/>
                <w:b/>
                <w:sz w:val="28"/>
                <w:szCs w:val="28"/>
                <w:lang w:eastAsia="ru-RU"/>
              </w:rPr>
            </w:pPr>
            <w:r>
              <w:rPr>
                <w:rFonts w:ascii="Times New Roman" w:hAnsi="Times New Roman"/>
                <w:b/>
                <w:sz w:val="28"/>
                <w:szCs w:val="28"/>
                <w:lang w:eastAsia="ru-RU"/>
              </w:rPr>
            </w:r>
            <w:r>
              <w:rPr>
                <w:rFonts w:ascii="Times New Roman" w:hAnsi="Times New Roman"/>
                <w:b/>
                <w:sz w:val="28"/>
                <w:szCs w:val="28"/>
                <w:lang w:eastAsia="ru-RU"/>
              </w:rPr>
            </w:r>
            <w:r>
              <w:rPr>
                <w:rFonts w:ascii="Times New Roman" w:hAnsi="Times New Roman"/>
                <w:b/>
                <w:sz w:val="28"/>
                <w:szCs w:val="28"/>
                <w:lang w:eastAsia="ru-RU"/>
              </w:rPr>
            </w:r>
          </w:p>
          <w:p>
            <w:pPr>
              <w:jc w:val="right"/>
              <w:rPr>
                <w:rFonts w:ascii="Times New Roman" w:hAnsi="Times New Roman"/>
                <w:b/>
                <w:sz w:val="28"/>
                <w:szCs w:val="28"/>
                <w:lang w:eastAsia="ru-RU"/>
              </w:rPr>
            </w:pPr>
            <w:r>
              <w:rPr>
                <w:rFonts w:ascii="Times New Roman" w:hAnsi="Times New Roman"/>
                <w:b/>
                <w:sz w:val="28"/>
                <w:szCs w:val="28"/>
                <w:lang w:eastAsia="ru-RU"/>
              </w:rPr>
            </w:r>
            <w:r>
              <w:rPr>
                <w:rFonts w:ascii="Times New Roman" w:hAnsi="Times New Roman"/>
                <w:b/>
                <w:sz w:val="28"/>
                <w:szCs w:val="28"/>
                <w:lang w:eastAsia="ru-RU"/>
              </w:rPr>
            </w:r>
            <w:r>
              <w:rPr>
                <w:rFonts w:ascii="Times New Roman" w:hAnsi="Times New Roman"/>
                <w:b/>
                <w:sz w:val="28"/>
                <w:szCs w:val="28"/>
                <w:lang w:eastAsia="ru-RU"/>
              </w:rPr>
            </w:r>
          </w:p>
          <w:p>
            <w:pPr>
              <w:jc w:val="right"/>
              <w:rPr>
                <w:rFonts w:ascii="Times New Roman" w:hAnsi="Times New Roman"/>
                <w:b/>
                <w:sz w:val="28"/>
                <w:szCs w:val="28"/>
                <w:lang w:eastAsia="ru-RU"/>
              </w:rPr>
            </w:pPr>
            <w:r>
              <w:rPr>
                <w:rFonts w:ascii="Times New Roman" w:hAnsi="Times New Roman"/>
                <w:b/>
                <w:sz w:val="28"/>
                <w:szCs w:val="28"/>
                <w:lang w:eastAsia="ru-RU"/>
              </w:rPr>
              <w:t xml:space="preserve">С.А. Шмелева </w:t>
            </w:r>
            <w:r>
              <w:rPr>
                <w:rFonts w:ascii="Times New Roman" w:hAnsi="Times New Roman"/>
                <w:b/>
                <w:sz w:val="28"/>
                <w:szCs w:val="28"/>
                <w:lang w:eastAsia="ru-RU"/>
              </w:rPr>
            </w:r>
            <w:r>
              <w:rPr>
                <w:rFonts w:ascii="Times New Roman" w:hAnsi="Times New Roman"/>
                <w:b/>
                <w:sz w:val="28"/>
                <w:szCs w:val="28"/>
                <w:lang w:eastAsia="ru-RU"/>
              </w:rPr>
            </w:r>
          </w:p>
          <w:p>
            <w:pPr>
              <w:jc w:val="both"/>
              <w:rPr>
                <w:rFonts w:ascii="Times New Roman" w:hAnsi="Times New Roman"/>
                <w:sz w:val="28"/>
                <w:szCs w:val="28"/>
              </w:rPr>
            </w:pPr>
            <w:r>
              <w:rPr>
                <w:rFonts w:ascii="Times New Roman" w:hAnsi="Times New Roman"/>
                <w:sz w:val="28"/>
                <w:szCs w:val="28"/>
              </w:rPr>
            </w:r>
            <w:r>
              <w:rPr>
                <w:rFonts w:ascii="Times New Roman" w:hAnsi="Times New Roman"/>
                <w:sz w:val="28"/>
                <w:szCs w:val="28"/>
              </w:rPr>
            </w:r>
            <w:r>
              <w:rPr>
                <w:rFonts w:ascii="Times New Roman" w:hAnsi="Times New Roman"/>
                <w:sz w:val="28"/>
                <w:szCs w:val="28"/>
              </w:rPr>
            </w:r>
          </w:p>
        </w:tc>
      </w:tr>
    </w:tbl>
    <w:p>
      <w:pPr>
        <w:jc w:val="left"/>
        <w:spacing w:after="0"/>
        <w:rPr>
          <w:rFonts w:ascii="Times New Roman" w:hAnsi="Times New Roman"/>
          <w:b/>
          <w:bCs/>
          <w:color w:val="000000" w:themeColor="text1"/>
          <w:sz w:val="28"/>
          <w:szCs w:val="28"/>
        </w:rPr>
      </w:pPr>
      <w:r>
        <w:rPr>
          <w:rFonts w:ascii="Times New Roman" w:hAnsi="Times New Roman"/>
          <w:b/>
          <w:color w:val="000000" w:themeColor="text1"/>
          <w:sz w:val="28"/>
          <w:szCs w:val="28"/>
          <w:highlight w:val="none"/>
        </w:rPr>
      </w:r>
      <w:r>
        <w:rPr>
          <w:rFonts w:ascii="Times New Roman" w:hAnsi="Times New Roman"/>
          <w:b/>
          <w:bCs/>
          <w:color w:val="000000" w:themeColor="text1"/>
          <w:sz w:val="28"/>
          <w:szCs w:val="28"/>
        </w:rPr>
      </w:r>
      <w:r>
        <w:rPr>
          <w:rFonts w:ascii="Times New Roman" w:hAnsi="Times New Roman"/>
          <w:b/>
          <w:bCs/>
          <w:color w:val="000000" w:themeColor="text1"/>
          <w:sz w:val="28"/>
          <w:szCs w:val="28"/>
        </w:rPr>
      </w:r>
    </w:p>
    <w:p>
      <w:pPr>
        <w:jc w:val="center"/>
        <w:spacing w:after="0"/>
        <w:rPr>
          <w:rFonts w:ascii="Times New Roman" w:hAnsi="Times New Roman"/>
          <w:b/>
          <w:bCs/>
          <w:color w:val="000000" w:themeColor="text1"/>
          <w:sz w:val="28"/>
          <w:szCs w:val="28"/>
          <w:highlight w:val="none"/>
        </w:rPr>
      </w:pPr>
      <w:r>
        <w:rPr>
          <w:rFonts w:ascii="Times New Roman" w:hAnsi="Times New Roman"/>
          <w:b/>
          <w:color w:val="000000" w:themeColor="text1"/>
          <w:sz w:val="28"/>
          <w:szCs w:val="28"/>
        </w:rPr>
        <w:t xml:space="preserve">ИНФОГРАФИКА</w:t>
      </w:r>
      <w:r>
        <w:rPr>
          <w:rFonts w:ascii="Times New Roman" w:hAnsi="Times New Roman"/>
          <w:b/>
          <w:bCs/>
          <w:color w:val="000000" w:themeColor="text1"/>
          <w:sz w:val="28"/>
          <w:szCs w:val="28"/>
          <w:highlight w:val="none"/>
        </w:rPr>
      </w:r>
      <w:r>
        <w:rPr>
          <w:rFonts w:ascii="Times New Roman" w:hAnsi="Times New Roman"/>
          <w:b/>
          <w:bCs/>
          <w:color w:val="000000" w:themeColor="text1"/>
          <w:sz w:val="28"/>
          <w:szCs w:val="28"/>
          <w:highlight w:val="none"/>
        </w:rPr>
      </w:r>
    </w:p>
    <w:p>
      <w:pPr>
        <w:jc w:val="center"/>
        <w:spacing w:after="0"/>
        <w:rPr>
          <w:rFonts w:ascii="Times New Roman" w:hAnsi="Times New Roman"/>
          <w:b/>
          <w:bCs/>
          <w:color w:val="000000" w:themeColor="text1"/>
          <w:sz w:val="28"/>
          <w:szCs w:val="28"/>
        </w:rPr>
      </w:pPr>
      <w:r>
        <w:rPr>
          <w:rFonts w:ascii="Times New Roman" w:hAnsi="Times New Roman"/>
          <w:b/>
          <w:color w:val="000000" w:themeColor="text1"/>
          <w:sz w:val="28"/>
          <w:szCs w:val="28"/>
        </w:rPr>
        <w:t xml:space="preserve">количества обращений за 15 лет</w:t>
      </w:r>
      <w:r>
        <w:rPr>
          <w:rFonts w:ascii="Times New Roman" w:hAnsi="Times New Roman"/>
          <w:b/>
          <w:bCs/>
          <w:color w:val="000000" w:themeColor="text1"/>
          <w:sz w:val="28"/>
          <w:szCs w:val="28"/>
        </w:rPr>
      </w:r>
      <w:r>
        <w:rPr>
          <w:rFonts w:ascii="Times New Roman" w:hAnsi="Times New Roman"/>
          <w:b/>
          <w:bCs/>
          <w:color w:val="000000" w:themeColor="text1"/>
          <w:sz w:val="28"/>
          <w:szCs w:val="28"/>
        </w:rPr>
      </w:r>
    </w:p>
    <w:p>
      <w:pPr>
        <w:jc w:val="center"/>
        <w:spacing w:after="0"/>
        <w:rPr>
          <w:rFonts w:ascii="Times New Roman" w:hAnsi="Times New Roman"/>
          <w:b/>
          <w:bCs/>
          <w:color w:val="000000" w:themeColor="text1"/>
          <w:sz w:val="28"/>
          <w:szCs w:val="28"/>
        </w:rPr>
      </w:pPr>
      <w:r>
        <w:rPr>
          <w:rFonts w:ascii="Times New Roman" w:hAnsi="Times New Roman"/>
          <w:b/>
          <w:bCs/>
          <w:color w:val="000000" w:themeColor="text1"/>
          <w:sz w:val="28"/>
          <w:szCs w:val="28"/>
        </w:rPr>
      </w:r>
      <w:r>
        <w:rPr>
          <w:rFonts w:ascii="Times New Roman" w:hAnsi="Times New Roman"/>
          <w:b/>
          <w:bCs/>
          <w:color w:val="000000" w:themeColor="text1"/>
          <w:sz w:val="28"/>
          <w:szCs w:val="28"/>
        </w:rPr>
      </w:r>
      <w:r>
        <w:rPr>
          <w:rFonts w:ascii="Times New Roman" w:hAnsi="Times New Roman"/>
          <w:b/>
          <w:bCs/>
          <w:color w:val="000000" w:themeColor="text1"/>
          <w:sz w:val="28"/>
          <w:szCs w:val="28"/>
        </w:rPr>
      </w:r>
    </w:p>
    <w:p>
      <w:pPr>
        <w:jc w:val="center"/>
        <w:spacing w:after="0"/>
        <w:rPr>
          <w:rFonts w:ascii="Times New Roman" w:hAnsi="Times New Roman"/>
          <w:b/>
          <w:bCs/>
          <w:color w:val="000000" w:themeColor="text1"/>
          <w:sz w:val="28"/>
          <w:szCs w:val="28"/>
        </w:rPr>
      </w:pPr>
      <w:r>
        <w:rPr>
          <w:rFonts w:ascii="Times New Roman" w:hAnsi="Times New Roman"/>
          <w:b/>
          <w:bCs/>
          <w:color w:val="000000" w:themeColor="text1"/>
          <w:sz w:val="28"/>
          <w:szCs w:val="28"/>
        </w:rPr>
        <w:t xml:space="preserve">Общее количество обращений за 15 лет  - </w:t>
      </w:r>
      <w:r>
        <w:rPr>
          <w:rFonts w:ascii="Times New Roman" w:hAnsi="Times New Roman"/>
          <w:b/>
          <w:bCs/>
          <w:sz w:val="28"/>
          <w:szCs w:val="28"/>
        </w:rPr>
        <w:t xml:space="preserve">39 397.</w:t>
      </w:r>
      <w:r>
        <w:rPr>
          <w:rFonts w:ascii="Times New Roman" w:hAnsi="Times New Roman"/>
          <w:b/>
          <w:bCs/>
          <w:color w:val="000000" w:themeColor="text1"/>
          <w:sz w:val="28"/>
          <w:szCs w:val="28"/>
        </w:rPr>
      </w:r>
      <w:r>
        <w:rPr>
          <w:rFonts w:ascii="Times New Roman" w:hAnsi="Times New Roman"/>
          <w:b/>
          <w:bCs/>
          <w:color w:val="000000" w:themeColor="text1"/>
          <w:sz w:val="28"/>
          <w:szCs w:val="28"/>
        </w:rPr>
      </w:r>
    </w:p>
    <w:p>
      <w:pPr>
        <w:jc w:val="center"/>
        <w:spacing w:after="0"/>
        <w:rPr>
          <w:rFonts w:ascii="Times New Roman" w:hAnsi="Times New Roman"/>
          <w:b/>
          <w:bCs/>
          <w:color w:val="000000" w:themeColor="text1"/>
          <w:sz w:val="28"/>
          <w:szCs w:val="28"/>
        </w:rPr>
      </w:pPr>
      <w:r>
        <w:rPr>
          <w:lang w:eastAsia="ru-RU"/>
        </w:rPr>
        <w:drawing>
          <wp:inline distT="0" distB="0" distL="0" distR="0">
            <wp:extent cx="5897661" cy="3064240"/>
            <wp:effectExtent l="4762" t="4762" r="4762" b="4762"/>
            <wp:docPr id="28" name=""/>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r>
        <w:rPr>
          <w:rFonts w:ascii="Times New Roman" w:hAnsi="Times New Roman"/>
          <w:b/>
          <w:bCs/>
          <w:color w:val="000000" w:themeColor="text1"/>
          <w:sz w:val="28"/>
          <w:szCs w:val="28"/>
        </w:rPr>
      </w:r>
      <w:r>
        <w:rPr>
          <w:rFonts w:ascii="Times New Roman" w:hAnsi="Times New Roman"/>
          <w:b/>
          <w:bCs/>
          <w:color w:val="000000" w:themeColor="text1"/>
          <w:sz w:val="28"/>
          <w:szCs w:val="28"/>
        </w:rPr>
      </w:r>
    </w:p>
    <w:p>
      <w:pPr>
        <w:spacing w:after="0"/>
        <w:rPr>
          <w:rFonts w:ascii="Times New Roman" w:hAnsi="Times New Roman"/>
          <w:b/>
          <w:bCs/>
          <w:color w:val="000000" w:themeColor="text1"/>
          <w:sz w:val="28"/>
          <w:szCs w:val="28"/>
        </w:rPr>
      </w:pPr>
      <w:r>
        <w:rPr>
          <w:rFonts w:ascii="Times New Roman" w:hAnsi="Times New Roman"/>
          <w:b/>
          <w:bCs/>
          <w:color w:val="000000" w:themeColor="text1"/>
          <w:sz w:val="28"/>
          <w:szCs w:val="28"/>
        </w:rPr>
      </w:r>
      <w:r>
        <w:rPr>
          <w:rFonts w:ascii="Times New Roman" w:hAnsi="Times New Roman"/>
          <w:b/>
          <w:bCs/>
          <w:color w:val="000000" w:themeColor="text1"/>
          <w:sz w:val="28"/>
          <w:szCs w:val="28"/>
        </w:rPr>
      </w:r>
      <w:r>
        <w:rPr>
          <w:rFonts w:ascii="Times New Roman" w:hAnsi="Times New Roman"/>
          <w:b/>
          <w:bCs/>
          <w:color w:val="000000" w:themeColor="text1"/>
          <w:sz w:val="28"/>
          <w:szCs w:val="28"/>
        </w:rPr>
      </w:r>
    </w:p>
    <w:p>
      <w:pPr>
        <w:jc w:val="both"/>
        <w:spacing w:after="0"/>
        <w:rPr>
          <w:rFonts w:ascii="Times New Roman" w:hAnsi="Times New Roman"/>
          <w:b/>
          <w:color w:val="ff0000"/>
          <w:sz w:val="28"/>
          <w:szCs w:val="28"/>
        </w:rPr>
      </w:pPr>
      <w:r>
        <w:rPr>
          <w:lang w:eastAsia="ru-RU"/>
        </w:rPr>
        <w:drawing>
          <wp:inline distT="0" distB="0" distL="0" distR="0">
            <wp:extent cx="5897661" cy="3899436"/>
            <wp:effectExtent l="4762" t="4762" r="4762" b="4762"/>
            <wp:docPr id="29" name=""/>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r>
        <w:rPr>
          <w:rFonts w:ascii="Times New Roman" w:hAnsi="Times New Roman"/>
          <w:b/>
          <w:color w:val="ff0000"/>
          <w:sz w:val="28"/>
          <w:szCs w:val="28"/>
        </w:rPr>
      </w:r>
      <w:r>
        <w:rPr>
          <w:rFonts w:ascii="Times New Roman" w:hAnsi="Times New Roman"/>
          <w:b/>
          <w:color w:val="ff0000"/>
          <w:sz w:val="28"/>
          <w:szCs w:val="28"/>
        </w:rPr>
      </w:r>
    </w:p>
    <w:p>
      <w:pPr>
        <w:jc w:val="both"/>
        <w:spacing w:after="0"/>
        <w:rPr>
          <w:rFonts w:ascii="Times New Roman" w:hAnsi="Times New Roman"/>
          <w:b/>
          <w:bCs/>
          <w:color w:val="ff0000"/>
          <w:sz w:val="28"/>
          <w:szCs w:val="28"/>
        </w:rPr>
      </w:pPr>
      <w:r>
        <w:rPr>
          <w:rFonts w:ascii="Times New Roman" w:hAnsi="Times New Roman"/>
          <w:b/>
          <w:bCs/>
          <w:color w:val="ff0000"/>
          <w:sz w:val="28"/>
          <w:szCs w:val="28"/>
        </w:rPr>
      </w:r>
      <w:r>
        <w:rPr>
          <w:rFonts w:ascii="Times New Roman" w:hAnsi="Times New Roman"/>
          <w:b/>
          <w:bCs/>
          <w:color w:val="ff0000"/>
          <w:sz w:val="28"/>
          <w:szCs w:val="28"/>
        </w:rPr>
      </w:r>
      <w:r>
        <w:rPr>
          <w:rFonts w:ascii="Times New Roman" w:hAnsi="Times New Roman"/>
          <w:b/>
          <w:bCs/>
          <w:color w:val="ff0000"/>
          <w:sz w:val="28"/>
          <w:szCs w:val="28"/>
        </w:rPr>
      </w:r>
    </w:p>
    <w:p>
      <w:pPr>
        <w:jc w:val="both"/>
        <w:spacing w:after="0"/>
        <w:rPr>
          <w:rFonts w:ascii="Times New Roman" w:hAnsi="Times New Roman"/>
          <w:b/>
          <w:bCs/>
          <w:color w:val="ff0000"/>
          <w:sz w:val="28"/>
          <w:szCs w:val="28"/>
        </w:rPr>
      </w:pPr>
      <w:r>
        <w:rPr>
          <w:lang w:eastAsia="ru-RU"/>
        </w:rPr>
        <w:drawing>
          <wp:inline distT="0" distB="0" distL="0" distR="0">
            <wp:extent cx="5743575" cy="3385291"/>
            <wp:effectExtent l="4762" t="4762" r="4762" b="4762"/>
            <wp:docPr id="30" name=""/>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r>
        <w:rPr>
          <w:rFonts w:ascii="Times New Roman" w:hAnsi="Times New Roman"/>
          <w:b/>
          <w:bCs/>
          <w:color w:val="ff0000"/>
          <w:sz w:val="28"/>
          <w:szCs w:val="28"/>
        </w:rPr>
      </w:r>
      <w:r>
        <w:rPr>
          <w:rFonts w:ascii="Times New Roman" w:hAnsi="Times New Roman"/>
          <w:b/>
          <w:bCs/>
          <w:color w:val="ff0000"/>
          <w:sz w:val="28"/>
          <w:szCs w:val="28"/>
        </w:rPr>
      </w:r>
    </w:p>
    <w:p>
      <w:pPr>
        <w:jc w:val="both"/>
        <w:spacing w:after="0"/>
        <w:rPr>
          <w:rFonts w:ascii="Times New Roman" w:hAnsi="Times New Roman"/>
          <w:b/>
          <w:bCs/>
          <w:color w:val="ff0000"/>
          <w:sz w:val="28"/>
          <w:szCs w:val="28"/>
        </w:rPr>
      </w:pPr>
      <w:r>
        <w:rPr>
          <w:rFonts w:ascii="Times New Roman" w:hAnsi="Times New Roman"/>
          <w:b/>
          <w:bCs/>
          <w:color w:val="ff0000"/>
          <w:sz w:val="28"/>
          <w:szCs w:val="28"/>
        </w:rPr>
      </w:r>
      <w:r>
        <w:rPr>
          <w:rFonts w:ascii="Times New Roman" w:hAnsi="Times New Roman"/>
          <w:b/>
          <w:bCs/>
          <w:color w:val="ff0000"/>
          <w:sz w:val="28"/>
          <w:szCs w:val="28"/>
        </w:rPr>
      </w:r>
      <w:r>
        <w:rPr>
          <w:rFonts w:ascii="Times New Roman" w:hAnsi="Times New Roman"/>
          <w:b/>
          <w:bCs/>
          <w:color w:val="ff0000"/>
          <w:sz w:val="28"/>
          <w:szCs w:val="28"/>
        </w:rPr>
      </w:r>
    </w:p>
    <w:p>
      <w:pPr>
        <w:jc w:val="both"/>
        <w:spacing w:after="0"/>
        <w:rPr>
          <w:rFonts w:ascii="Times New Roman" w:hAnsi="Times New Roman"/>
          <w:b/>
          <w:bCs/>
          <w:color w:val="ff0000"/>
          <w:sz w:val="28"/>
          <w:szCs w:val="28"/>
        </w:rPr>
      </w:pPr>
      <w:r>
        <w:rPr>
          <w:rFonts w:ascii="Times New Roman" w:hAnsi="Times New Roman"/>
          <w:b/>
          <w:bCs/>
          <w:color w:val="ff0000"/>
          <w:sz w:val="28"/>
          <w:szCs w:val="28"/>
        </w:rPr>
      </w:r>
      <w:r>
        <w:rPr>
          <w:rFonts w:ascii="Times New Roman" w:hAnsi="Times New Roman"/>
          <w:b/>
          <w:bCs/>
          <w:color w:val="ff0000"/>
          <w:sz w:val="28"/>
          <w:szCs w:val="28"/>
        </w:rPr>
      </w:r>
      <w:r>
        <w:rPr>
          <w:rFonts w:ascii="Times New Roman" w:hAnsi="Times New Roman"/>
          <w:b/>
          <w:bCs/>
          <w:color w:val="ff0000"/>
          <w:sz w:val="28"/>
          <w:szCs w:val="28"/>
        </w:rPr>
      </w:r>
    </w:p>
    <w:p>
      <w:pPr>
        <w:jc w:val="both"/>
        <w:spacing w:after="0"/>
        <w:rPr>
          <w:rFonts w:ascii="Times New Roman" w:hAnsi="Times New Roman"/>
          <w:b/>
          <w:bCs/>
          <w:color w:val="ff0000"/>
          <w:sz w:val="28"/>
          <w:szCs w:val="28"/>
        </w:rPr>
      </w:pPr>
      <w:r>
        <w:rPr>
          <w:lang w:eastAsia="ru-RU"/>
        </w:rPr>
        <w:drawing>
          <wp:inline distT="0" distB="0" distL="0" distR="0">
            <wp:extent cx="5743575" cy="3099847"/>
            <wp:effectExtent l="4762" t="4762" r="4762" b="4762"/>
            <wp:docPr id="31" name=""/>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r>
        <w:rPr>
          <w:rFonts w:ascii="Times New Roman" w:hAnsi="Times New Roman"/>
          <w:b/>
          <w:bCs/>
          <w:color w:val="ff0000"/>
          <w:sz w:val="28"/>
          <w:szCs w:val="28"/>
        </w:rPr>
      </w:r>
      <w:r>
        <w:rPr>
          <w:rFonts w:ascii="Times New Roman" w:hAnsi="Times New Roman"/>
          <w:b/>
          <w:bCs/>
          <w:color w:val="ff0000"/>
          <w:sz w:val="28"/>
          <w:szCs w:val="28"/>
        </w:rPr>
      </w:r>
    </w:p>
    <w:p>
      <w:pPr>
        <w:jc w:val="both"/>
        <w:spacing w:after="0"/>
        <w:rPr>
          <w:rFonts w:ascii="Times New Roman" w:hAnsi="Times New Roman"/>
          <w:b/>
          <w:bCs/>
          <w:color w:val="ff0000"/>
          <w:sz w:val="28"/>
          <w:szCs w:val="28"/>
        </w:rPr>
      </w:pPr>
      <w:r>
        <w:rPr>
          <w:rFonts w:ascii="Times New Roman" w:hAnsi="Times New Roman"/>
          <w:b/>
          <w:bCs/>
          <w:color w:val="ff0000"/>
          <w:sz w:val="28"/>
          <w:szCs w:val="28"/>
        </w:rPr>
      </w:r>
      <w:r>
        <w:rPr>
          <w:rFonts w:ascii="Times New Roman" w:hAnsi="Times New Roman"/>
          <w:b/>
          <w:bCs/>
          <w:color w:val="ff0000"/>
          <w:sz w:val="28"/>
          <w:szCs w:val="28"/>
        </w:rPr>
      </w:r>
      <w:r>
        <w:rPr>
          <w:rFonts w:ascii="Times New Roman" w:hAnsi="Times New Roman"/>
          <w:b/>
          <w:bCs/>
          <w:color w:val="ff0000"/>
          <w:sz w:val="28"/>
          <w:szCs w:val="28"/>
        </w:rPr>
      </w:r>
    </w:p>
    <w:p>
      <w:pPr>
        <w:jc w:val="both"/>
        <w:spacing w:after="0"/>
        <w:rPr>
          <w:rFonts w:ascii="Times New Roman" w:hAnsi="Times New Roman"/>
          <w:b/>
          <w:bCs/>
          <w:color w:val="ff0000"/>
          <w:sz w:val="28"/>
          <w:szCs w:val="28"/>
        </w:rPr>
      </w:pPr>
      <w:r>
        <w:rPr>
          <w:rFonts w:ascii="Times New Roman" w:hAnsi="Times New Roman"/>
          <w:b/>
          <w:bCs/>
          <w:color w:val="ff0000"/>
          <w:sz w:val="28"/>
          <w:szCs w:val="28"/>
        </w:rPr>
      </w:r>
      <w:r>
        <w:rPr>
          <w:rFonts w:ascii="Times New Roman" w:hAnsi="Times New Roman"/>
          <w:b/>
          <w:bCs/>
          <w:color w:val="ff0000"/>
          <w:sz w:val="28"/>
          <w:szCs w:val="28"/>
        </w:rPr>
      </w:r>
      <w:r>
        <w:rPr>
          <w:rFonts w:ascii="Times New Roman" w:hAnsi="Times New Roman"/>
          <w:b/>
          <w:bCs/>
          <w:color w:val="ff0000"/>
          <w:sz w:val="28"/>
          <w:szCs w:val="28"/>
        </w:rPr>
      </w:r>
    </w:p>
    <w:p>
      <w:pPr>
        <w:jc w:val="both"/>
        <w:spacing w:after="0"/>
        <w:rPr>
          <w:rFonts w:ascii="Times New Roman" w:hAnsi="Times New Roman"/>
          <w:b/>
          <w:bCs/>
          <w:color w:val="ff0000"/>
          <w:sz w:val="28"/>
          <w:szCs w:val="28"/>
        </w:rPr>
      </w:pPr>
      <w:r>
        <w:rPr>
          <w:rFonts w:ascii="Times New Roman" w:hAnsi="Times New Roman"/>
          <w:b/>
          <w:bCs/>
          <w:color w:val="ff0000"/>
          <w:sz w:val="28"/>
          <w:szCs w:val="28"/>
        </w:rPr>
      </w:r>
      <w:r>
        <w:rPr>
          <w:rFonts w:ascii="Times New Roman" w:hAnsi="Times New Roman"/>
          <w:b/>
          <w:bCs/>
          <w:color w:val="ff0000"/>
          <w:sz w:val="28"/>
          <w:szCs w:val="28"/>
        </w:rPr>
      </w:r>
      <w:r>
        <w:rPr>
          <w:rFonts w:ascii="Times New Roman" w:hAnsi="Times New Roman"/>
          <w:b/>
          <w:bCs/>
          <w:color w:val="ff0000"/>
          <w:sz w:val="28"/>
          <w:szCs w:val="28"/>
        </w:rPr>
      </w:r>
    </w:p>
    <w:p>
      <w:pPr>
        <w:jc w:val="both"/>
        <w:spacing w:after="0"/>
        <w:rPr>
          <w:rFonts w:ascii="Times New Roman" w:hAnsi="Times New Roman"/>
          <w:b/>
          <w:bCs/>
          <w:color w:val="ff0000"/>
          <w:sz w:val="28"/>
          <w:szCs w:val="28"/>
        </w:rPr>
      </w:pPr>
      <w:r>
        <w:rPr>
          <w:lang w:eastAsia="ru-RU"/>
        </w:rPr>
        <w:drawing>
          <wp:inline distT="0" distB="0" distL="0" distR="0">
            <wp:extent cx="5743575" cy="3477536"/>
            <wp:effectExtent l="4762" t="4762" r="4762" b="4762"/>
            <wp:docPr id="32" name=""/>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r>
        <w:rPr>
          <w:rFonts w:ascii="Times New Roman" w:hAnsi="Times New Roman"/>
          <w:b/>
          <w:bCs/>
          <w:color w:val="ff0000"/>
          <w:sz w:val="28"/>
          <w:szCs w:val="28"/>
        </w:rPr>
      </w:r>
      <w:r>
        <w:rPr>
          <w:rFonts w:ascii="Times New Roman" w:hAnsi="Times New Roman"/>
          <w:b/>
          <w:bCs/>
          <w:color w:val="ff0000"/>
          <w:sz w:val="28"/>
          <w:szCs w:val="28"/>
        </w:rPr>
      </w:r>
    </w:p>
    <w:p>
      <w:pPr>
        <w:jc w:val="both"/>
        <w:spacing w:after="0"/>
        <w:rPr>
          <w:rFonts w:ascii="Times New Roman" w:hAnsi="Times New Roman"/>
          <w:b/>
          <w:bCs/>
          <w:color w:val="ff0000"/>
          <w:sz w:val="28"/>
          <w:szCs w:val="28"/>
        </w:rPr>
      </w:pPr>
      <w:r>
        <w:rPr>
          <w:rFonts w:ascii="Times New Roman" w:hAnsi="Times New Roman"/>
          <w:b/>
          <w:bCs/>
          <w:color w:val="ff0000"/>
          <w:sz w:val="28"/>
          <w:szCs w:val="28"/>
        </w:rPr>
      </w:r>
      <w:r>
        <w:rPr>
          <w:rFonts w:ascii="Times New Roman" w:hAnsi="Times New Roman"/>
          <w:b/>
          <w:bCs/>
          <w:color w:val="ff0000"/>
          <w:sz w:val="28"/>
          <w:szCs w:val="28"/>
        </w:rPr>
      </w:r>
      <w:r>
        <w:rPr>
          <w:rFonts w:ascii="Times New Roman" w:hAnsi="Times New Roman"/>
          <w:b/>
          <w:bCs/>
          <w:color w:val="ff0000"/>
          <w:sz w:val="28"/>
          <w:szCs w:val="28"/>
        </w:rPr>
      </w:r>
    </w:p>
    <w:p>
      <w:pPr>
        <w:jc w:val="both"/>
        <w:spacing w:after="0"/>
        <w:rPr>
          <w:rFonts w:ascii="Times New Roman" w:hAnsi="Times New Roman"/>
          <w:b/>
          <w:bCs/>
          <w:color w:val="ff0000"/>
          <w:sz w:val="28"/>
          <w:szCs w:val="28"/>
        </w:rPr>
      </w:pPr>
      <w:r>
        <w:rPr>
          <w:rFonts w:ascii="Times New Roman" w:hAnsi="Times New Roman"/>
          <w:b/>
          <w:bCs/>
          <w:color w:val="ff0000"/>
          <w:sz w:val="28"/>
          <w:szCs w:val="28"/>
        </w:rPr>
      </w:r>
      <w:r>
        <w:rPr>
          <w:rFonts w:ascii="Times New Roman" w:hAnsi="Times New Roman"/>
          <w:b/>
          <w:bCs/>
          <w:color w:val="ff0000"/>
          <w:sz w:val="28"/>
          <w:szCs w:val="28"/>
        </w:rPr>
      </w:r>
      <w:r>
        <w:rPr>
          <w:rFonts w:ascii="Times New Roman" w:hAnsi="Times New Roman"/>
          <w:b/>
          <w:bCs/>
          <w:color w:val="ff0000"/>
          <w:sz w:val="28"/>
          <w:szCs w:val="28"/>
        </w:rPr>
      </w:r>
    </w:p>
    <w:p>
      <w:pPr>
        <w:jc w:val="both"/>
        <w:spacing w:after="0"/>
        <w:rPr>
          <w:rFonts w:ascii="Times New Roman" w:hAnsi="Times New Roman"/>
          <w:b/>
          <w:bCs/>
          <w:color w:val="ff0000"/>
          <w:sz w:val="28"/>
          <w:szCs w:val="28"/>
        </w:rPr>
      </w:pPr>
      <w:r>
        <w:rPr>
          <w:rFonts w:ascii="Times New Roman" w:hAnsi="Times New Roman"/>
          <w:b/>
          <w:bCs/>
          <w:color w:val="ff0000"/>
          <w:sz w:val="28"/>
          <w:szCs w:val="28"/>
        </w:rPr>
      </w:r>
      <w:r>
        <w:rPr>
          <w:rFonts w:ascii="Times New Roman" w:hAnsi="Times New Roman"/>
          <w:b/>
          <w:bCs/>
          <w:color w:val="ff0000"/>
          <w:sz w:val="28"/>
          <w:szCs w:val="28"/>
        </w:rPr>
      </w:r>
      <w:r>
        <w:rPr>
          <w:rFonts w:ascii="Times New Roman" w:hAnsi="Times New Roman"/>
          <w:b/>
          <w:bCs/>
          <w:color w:val="ff0000"/>
          <w:sz w:val="28"/>
          <w:szCs w:val="28"/>
        </w:rPr>
      </w:r>
    </w:p>
    <w:p>
      <w:pPr>
        <w:jc w:val="both"/>
        <w:spacing w:after="0"/>
        <w:rPr>
          <w:rFonts w:ascii="Times New Roman" w:hAnsi="Times New Roman"/>
          <w:b/>
          <w:color w:val="ff0000"/>
          <w:sz w:val="28"/>
          <w:szCs w:val="28"/>
        </w:rPr>
      </w:pPr>
      <w:r>
        <w:rPr>
          <w:lang w:eastAsia="ru-RU"/>
        </w:rPr>
        <w:drawing>
          <wp:inline distT="0" distB="0" distL="0" distR="0">
            <wp:extent cx="5743575" cy="3737716"/>
            <wp:effectExtent l="4762" t="4762" r="4762" b="4762"/>
            <wp:docPr id="33" name=""/>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r>
        <w:rPr>
          <w:rFonts w:ascii="Times New Roman" w:hAnsi="Times New Roman"/>
          <w:b/>
          <w:color w:val="ff0000"/>
          <w:sz w:val="28"/>
          <w:szCs w:val="28"/>
        </w:rPr>
      </w:r>
      <w:r>
        <w:rPr>
          <w:rFonts w:ascii="Times New Roman" w:hAnsi="Times New Roman"/>
          <w:b/>
          <w:color w:val="ff0000"/>
          <w:sz w:val="28"/>
          <w:szCs w:val="28"/>
        </w:rPr>
      </w:r>
    </w:p>
    <w:p>
      <w:pPr>
        <w:jc w:val="both"/>
        <w:spacing w:after="0"/>
        <w:rPr>
          <w:rFonts w:ascii="Times New Roman" w:hAnsi="Times New Roman"/>
          <w:b/>
          <w:color w:val="ff0000"/>
          <w:sz w:val="28"/>
          <w:szCs w:val="28"/>
        </w:rPr>
      </w:pPr>
      <w:r>
        <w:rPr>
          <w:rFonts w:ascii="Times New Roman" w:hAnsi="Times New Roman"/>
          <w:b/>
          <w:color w:val="ff0000"/>
          <w:sz w:val="28"/>
          <w:szCs w:val="28"/>
        </w:rPr>
      </w:r>
      <w:r>
        <w:rPr>
          <w:rFonts w:ascii="Times New Roman" w:hAnsi="Times New Roman"/>
          <w:b/>
          <w:color w:val="ff0000"/>
          <w:sz w:val="28"/>
          <w:szCs w:val="28"/>
        </w:rPr>
      </w:r>
      <w:r>
        <w:rPr>
          <w:rFonts w:ascii="Times New Roman" w:hAnsi="Times New Roman"/>
          <w:b/>
          <w:color w:val="ff0000"/>
          <w:sz w:val="28"/>
          <w:szCs w:val="28"/>
        </w:rPr>
      </w:r>
    </w:p>
    <w:p>
      <w:pPr>
        <w:jc w:val="both"/>
        <w:spacing w:after="0"/>
        <w:rPr>
          <w:rFonts w:ascii="Times New Roman" w:hAnsi="Times New Roman"/>
          <w:b/>
          <w:color w:val="ff0000"/>
          <w:sz w:val="28"/>
          <w:szCs w:val="28"/>
        </w:rPr>
      </w:pPr>
      <w:r>
        <w:rPr>
          <w:rFonts w:ascii="Times New Roman" w:hAnsi="Times New Roman"/>
          <w:b/>
          <w:color w:val="ff0000"/>
          <w:sz w:val="28"/>
          <w:szCs w:val="28"/>
        </w:rPr>
      </w:r>
      <w:r>
        <w:rPr>
          <w:rFonts w:ascii="Times New Roman" w:hAnsi="Times New Roman"/>
          <w:b/>
          <w:color w:val="ff0000"/>
          <w:sz w:val="28"/>
          <w:szCs w:val="28"/>
        </w:rPr>
      </w:r>
      <w:r>
        <w:rPr>
          <w:rFonts w:ascii="Times New Roman" w:hAnsi="Times New Roman"/>
          <w:b/>
          <w:color w:val="ff0000"/>
          <w:sz w:val="28"/>
          <w:szCs w:val="28"/>
        </w:rPr>
      </w:r>
    </w:p>
    <w:p>
      <w:pPr>
        <w:jc w:val="both"/>
        <w:spacing w:after="0"/>
        <w:rPr>
          <w:rFonts w:ascii="Times New Roman" w:hAnsi="Times New Roman"/>
          <w:b/>
          <w:color w:val="ff0000"/>
          <w:sz w:val="28"/>
          <w:szCs w:val="28"/>
        </w:rPr>
      </w:pPr>
      <w:r>
        <w:rPr>
          <w:rFonts w:ascii="Times New Roman" w:hAnsi="Times New Roman"/>
          <w:b/>
          <w:color w:val="ff0000"/>
          <w:sz w:val="28"/>
          <w:szCs w:val="28"/>
        </w:rPr>
      </w:r>
      <w:r>
        <w:rPr>
          <w:rFonts w:ascii="Times New Roman" w:hAnsi="Times New Roman"/>
          <w:b/>
          <w:color w:val="ff0000"/>
          <w:sz w:val="28"/>
          <w:szCs w:val="28"/>
        </w:rPr>
      </w:r>
      <w:r>
        <w:rPr>
          <w:rFonts w:ascii="Times New Roman" w:hAnsi="Times New Roman"/>
          <w:b/>
          <w:color w:val="ff0000"/>
          <w:sz w:val="28"/>
          <w:szCs w:val="28"/>
        </w:rPr>
      </w:r>
    </w:p>
    <w:p>
      <w:pPr>
        <w:jc w:val="both"/>
        <w:spacing w:after="0"/>
        <w:rPr>
          <w:rFonts w:ascii="Times New Roman" w:hAnsi="Times New Roman"/>
          <w:b/>
          <w:bCs/>
          <w:color w:val="ff0000"/>
          <w:sz w:val="28"/>
          <w:szCs w:val="28"/>
        </w:rPr>
      </w:pPr>
      <w:r>
        <w:rPr>
          <w:rFonts w:ascii="Times New Roman" w:hAnsi="Times New Roman"/>
          <w:b/>
          <w:bCs/>
          <w:color w:val="ff0000"/>
          <w:sz w:val="28"/>
          <w:szCs w:val="28"/>
        </w:rPr>
      </w:r>
      <w:r>
        <w:rPr>
          <w:rFonts w:ascii="Times New Roman" w:hAnsi="Times New Roman"/>
          <w:b/>
          <w:bCs/>
          <w:color w:val="ff0000"/>
          <w:sz w:val="28"/>
          <w:szCs w:val="28"/>
        </w:rPr>
      </w:r>
      <w:r>
        <w:rPr>
          <w:rFonts w:ascii="Times New Roman" w:hAnsi="Times New Roman"/>
          <w:b/>
          <w:bCs/>
          <w:color w:val="ff0000"/>
          <w:sz w:val="28"/>
          <w:szCs w:val="28"/>
        </w:rPr>
      </w:r>
    </w:p>
    <w:p>
      <w:pPr>
        <w:jc w:val="both"/>
        <w:spacing w:after="0"/>
        <w:rPr>
          <w:rFonts w:ascii="Times New Roman" w:hAnsi="Times New Roman"/>
          <w:b/>
          <w:color w:val="ff0000"/>
          <w:sz w:val="28"/>
          <w:szCs w:val="28"/>
        </w:rPr>
      </w:pPr>
      <w:r>
        <w:rPr>
          <w:rFonts w:ascii="Times New Roman" w:hAnsi="Times New Roman"/>
          <w:b/>
          <w:color w:val="ff0000"/>
          <w:sz w:val="28"/>
          <w:szCs w:val="28"/>
        </w:rPr>
      </w:r>
      <w:r>
        <w:rPr>
          <w:rFonts w:ascii="Times New Roman" w:hAnsi="Times New Roman"/>
          <w:b/>
          <w:color w:val="ff0000"/>
          <w:sz w:val="28"/>
          <w:szCs w:val="28"/>
        </w:rPr>
      </w:r>
      <w:r>
        <w:rPr>
          <w:rFonts w:ascii="Times New Roman" w:hAnsi="Times New Roman"/>
          <w:b/>
          <w:color w:val="ff0000"/>
          <w:sz w:val="28"/>
          <w:szCs w:val="28"/>
        </w:rPr>
      </w:r>
    </w:p>
    <w:p>
      <w:pPr>
        <w:jc w:val="center"/>
        <w:spacing w:after="0" w:line="240" w:lineRule="auto"/>
        <w:rPr>
          <w:rFonts w:ascii="Times New Roman" w:hAnsi="Times New Roman"/>
          <w:b/>
          <w:sz w:val="28"/>
          <w:szCs w:val="28"/>
        </w:rPr>
      </w:pPr>
      <w:r>
        <w:rPr>
          <w:rFonts w:ascii="Times New Roman" w:hAnsi="Times New Roman"/>
          <w:b/>
          <w:sz w:val="28"/>
          <w:szCs w:val="28"/>
        </w:rPr>
        <w:t xml:space="preserve">Перечень сокращений, использованных в докладе</w:t>
      </w:r>
      <w:r>
        <w:rPr>
          <w:rFonts w:ascii="Times New Roman" w:hAnsi="Times New Roman"/>
          <w:b/>
          <w:sz w:val="28"/>
          <w:szCs w:val="28"/>
        </w:rPr>
      </w:r>
      <w:r>
        <w:rPr>
          <w:rFonts w:ascii="Times New Roman" w:hAnsi="Times New Roman"/>
          <w:b/>
          <w:sz w:val="28"/>
          <w:szCs w:val="28"/>
        </w:rPr>
      </w:r>
    </w:p>
    <w:p>
      <w:pPr>
        <w:ind w:firstLine="567"/>
        <w:spacing w:after="0" w:line="240" w:lineRule="auto"/>
        <w:rPr>
          <w:rFonts w:ascii="Times New Roman" w:hAnsi="Times New Roman"/>
          <w:b/>
          <w:sz w:val="28"/>
          <w:szCs w:val="28"/>
        </w:rPr>
      </w:pPr>
      <w:r>
        <w:rPr>
          <w:rFonts w:ascii="Times New Roman" w:hAnsi="Times New Roman"/>
          <w:b/>
          <w:sz w:val="28"/>
          <w:szCs w:val="28"/>
        </w:rPr>
      </w:r>
      <w:r>
        <w:rPr>
          <w:rFonts w:ascii="Times New Roman" w:hAnsi="Times New Roman"/>
          <w:b/>
          <w:sz w:val="28"/>
          <w:szCs w:val="28"/>
        </w:rPr>
      </w:r>
      <w:r>
        <w:rPr>
          <w:rFonts w:ascii="Times New Roman" w:hAnsi="Times New Roman"/>
          <w:b/>
          <w:sz w:val="28"/>
          <w:szCs w:val="28"/>
        </w:rPr>
      </w:r>
    </w:p>
    <w:p>
      <w:pPr>
        <w:jc w:val="both"/>
        <w:spacing w:after="0" w:line="240" w:lineRule="auto"/>
        <w:rPr>
          <w:rFonts w:ascii="Times New Roman" w:hAnsi="Times New Roman"/>
          <w:sz w:val="28"/>
          <w:szCs w:val="28"/>
        </w:rPr>
      </w:pPr>
      <w:r>
        <w:rPr>
          <w:rFonts w:ascii="Times New Roman" w:hAnsi="Times New Roman"/>
          <w:b/>
          <w:sz w:val="28"/>
          <w:szCs w:val="28"/>
        </w:rPr>
        <w:t xml:space="preserve">АППГ   – </w:t>
      </w:r>
      <w:r>
        <w:rPr>
          <w:rFonts w:ascii="Times New Roman" w:hAnsi="Times New Roman"/>
          <w:sz w:val="28"/>
          <w:szCs w:val="28"/>
        </w:rPr>
        <w:t xml:space="preserve">аналогичный период прошлого года</w:t>
      </w:r>
      <w:r>
        <w:rPr>
          <w:rFonts w:ascii="Times New Roman" w:hAnsi="Times New Roman"/>
          <w:sz w:val="28"/>
          <w:szCs w:val="28"/>
        </w:rPr>
      </w:r>
      <w:r>
        <w:rPr>
          <w:rFonts w:ascii="Times New Roman" w:hAnsi="Times New Roman"/>
          <w:sz w:val="28"/>
          <w:szCs w:val="28"/>
        </w:rPr>
      </w:r>
    </w:p>
    <w:p>
      <w:pPr>
        <w:jc w:val="both"/>
        <w:spacing w:after="0" w:line="240" w:lineRule="auto"/>
        <w:rPr>
          <w:rFonts w:ascii="Times New Roman" w:hAnsi="Times New Roman"/>
          <w:sz w:val="28"/>
          <w:szCs w:val="28"/>
        </w:rPr>
      </w:pPr>
      <w:r>
        <w:rPr>
          <w:rFonts w:ascii="Times New Roman" w:hAnsi="Times New Roman"/>
          <w:b/>
          <w:sz w:val="28"/>
          <w:szCs w:val="28"/>
        </w:rPr>
        <w:t xml:space="preserve">АНО</w:t>
      </w:r>
      <w:r>
        <w:rPr>
          <w:rFonts w:ascii="Times New Roman" w:hAnsi="Times New Roman"/>
          <w:sz w:val="28"/>
          <w:szCs w:val="28"/>
        </w:rPr>
        <w:t xml:space="preserve">     – автономная некоммерческая организация</w:t>
      </w:r>
      <w:r>
        <w:rPr>
          <w:rFonts w:ascii="Times New Roman" w:hAnsi="Times New Roman"/>
          <w:sz w:val="28"/>
          <w:szCs w:val="28"/>
        </w:rPr>
      </w:r>
      <w:r>
        <w:rPr>
          <w:rFonts w:ascii="Times New Roman" w:hAnsi="Times New Roman"/>
          <w:sz w:val="28"/>
          <w:szCs w:val="28"/>
        </w:rPr>
      </w:r>
    </w:p>
    <w:p>
      <w:pPr>
        <w:jc w:val="both"/>
        <w:spacing w:after="0" w:line="240" w:lineRule="auto"/>
        <w:rPr>
          <w:rFonts w:ascii="Times New Roman" w:hAnsi="Times New Roman"/>
          <w:sz w:val="28"/>
          <w:szCs w:val="28"/>
        </w:rPr>
      </w:pPr>
      <w:r>
        <w:rPr>
          <w:rFonts w:ascii="Times New Roman" w:hAnsi="Times New Roman"/>
          <w:b/>
          <w:sz w:val="28"/>
          <w:szCs w:val="28"/>
        </w:rPr>
        <w:t xml:space="preserve">Аппарат Уполномоченного</w:t>
      </w:r>
      <w:r>
        <w:rPr>
          <w:rFonts w:ascii="Times New Roman" w:hAnsi="Times New Roman"/>
          <w:sz w:val="28"/>
          <w:szCs w:val="28"/>
        </w:rPr>
        <w:t xml:space="preserve"> – отдел по организации деятельности Уполномоченного по правам человека в Ивановской области</w:t>
      </w:r>
      <w:r>
        <w:rPr>
          <w:rFonts w:ascii="Times New Roman" w:hAnsi="Times New Roman"/>
          <w:sz w:val="28"/>
          <w:szCs w:val="28"/>
        </w:rPr>
      </w:r>
      <w:r>
        <w:rPr>
          <w:rFonts w:ascii="Times New Roman" w:hAnsi="Times New Roman"/>
          <w:sz w:val="28"/>
          <w:szCs w:val="28"/>
        </w:rPr>
      </w:r>
    </w:p>
    <w:p>
      <w:pPr>
        <w:jc w:val="both"/>
        <w:spacing w:after="0" w:line="240" w:lineRule="auto"/>
        <w:rPr>
          <w:rFonts w:ascii="Times New Roman" w:hAnsi="Times New Roman"/>
          <w:sz w:val="28"/>
          <w:szCs w:val="28"/>
        </w:rPr>
      </w:pPr>
      <w:r>
        <w:rPr>
          <w:rFonts w:ascii="Times New Roman" w:hAnsi="Times New Roman"/>
          <w:b/>
          <w:sz w:val="28"/>
          <w:szCs w:val="28"/>
        </w:rPr>
        <w:t xml:space="preserve">ВИЧ</w:t>
      </w:r>
      <w:r>
        <w:rPr>
          <w:rFonts w:ascii="Times New Roman" w:hAnsi="Times New Roman"/>
          <w:sz w:val="28"/>
          <w:szCs w:val="28"/>
        </w:rPr>
        <w:t xml:space="preserve">      – вирус иммунодефицита человека</w:t>
      </w:r>
      <w:r>
        <w:rPr>
          <w:rFonts w:ascii="Times New Roman" w:hAnsi="Times New Roman"/>
          <w:sz w:val="28"/>
          <w:szCs w:val="28"/>
        </w:rPr>
      </w:r>
      <w:r>
        <w:rPr>
          <w:rFonts w:ascii="Times New Roman" w:hAnsi="Times New Roman"/>
          <w:sz w:val="28"/>
          <w:szCs w:val="28"/>
        </w:rPr>
      </w:r>
    </w:p>
    <w:p>
      <w:pPr>
        <w:jc w:val="both"/>
        <w:spacing w:after="0" w:line="240" w:lineRule="auto"/>
        <w:rPr>
          <w:rFonts w:ascii="Times New Roman" w:hAnsi="Times New Roman"/>
          <w:sz w:val="28"/>
          <w:szCs w:val="28"/>
        </w:rPr>
      </w:pPr>
      <w:r>
        <w:rPr>
          <w:rFonts w:ascii="Times New Roman" w:hAnsi="Times New Roman"/>
          <w:b/>
          <w:sz w:val="28"/>
          <w:szCs w:val="28"/>
        </w:rPr>
        <w:t xml:space="preserve">ГК</w:t>
      </w:r>
      <w:r>
        <w:rPr>
          <w:rFonts w:ascii="Times New Roman" w:hAnsi="Times New Roman"/>
          <w:sz w:val="28"/>
          <w:szCs w:val="28"/>
        </w:rPr>
        <w:t xml:space="preserve"> </w:t>
      </w:r>
      <w:r>
        <w:rPr>
          <w:rFonts w:ascii="Times New Roman" w:hAnsi="Times New Roman"/>
          <w:b/>
          <w:sz w:val="28"/>
          <w:szCs w:val="28"/>
        </w:rPr>
        <w:t xml:space="preserve">РФ</w:t>
      </w:r>
      <w:r>
        <w:rPr>
          <w:rFonts w:ascii="Times New Roman" w:hAnsi="Times New Roman"/>
          <w:sz w:val="28"/>
          <w:szCs w:val="28"/>
        </w:rPr>
        <w:t xml:space="preserve">   – Гражданский кодекс Российской Федерации</w:t>
      </w:r>
      <w:r>
        <w:rPr>
          <w:rFonts w:ascii="Times New Roman" w:hAnsi="Times New Roman"/>
          <w:sz w:val="28"/>
          <w:szCs w:val="28"/>
        </w:rPr>
      </w:r>
      <w:r>
        <w:rPr>
          <w:rFonts w:ascii="Times New Roman" w:hAnsi="Times New Roman"/>
          <w:sz w:val="28"/>
          <w:szCs w:val="28"/>
        </w:rPr>
      </w:r>
    </w:p>
    <w:p>
      <w:pPr>
        <w:jc w:val="both"/>
        <w:spacing w:after="0" w:line="240" w:lineRule="auto"/>
        <w:rPr>
          <w:rFonts w:ascii="Times New Roman" w:hAnsi="Times New Roman"/>
          <w:sz w:val="28"/>
          <w:szCs w:val="28"/>
        </w:rPr>
      </w:pPr>
      <w:r>
        <w:rPr>
          <w:rFonts w:ascii="Times New Roman" w:hAnsi="Times New Roman"/>
          <w:b/>
          <w:sz w:val="28"/>
          <w:szCs w:val="28"/>
        </w:rPr>
        <w:t xml:space="preserve">ГБПОУ</w:t>
      </w:r>
      <w:r>
        <w:rPr>
          <w:rFonts w:ascii="Times New Roman" w:hAnsi="Times New Roman"/>
          <w:sz w:val="28"/>
          <w:szCs w:val="28"/>
        </w:rPr>
        <w:t xml:space="preserve"> – государственное бюджетное профессиональное образовательное учреждение</w:t>
      </w:r>
      <w:r>
        <w:rPr>
          <w:rFonts w:ascii="Times New Roman" w:hAnsi="Times New Roman"/>
          <w:sz w:val="28"/>
          <w:szCs w:val="28"/>
        </w:rPr>
      </w:r>
      <w:r>
        <w:rPr>
          <w:rFonts w:ascii="Times New Roman" w:hAnsi="Times New Roman"/>
          <w:sz w:val="28"/>
          <w:szCs w:val="28"/>
        </w:rPr>
      </w:r>
    </w:p>
    <w:p>
      <w:pPr>
        <w:jc w:val="both"/>
        <w:spacing w:after="0" w:line="240" w:lineRule="auto"/>
        <w:rPr>
          <w:rFonts w:ascii="Times New Roman" w:hAnsi="Times New Roman"/>
          <w:sz w:val="28"/>
          <w:szCs w:val="28"/>
        </w:rPr>
      </w:pPr>
      <w:r>
        <w:rPr>
          <w:rFonts w:ascii="Times New Roman" w:hAnsi="Times New Roman"/>
          <w:b/>
          <w:sz w:val="28"/>
          <w:szCs w:val="28"/>
        </w:rPr>
        <w:t xml:space="preserve">ЕДВ</w:t>
      </w:r>
      <w:r>
        <w:rPr>
          <w:rFonts w:ascii="Times New Roman" w:hAnsi="Times New Roman"/>
          <w:sz w:val="28"/>
          <w:szCs w:val="28"/>
        </w:rPr>
        <w:t xml:space="preserve">      – единовременная денежная выплата</w:t>
      </w:r>
      <w:r>
        <w:rPr>
          <w:rFonts w:ascii="Times New Roman" w:hAnsi="Times New Roman"/>
          <w:sz w:val="28"/>
          <w:szCs w:val="28"/>
        </w:rPr>
      </w:r>
      <w:r>
        <w:rPr>
          <w:rFonts w:ascii="Times New Roman" w:hAnsi="Times New Roman"/>
          <w:sz w:val="28"/>
          <w:szCs w:val="28"/>
        </w:rPr>
      </w:r>
    </w:p>
    <w:p>
      <w:pPr>
        <w:jc w:val="both"/>
        <w:spacing w:after="0" w:line="240" w:lineRule="auto"/>
        <w:rPr>
          <w:rFonts w:ascii="Times New Roman" w:hAnsi="Times New Roman"/>
          <w:sz w:val="28"/>
          <w:szCs w:val="28"/>
        </w:rPr>
      </w:pPr>
      <w:r>
        <w:rPr>
          <w:rFonts w:ascii="Times New Roman" w:hAnsi="Times New Roman"/>
          <w:b/>
          <w:sz w:val="28"/>
          <w:szCs w:val="28"/>
        </w:rPr>
        <w:t xml:space="preserve">ЖКХ    </w:t>
      </w:r>
      <w:r>
        <w:rPr>
          <w:rFonts w:ascii="Times New Roman" w:hAnsi="Times New Roman"/>
          <w:sz w:val="28"/>
          <w:szCs w:val="28"/>
        </w:rPr>
        <w:t xml:space="preserve">– жилищно-коммунальное хозяйство</w:t>
      </w:r>
      <w:r>
        <w:rPr>
          <w:rFonts w:ascii="Times New Roman" w:hAnsi="Times New Roman"/>
          <w:sz w:val="28"/>
          <w:szCs w:val="28"/>
        </w:rPr>
      </w:r>
      <w:r>
        <w:rPr>
          <w:rFonts w:ascii="Times New Roman" w:hAnsi="Times New Roman"/>
          <w:sz w:val="28"/>
          <w:szCs w:val="28"/>
        </w:rPr>
      </w:r>
    </w:p>
    <w:p>
      <w:pPr>
        <w:jc w:val="both"/>
        <w:spacing w:after="0" w:line="240" w:lineRule="auto"/>
        <w:rPr>
          <w:rFonts w:ascii="Times New Roman" w:hAnsi="Times New Roman"/>
          <w:sz w:val="28"/>
          <w:szCs w:val="28"/>
        </w:rPr>
      </w:pPr>
      <w:r>
        <w:rPr>
          <w:rFonts w:ascii="Times New Roman" w:hAnsi="Times New Roman"/>
          <w:b/>
          <w:sz w:val="28"/>
          <w:szCs w:val="28"/>
        </w:rPr>
        <w:t xml:space="preserve">ЖРУ    </w:t>
      </w:r>
      <w:r>
        <w:rPr>
          <w:rFonts w:ascii="Times New Roman" w:hAnsi="Times New Roman"/>
          <w:sz w:val="28"/>
          <w:szCs w:val="28"/>
        </w:rPr>
        <w:t xml:space="preserve"> – жилищно-ремонтное управление</w:t>
      </w:r>
      <w:r>
        <w:rPr>
          <w:rFonts w:ascii="Times New Roman" w:hAnsi="Times New Roman"/>
          <w:sz w:val="28"/>
          <w:szCs w:val="28"/>
        </w:rPr>
      </w:r>
      <w:r>
        <w:rPr>
          <w:rFonts w:ascii="Times New Roman" w:hAnsi="Times New Roman"/>
          <w:sz w:val="28"/>
          <w:szCs w:val="28"/>
        </w:rPr>
      </w:r>
    </w:p>
    <w:p>
      <w:pPr>
        <w:jc w:val="both"/>
        <w:spacing w:after="0" w:line="240" w:lineRule="auto"/>
        <w:rPr>
          <w:rFonts w:ascii="Times New Roman" w:hAnsi="Times New Roman"/>
          <w:sz w:val="28"/>
          <w:szCs w:val="28"/>
        </w:rPr>
      </w:pPr>
      <w:r>
        <w:rPr>
          <w:rFonts w:ascii="Times New Roman" w:hAnsi="Times New Roman"/>
          <w:b/>
          <w:sz w:val="28"/>
          <w:szCs w:val="28"/>
        </w:rPr>
        <w:t xml:space="preserve">ЗАО</w:t>
      </w:r>
      <w:r>
        <w:rPr>
          <w:rFonts w:ascii="Times New Roman" w:hAnsi="Times New Roman"/>
          <w:sz w:val="28"/>
          <w:szCs w:val="28"/>
        </w:rPr>
        <w:t xml:space="preserve">      – закрытое акционерное общество</w:t>
      </w:r>
      <w:r>
        <w:rPr>
          <w:rFonts w:ascii="Times New Roman" w:hAnsi="Times New Roman"/>
          <w:sz w:val="28"/>
          <w:szCs w:val="28"/>
        </w:rPr>
      </w:r>
      <w:r>
        <w:rPr>
          <w:rFonts w:ascii="Times New Roman" w:hAnsi="Times New Roman"/>
          <w:sz w:val="28"/>
          <w:szCs w:val="28"/>
        </w:rPr>
      </w:r>
    </w:p>
    <w:p>
      <w:pPr>
        <w:jc w:val="both"/>
        <w:spacing w:after="0" w:line="240" w:lineRule="auto"/>
        <w:rPr>
          <w:rFonts w:ascii="Times New Roman" w:hAnsi="Times New Roman"/>
          <w:sz w:val="28"/>
          <w:szCs w:val="28"/>
        </w:rPr>
      </w:pPr>
      <w:r>
        <w:rPr>
          <w:rFonts w:ascii="Times New Roman" w:hAnsi="Times New Roman"/>
          <w:b/>
          <w:sz w:val="28"/>
          <w:szCs w:val="28"/>
        </w:rPr>
        <w:t xml:space="preserve">ИК       </w:t>
      </w:r>
      <w:r>
        <w:rPr>
          <w:rFonts w:ascii="Times New Roman" w:hAnsi="Times New Roman"/>
          <w:sz w:val="28"/>
          <w:szCs w:val="28"/>
        </w:rPr>
        <w:t xml:space="preserve"> – исправительная колония</w:t>
      </w:r>
      <w:r>
        <w:rPr>
          <w:rFonts w:ascii="Times New Roman" w:hAnsi="Times New Roman"/>
          <w:sz w:val="28"/>
          <w:szCs w:val="28"/>
        </w:rPr>
      </w:r>
      <w:r>
        <w:rPr>
          <w:rFonts w:ascii="Times New Roman" w:hAnsi="Times New Roman"/>
          <w:sz w:val="28"/>
          <w:szCs w:val="28"/>
        </w:rPr>
      </w:r>
    </w:p>
    <w:p>
      <w:pPr>
        <w:jc w:val="both"/>
        <w:spacing w:after="0" w:line="240" w:lineRule="auto"/>
        <w:rPr>
          <w:rFonts w:ascii="Times New Roman" w:hAnsi="Times New Roman"/>
          <w:sz w:val="28"/>
          <w:szCs w:val="28"/>
        </w:rPr>
      </w:pPr>
      <w:r>
        <w:rPr>
          <w:rFonts w:ascii="Times New Roman" w:hAnsi="Times New Roman"/>
          <w:b/>
          <w:sz w:val="28"/>
          <w:szCs w:val="28"/>
        </w:rPr>
        <w:t xml:space="preserve">ИВС</w:t>
      </w:r>
      <w:r>
        <w:rPr>
          <w:rFonts w:ascii="Times New Roman" w:hAnsi="Times New Roman"/>
          <w:sz w:val="28"/>
          <w:szCs w:val="28"/>
        </w:rPr>
        <w:t xml:space="preserve">     – изолятор временного содержания</w:t>
      </w:r>
      <w:r>
        <w:rPr>
          <w:rFonts w:ascii="Times New Roman" w:hAnsi="Times New Roman"/>
          <w:sz w:val="28"/>
          <w:szCs w:val="28"/>
        </w:rPr>
      </w:r>
      <w:r>
        <w:rPr>
          <w:rFonts w:ascii="Times New Roman" w:hAnsi="Times New Roman"/>
          <w:sz w:val="28"/>
          <w:szCs w:val="28"/>
        </w:rPr>
      </w:r>
    </w:p>
    <w:p>
      <w:pPr>
        <w:jc w:val="both"/>
        <w:spacing w:after="0" w:line="240" w:lineRule="auto"/>
        <w:rPr>
          <w:rFonts w:ascii="Times New Roman" w:hAnsi="Times New Roman"/>
          <w:sz w:val="28"/>
          <w:szCs w:val="28"/>
        </w:rPr>
      </w:pPr>
      <w:r>
        <w:rPr>
          <w:rFonts w:ascii="Times New Roman" w:hAnsi="Times New Roman"/>
          <w:b/>
          <w:sz w:val="28"/>
          <w:szCs w:val="28"/>
        </w:rPr>
        <w:t xml:space="preserve">ИУ</w:t>
      </w:r>
      <w:r>
        <w:rPr>
          <w:rFonts w:ascii="Times New Roman" w:hAnsi="Times New Roman"/>
          <w:sz w:val="28"/>
          <w:szCs w:val="28"/>
        </w:rPr>
        <w:t xml:space="preserve">        – исправительное учреждение</w:t>
      </w:r>
      <w:r>
        <w:rPr>
          <w:rFonts w:ascii="Times New Roman" w:hAnsi="Times New Roman"/>
          <w:sz w:val="28"/>
          <w:szCs w:val="28"/>
        </w:rPr>
      </w:r>
      <w:r>
        <w:rPr>
          <w:rFonts w:ascii="Times New Roman" w:hAnsi="Times New Roman"/>
          <w:sz w:val="28"/>
          <w:szCs w:val="28"/>
        </w:rPr>
      </w:r>
    </w:p>
    <w:p>
      <w:pPr>
        <w:jc w:val="both"/>
        <w:spacing w:after="0" w:line="240" w:lineRule="auto"/>
        <w:rPr>
          <w:rFonts w:ascii="Times New Roman" w:hAnsi="Times New Roman"/>
          <w:sz w:val="28"/>
          <w:szCs w:val="28"/>
        </w:rPr>
      </w:pPr>
      <w:r>
        <w:rPr>
          <w:rFonts w:ascii="Times New Roman" w:hAnsi="Times New Roman"/>
          <w:b/>
          <w:sz w:val="28"/>
          <w:szCs w:val="28"/>
        </w:rPr>
        <w:t xml:space="preserve">ИвГУ</w:t>
      </w:r>
      <w:r>
        <w:rPr>
          <w:rFonts w:ascii="Times New Roman" w:hAnsi="Times New Roman"/>
          <w:b/>
          <w:sz w:val="28"/>
          <w:szCs w:val="28"/>
        </w:rPr>
        <w:t xml:space="preserve">   </w:t>
      </w:r>
      <w:r>
        <w:rPr>
          <w:rFonts w:ascii="Times New Roman" w:hAnsi="Times New Roman"/>
          <w:sz w:val="28"/>
          <w:szCs w:val="28"/>
        </w:rPr>
        <w:t xml:space="preserve"> – Ивановский государственный университет</w:t>
      </w:r>
      <w:r>
        <w:rPr>
          <w:rFonts w:ascii="Times New Roman" w:hAnsi="Times New Roman"/>
          <w:sz w:val="28"/>
          <w:szCs w:val="28"/>
        </w:rPr>
      </w:r>
      <w:r>
        <w:rPr>
          <w:rFonts w:ascii="Times New Roman" w:hAnsi="Times New Roman"/>
          <w:sz w:val="28"/>
          <w:szCs w:val="28"/>
        </w:rPr>
      </w:r>
    </w:p>
    <w:p>
      <w:pPr>
        <w:jc w:val="both"/>
        <w:spacing w:after="0" w:line="240" w:lineRule="auto"/>
        <w:rPr>
          <w:rFonts w:ascii="Times New Roman" w:hAnsi="Times New Roman"/>
          <w:sz w:val="28"/>
          <w:szCs w:val="28"/>
        </w:rPr>
      </w:pPr>
      <w:r>
        <w:rPr>
          <w:rFonts w:ascii="Times New Roman" w:hAnsi="Times New Roman"/>
          <w:b/>
          <w:sz w:val="28"/>
          <w:szCs w:val="28"/>
        </w:rPr>
        <w:t xml:space="preserve">ИПК     </w:t>
      </w:r>
      <w:r>
        <w:rPr>
          <w:rFonts w:ascii="Times New Roman" w:hAnsi="Times New Roman"/>
          <w:sz w:val="28"/>
          <w:szCs w:val="28"/>
        </w:rPr>
        <w:t xml:space="preserve"> – индекс пенсионного коэффициента</w:t>
      </w:r>
      <w:r>
        <w:rPr>
          <w:rFonts w:ascii="Times New Roman" w:hAnsi="Times New Roman"/>
          <w:sz w:val="28"/>
          <w:szCs w:val="28"/>
        </w:rPr>
      </w:r>
      <w:r>
        <w:rPr>
          <w:rFonts w:ascii="Times New Roman" w:hAnsi="Times New Roman"/>
          <w:sz w:val="28"/>
          <w:szCs w:val="28"/>
        </w:rPr>
      </w:r>
    </w:p>
    <w:p>
      <w:pPr>
        <w:jc w:val="both"/>
        <w:spacing w:after="0" w:line="240" w:lineRule="auto"/>
        <w:rPr>
          <w:rFonts w:ascii="Times New Roman" w:hAnsi="Times New Roman"/>
          <w:sz w:val="28"/>
          <w:szCs w:val="28"/>
        </w:rPr>
      </w:pPr>
      <w:r>
        <w:rPr>
          <w:rFonts w:ascii="Times New Roman" w:hAnsi="Times New Roman"/>
          <w:b/>
          <w:sz w:val="28"/>
          <w:szCs w:val="28"/>
        </w:rPr>
        <w:t xml:space="preserve">КП        </w:t>
      </w:r>
      <w:r>
        <w:rPr>
          <w:rFonts w:ascii="Times New Roman" w:hAnsi="Times New Roman"/>
          <w:sz w:val="28"/>
          <w:szCs w:val="28"/>
        </w:rPr>
        <w:t xml:space="preserve"> – колония-поселение</w:t>
      </w:r>
      <w:r>
        <w:rPr>
          <w:rFonts w:ascii="Times New Roman" w:hAnsi="Times New Roman"/>
          <w:sz w:val="28"/>
          <w:szCs w:val="28"/>
        </w:rPr>
      </w:r>
      <w:r>
        <w:rPr>
          <w:rFonts w:ascii="Times New Roman" w:hAnsi="Times New Roman"/>
          <w:sz w:val="28"/>
          <w:szCs w:val="28"/>
        </w:rPr>
      </w:r>
    </w:p>
    <w:p>
      <w:pPr>
        <w:jc w:val="both"/>
        <w:spacing w:after="0" w:line="240" w:lineRule="auto"/>
        <w:rPr>
          <w:rFonts w:ascii="Times New Roman" w:hAnsi="Times New Roman"/>
          <w:sz w:val="28"/>
          <w:szCs w:val="28"/>
        </w:rPr>
      </w:pPr>
      <w:r>
        <w:rPr>
          <w:rFonts w:ascii="Times New Roman" w:hAnsi="Times New Roman"/>
          <w:b/>
          <w:sz w:val="28"/>
          <w:szCs w:val="28"/>
        </w:rPr>
        <w:t xml:space="preserve">КоАП</w:t>
      </w:r>
      <w:r>
        <w:rPr>
          <w:rFonts w:ascii="Times New Roman" w:hAnsi="Times New Roman"/>
          <w:b/>
          <w:sz w:val="28"/>
          <w:szCs w:val="28"/>
        </w:rPr>
        <w:t xml:space="preserve"> РФ</w:t>
      </w:r>
      <w:r>
        <w:rPr>
          <w:rFonts w:ascii="Times New Roman" w:hAnsi="Times New Roman"/>
          <w:sz w:val="28"/>
          <w:szCs w:val="28"/>
        </w:rPr>
        <w:t xml:space="preserve"> – Кодекс об административных правонарушениях Российской Федерации</w:t>
      </w:r>
      <w:r>
        <w:rPr>
          <w:rFonts w:ascii="Times New Roman" w:hAnsi="Times New Roman"/>
          <w:sz w:val="28"/>
          <w:szCs w:val="28"/>
        </w:rPr>
      </w:r>
      <w:r>
        <w:rPr>
          <w:rFonts w:ascii="Times New Roman" w:hAnsi="Times New Roman"/>
          <w:sz w:val="28"/>
          <w:szCs w:val="28"/>
        </w:rPr>
      </w:r>
    </w:p>
    <w:p>
      <w:pPr>
        <w:jc w:val="both"/>
        <w:spacing w:after="0" w:line="240" w:lineRule="auto"/>
        <w:rPr>
          <w:rFonts w:ascii="Times New Roman" w:hAnsi="Times New Roman"/>
          <w:sz w:val="28"/>
          <w:szCs w:val="28"/>
        </w:rPr>
      </w:pPr>
      <w:r>
        <w:rPr>
          <w:rFonts w:ascii="Times New Roman" w:hAnsi="Times New Roman"/>
          <w:b/>
          <w:sz w:val="28"/>
          <w:szCs w:val="28"/>
        </w:rPr>
        <w:t xml:space="preserve">ЛИУ</w:t>
      </w:r>
      <w:r>
        <w:rPr>
          <w:rFonts w:ascii="Times New Roman" w:hAnsi="Times New Roman"/>
          <w:sz w:val="28"/>
          <w:szCs w:val="28"/>
        </w:rPr>
        <w:t xml:space="preserve">      – лечебно-исправительное учреждение </w:t>
      </w:r>
      <w:r>
        <w:rPr>
          <w:rFonts w:ascii="Times New Roman" w:hAnsi="Times New Roman"/>
          <w:sz w:val="28"/>
          <w:szCs w:val="28"/>
        </w:rPr>
      </w:r>
      <w:r>
        <w:rPr>
          <w:rFonts w:ascii="Times New Roman" w:hAnsi="Times New Roman"/>
          <w:sz w:val="28"/>
          <w:szCs w:val="28"/>
        </w:rPr>
      </w:r>
    </w:p>
    <w:p>
      <w:pPr>
        <w:jc w:val="both"/>
        <w:spacing w:after="0" w:line="240" w:lineRule="auto"/>
        <w:rPr>
          <w:rFonts w:ascii="Times New Roman" w:hAnsi="Times New Roman"/>
          <w:sz w:val="28"/>
          <w:szCs w:val="28"/>
        </w:rPr>
      </w:pPr>
      <w:r>
        <w:rPr>
          <w:rFonts w:ascii="Times New Roman" w:hAnsi="Times New Roman"/>
          <w:b/>
          <w:sz w:val="28"/>
          <w:szCs w:val="28"/>
        </w:rPr>
        <w:t xml:space="preserve">МВД     </w:t>
      </w:r>
      <w:r>
        <w:rPr>
          <w:rFonts w:ascii="Times New Roman" w:hAnsi="Times New Roman"/>
          <w:sz w:val="28"/>
          <w:szCs w:val="28"/>
        </w:rPr>
        <w:t xml:space="preserve"> – Министерство внутренних дел</w:t>
      </w:r>
      <w:r>
        <w:rPr>
          <w:rFonts w:ascii="Times New Roman" w:hAnsi="Times New Roman"/>
          <w:sz w:val="28"/>
          <w:szCs w:val="28"/>
        </w:rPr>
      </w:r>
      <w:r>
        <w:rPr>
          <w:rFonts w:ascii="Times New Roman" w:hAnsi="Times New Roman"/>
          <w:sz w:val="28"/>
          <w:szCs w:val="28"/>
        </w:rPr>
      </w:r>
    </w:p>
    <w:p>
      <w:pPr>
        <w:jc w:val="both"/>
        <w:spacing w:after="0" w:line="240" w:lineRule="auto"/>
        <w:rPr>
          <w:rFonts w:ascii="Times New Roman" w:hAnsi="Times New Roman"/>
          <w:sz w:val="28"/>
          <w:szCs w:val="28"/>
        </w:rPr>
      </w:pPr>
      <w:r>
        <w:rPr>
          <w:rFonts w:ascii="Times New Roman" w:hAnsi="Times New Roman"/>
          <w:b/>
          <w:sz w:val="28"/>
          <w:szCs w:val="28"/>
        </w:rPr>
        <w:t xml:space="preserve">МСЭ     </w:t>
      </w:r>
      <w:r>
        <w:rPr>
          <w:rFonts w:ascii="Times New Roman" w:hAnsi="Times New Roman"/>
          <w:sz w:val="28"/>
          <w:szCs w:val="28"/>
        </w:rPr>
        <w:t xml:space="preserve"> – медико-социальная экспертиза</w:t>
      </w:r>
      <w:r>
        <w:rPr>
          <w:rFonts w:ascii="Times New Roman" w:hAnsi="Times New Roman"/>
          <w:sz w:val="28"/>
          <w:szCs w:val="28"/>
        </w:rPr>
      </w:r>
      <w:r>
        <w:rPr>
          <w:rFonts w:ascii="Times New Roman" w:hAnsi="Times New Roman"/>
          <w:sz w:val="28"/>
          <w:szCs w:val="28"/>
        </w:rPr>
      </w:r>
    </w:p>
    <w:p>
      <w:pPr>
        <w:jc w:val="both"/>
        <w:spacing w:after="0" w:line="240" w:lineRule="auto"/>
        <w:rPr>
          <w:rFonts w:ascii="Times New Roman" w:hAnsi="Times New Roman"/>
          <w:sz w:val="28"/>
          <w:szCs w:val="28"/>
        </w:rPr>
      </w:pPr>
      <w:r>
        <w:rPr>
          <w:rFonts w:ascii="Times New Roman" w:hAnsi="Times New Roman"/>
          <w:b/>
          <w:sz w:val="28"/>
          <w:szCs w:val="28"/>
        </w:rPr>
        <w:t xml:space="preserve">МСЧ     </w:t>
      </w:r>
      <w:r>
        <w:rPr>
          <w:rFonts w:ascii="Times New Roman" w:hAnsi="Times New Roman"/>
          <w:sz w:val="28"/>
          <w:szCs w:val="28"/>
        </w:rPr>
        <w:t xml:space="preserve"> – медико-санитарная часть</w:t>
      </w:r>
      <w:r>
        <w:rPr>
          <w:rFonts w:ascii="Times New Roman" w:hAnsi="Times New Roman"/>
          <w:sz w:val="28"/>
          <w:szCs w:val="28"/>
        </w:rPr>
      </w:r>
      <w:r>
        <w:rPr>
          <w:rFonts w:ascii="Times New Roman" w:hAnsi="Times New Roman"/>
          <w:sz w:val="28"/>
          <w:szCs w:val="28"/>
        </w:rPr>
      </w:r>
    </w:p>
    <w:p>
      <w:pPr>
        <w:jc w:val="both"/>
        <w:spacing w:after="0" w:line="240" w:lineRule="auto"/>
        <w:rPr>
          <w:rFonts w:ascii="Times New Roman" w:hAnsi="Times New Roman"/>
          <w:sz w:val="28"/>
          <w:szCs w:val="28"/>
        </w:rPr>
      </w:pPr>
      <w:r>
        <w:rPr>
          <w:rFonts w:ascii="Times New Roman" w:hAnsi="Times New Roman"/>
          <w:b/>
          <w:sz w:val="28"/>
          <w:szCs w:val="28"/>
        </w:rPr>
        <w:t xml:space="preserve">МО МВД</w:t>
      </w:r>
      <w:r>
        <w:rPr>
          <w:rFonts w:ascii="Times New Roman" w:hAnsi="Times New Roman"/>
          <w:sz w:val="28"/>
          <w:szCs w:val="28"/>
        </w:rPr>
        <w:t xml:space="preserve"> – межмуниципальный отдел Министерства внутренних дел</w:t>
      </w:r>
      <w:r>
        <w:rPr>
          <w:rFonts w:ascii="Times New Roman" w:hAnsi="Times New Roman"/>
          <w:sz w:val="28"/>
          <w:szCs w:val="28"/>
        </w:rPr>
      </w:r>
      <w:r>
        <w:rPr>
          <w:rFonts w:ascii="Times New Roman" w:hAnsi="Times New Roman"/>
          <w:sz w:val="28"/>
          <w:szCs w:val="28"/>
        </w:rPr>
      </w:r>
    </w:p>
    <w:p>
      <w:pPr>
        <w:jc w:val="both"/>
        <w:spacing w:after="0" w:line="240" w:lineRule="auto"/>
        <w:rPr>
          <w:rFonts w:ascii="Times New Roman" w:hAnsi="Times New Roman"/>
          <w:sz w:val="28"/>
          <w:szCs w:val="28"/>
        </w:rPr>
      </w:pPr>
      <w:r>
        <w:rPr>
          <w:rFonts w:ascii="Times New Roman" w:hAnsi="Times New Roman"/>
          <w:b/>
          <w:sz w:val="28"/>
          <w:szCs w:val="28"/>
        </w:rPr>
        <w:t xml:space="preserve">МКД</w:t>
      </w:r>
      <w:r>
        <w:rPr>
          <w:rFonts w:ascii="Times New Roman" w:hAnsi="Times New Roman"/>
          <w:sz w:val="28"/>
          <w:szCs w:val="28"/>
        </w:rPr>
        <w:t xml:space="preserve">      – многоквартирный дом</w:t>
      </w:r>
      <w:r>
        <w:rPr>
          <w:rFonts w:ascii="Times New Roman" w:hAnsi="Times New Roman"/>
          <w:sz w:val="28"/>
          <w:szCs w:val="28"/>
        </w:rPr>
      </w:r>
      <w:r>
        <w:rPr>
          <w:rFonts w:ascii="Times New Roman" w:hAnsi="Times New Roman"/>
          <w:sz w:val="28"/>
          <w:szCs w:val="28"/>
        </w:rPr>
      </w:r>
    </w:p>
    <w:p>
      <w:pPr>
        <w:jc w:val="both"/>
        <w:spacing w:after="0" w:line="240" w:lineRule="auto"/>
        <w:rPr>
          <w:rFonts w:ascii="Times New Roman" w:hAnsi="Times New Roman"/>
          <w:sz w:val="28"/>
          <w:szCs w:val="28"/>
        </w:rPr>
      </w:pPr>
      <w:r>
        <w:rPr>
          <w:rFonts w:ascii="Times New Roman" w:hAnsi="Times New Roman"/>
          <w:b/>
          <w:sz w:val="28"/>
          <w:szCs w:val="28"/>
        </w:rPr>
        <w:t xml:space="preserve">МУП     </w:t>
      </w:r>
      <w:r>
        <w:rPr>
          <w:rFonts w:ascii="Times New Roman" w:hAnsi="Times New Roman"/>
          <w:sz w:val="28"/>
          <w:szCs w:val="28"/>
        </w:rPr>
        <w:t xml:space="preserve"> – муниципальное унитарное предприятие</w:t>
      </w:r>
      <w:r>
        <w:rPr>
          <w:rFonts w:ascii="Times New Roman" w:hAnsi="Times New Roman"/>
          <w:sz w:val="28"/>
          <w:szCs w:val="28"/>
        </w:rPr>
      </w:r>
      <w:r>
        <w:rPr>
          <w:rFonts w:ascii="Times New Roman" w:hAnsi="Times New Roman"/>
          <w:sz w:val="28"/>
          <w:szCs w:val="28"/>
        </w:rPr>
      </w:r>
    </w:p>
    <w:p>
      <w:pPr>
        <w:jc w:val="both"/>
        <w:spacing w:after="0" w:line="240" w:lineRule="auto"/>
        <w:rPr>
          <w:rFonts w:ascii="Times New Roman" w:hAnsi="Times New Roman"/>
          <w:sz w:val="28"/>
          <w:szCs w:val="28"/>
        </w:rPr>
      </w:pPr>
      <w:r>
        <w:rPr>
          <w:rFonts w:ascii="Times New Roman" w:hAnsi="Times New Roman"/>
          <w:b/>
          <w:sz w:val="28"/>
          <w:szCs w:val="28"/>
        </w:rPr>
        <w:t xml:space="preserve">ОМОН  </w:t>
      </w:r>
      <w:r>
        <w:rPr>
          <w:rFonts w:ascii="Times New Roman" w:hAnsi="Times New Roman"/>
          <w:sz w:val="28"/>
          <w:szCs w:val="28"/>
        </w:rPr>
        <w:t xml:space="preserve"> – отряд мобильный особого назначения</w:t>
      </w:r>
      <w:r>
        <w:rPr>
          <w:rFonts w:ascii="Times New Roman" w:hAnsi="Times New Roman"/>
          <w:sz w:val="28"/>
          <w:szCs w:val="28"/>
        </w:rPr>
      </w:r>
      <w:r>
        <w:rPr>
          <w:rFonts w:ascii="Times New Roman" w:hAnsi="Times New Roman"/>
          <w:sz w:val="28"/>
          <w:szCs w:val="28"/>
        </w:rPr>
      </w:r>
    </w:p>
    <w:p>
      <w:pPr>
        <w:jc w:val="both"/>
        <w:spacing w:after="0" w:line="240" w:lineRule="auto"/>
        <w:rPr>
          <w:rFonts w:ascii="Times New Roman" w:hAnsi="Times New Roman"/>
          <w:sz w:val="28"/>
          <w:szCs w:val="28"/>
        </w:rPr>
      </w:pPr>
      <w:r>
        <w:rPr>
          <w:rFonts w:ascii="Times New Roman" w:hAnsi="Times New Roman"/>
          <w:b/>
          <w:sz w:val="28"/>
          <w:szCs w:val="28"/>
        </w:rPr>
        <w:t xml:space="preserve">ОНК</w:t>
      </w:r>
      <w:r>
        <w:rPr>
          <w:rFonts w:ascii="Times New Roman" w:hAnsi="Times New Roman"/>
          <w:sz w:val="28"/>
          <w:szCs w:val="28"/>
        </w:rPr>
        <w:t xml:space="preserve">       – общественная наблюдательная комиссия</w:t>
      </w:r>
      <w:r>
        <w:rPr>
          <w:rFonts w:ascii="Times New Roman" w:hAnsi="Times New Roman"/>
          <w:sz w:val="28"/>
          <w:szCs w:val="28"/>
        </w:rPr>
      </w:r>
      <w:r>
        <w:rPr>
          <w:rFonts w:ascii="Times New Roman" w:hAnsi="Times New Roman"/>
          <w:sz w:val="28"/>
          <w:szCs w:val="28"/>
        </w:rPr>
      </w:r>
    </w:p>
    <w:p>
      <w:pPr>
        <w:jc w:val="both"/>
        <w:spacing w:after="0" w:line="240" w:lineRule="auto"/>
        <w:rPr>
          <w:rFonts w:ascii="Times New Roman" w:hAnsi="Times New Roman"/>
          <w:sz w:val="28"/>
          <w:szCs w:val="28"/>
        </w:rPr>
      </w:pPr>
      <w:r>
        <w:rPr>
          <w:rFonts w:ascii="Times New Roman" w:hAnsi="Times New Roman"/>
          <w:b/>
          <w:sz w:val="28"/>
          <w:szCs w:val="28"/>
        </w:rPr>
        <w:t xml:space="preserve">ОНФ      </w:t>
      </w:r>
      <w:r>
        <w:rPr>
          <w:rFonts w:ascii="Times New Roman" w:hAnsi="Times New Roman"/>
          <w:sz w:val="28"/>
          <w:szCs w:val="28"/>
        </w:rPr>
        <w:t xml:space="preserve"> – Общероссийский народный фронт</w:t>
      </w:r>
      <w:r>
        <w:rPr>
          <w:rFonts w:ascii="Times New Roman" w:hAnsi="Times New Roman"/>
          <w:sz w:val="28"/>
          <w:szCs w:val="28"/>
        </w:rPr>
      </w:r>
      <w:r>
        <w:rPr>
          <w:rFonts w:ascii="Times New Roman" w:hAnsi="Times New Roman"/>
          <w:sz w:val="28"/>
          <w:szCs w:val="28"/>
        </w:rPr>
      </w:r>
    </w:p>
    <w:p>
      <w:pPr>
        <w:jc w:val="both"/>
        <w:spacing w:after="0" w:line="240" w:lineRule="auto"/>
        <w:rPr>
          <w:rFonts w:ascii="Times New Roman" w:hAnsi="Times New Roman"/>
          <w:sz w:val="28"/>
          <w:szCs w:val="28"/>
        </w:rPr>
      </w:pPr>
      <w:r>
        <w:rPr>
          <w:rFonts w:ascii="Times New Roman" w:hAnsi="Times New Roman"/>
          <w:b/>
          <w:sz w:val="28"/>
          <w:szCs w:val="28"/>
        </w:rPr>
        <w:t xml:space="preserve">ООО</w:t>
      </w:r>
      <w:r>
        <w:rPr>
          <w:rFonts w:ascii="Times New Roman" w:hAnsi="Times New Roman"/>
          <w:sz w:val="28"/>
          <w:szCs w:val="28"/>
        </w:rPr>
        <w:t xml:space="preserve">       – общество с ограниченной ответственностью</w:t>
      </w:r>
      <w:r>
        <w:rPr>
          <w:rFonts w:ascii="Times New Roman" w:hAnsi="Times New Roman"/>
          <w:sz w:val="28"/>
          <w:szCs w:val="28"/>
        </w:rPr>
      </w:r>
      <w:r>
        <w:rPr>
          <w:rFonts w:ascii="Times New Roman" w:hAnsi="Times New Roman"/>
          <w:sz w:val="28"/>
          <w:szCs w:val="28"/>
        </w:rPr>
      </w:r>
    </w:p>
    <w:p>
      <w:pPr>
        <w:jc w:val="both"/>
        <w:spacing w:after="0" w:line="240" w:lineRule="auto"/>
        <w:rPr>
          <w:rFonts w:ascii="Times New Roman" w:hAnsi="Times New Roman"/>
          <w:sz w:val="28"/>
          <w:szCs w:val="28"/>
        </w:rPr>
      </w:pPr>
      <w:r>
        <w:rPr>
          <w:rFonts w:ascii="Times New Roman" w:hAnsi="Times New Roman"/>
          <w:b/>
          <w:sz w:val="28"/>
          <w:szCs w:val="28"/>
        </w:rPr>
        <w:t xml:space="preserve">ОАО</w:t>
      </w:r>
      <w:r>
        <w:rPr>
          <w:rFonts w:ascii="Times New Roman" w:hAnsi="Times New Roman"/>
          <w:sz w:val="28"/>
          <w:szCs w:val="28"/>
        </w:rPr>
        <w:t xml:space="preserve">       – открытое акционерное общество</w:t>
      </w:r>
      <w:r>
        <w:rPr>
          <w:rFonts w:ascii="Times New Roman" w:hAnsi="Times New Roman"/>
          <w:sz w:val="28"/>
          <w:szCs w:val="28"/>
        </w:rPr>
      </w:r>
      <w:r>
        <w:rPr>
          <w:rFonts w:ascii="Times New Roman" w:hAnsi="Times New Roman"/>
          <w:sz w:val="28"/>
          <w:szCs w:val="28"/>
        </w:rPr>
      </w:r>
    </w:p>
    <w:p>
      <w:pPr>
        <w:jc w:val="both"/>
        <w:spacing w:after="0" w:line="240" w:lineRule="auto"/>
        <w:rPr>
          <w:rFonts w:ascii="Times New Roman" w:hAnsi="Times New Roman"/>
          <w:sz w:val="28"/>
          <w:szCs w:val="28"/>
        </w:rPr>
      </w:pPr>
      <w:r>
        <w:rPr>
          <w:rFonts w:ascii="Times New Roman" w:hAnsi="Times New Roman"/>
          <w:b/>
          <w:sz w:val="28"/>
          <w:szCs w:val="28"/>
        </w:rPr>
        <w:t xml:space="preserve">ОМВД   </w:t>
      </w:r>
      <w:r>
        <w:rPr>
          <w:rFonts w:ascii="Times New Roman" w:hAnsi="Times New Roman"/>
          <w:sz w:val="28"/>
          <w:szCs w:val="28"/>
        </w:rPr>
        <w:t xml:space="preserve"> – отдел Министерства внутренних дел</w:t>
      </w:r>
      <w:r>
        <w:rPr>
          <w:rFonts w:ascii="Times New Roman" w:hAnsi="Times New Roman"/>
          <w:sz w:val="28"/>
          <w:szCs w:val="28"/>
        </w:rPr>
      </w:r>
      <w:r>
        <w:rPr>
          <w:rFonts w:ascii="Times New Roman" w:hAnsi="Times New Roman"/>
          <w:sz w:val="28"/>
          <w:szCs w:val="28"/>
        </w:rPr>
      </w:r>
    </w:p>
    <w:p>
      <w:pPr>
        <w:jc w:val="both"/>
        <w:spacing w:after="0" w:line="240" w:lineRule="auto"/>
        <w:rPr>
          <w:rFonts w:ascii="Times New Roman" w:hAnsi="Times New Roman"/>
          <w:sz w:val="28"/>
          <w:szCs w:val="28"/>
        </w:rPr>
      </w:pPr>
      <w:r>
        <w:rPr>
          <w:rFonts w:ascii="Times New Roman" w:hAnsi="Times New Roman"/>
          <w:b/>
          <w:sz w:val="28"/>
          <w:szCs w:val="28"/>
        </w:rPr>
        <w:t xml:space="preserve">ОВД       </w:t>
      </w:r>
      <w:r>
        <w:rPr>
          <w:rFonts w:ascii="Times New Roman" w:hAnsi="Times New Roman"/>
          <w:sz w:val="28"/>
          <w:szCs w:val="28"/>
        </w:rPr>
        <w:t xml:space="preserve"> – отдел внутренних дел</w:t>
      </w:r>
      <w:r>
        <w:rPr>
          <w:rFonts w:ascii="Times New Roman" w:hAnsi="Times New Roman"/>
          <w:sz w:val="28"/>
          <w:szCs w:val="28"/>
        </w:rPr>
      </w:r>
      <w:r>
        <w:rPr>
          <w:rFonts w:ascii="Times New Roman" w:hAnsi="Times New Roman"/>
          <w:sz w:val="28"/>
          <w:szCs w:val="28"/>
        </w:rPr>
      </w:r>
    </w:p>
    <w:p>
      <w:pPr>
        <w:jc w:val="both"/>
        <w:spacing w:after="0" w:line="240" w:lineRule="auto"/>
        <w:rPr>
          <w:rFonts w:ascii="Times New Roman" w:hAnsi="Times New Roman"/>
          <w:sz w:val="28"/>
          <w:szCs w:val="28"/>
        </w:rPr>
      </w:pPr>
      <w:r>
        <w:rPr>
          <w:rFonts w:ascii="Times New Roman" w:hAnsi="Times New Roman"/>
          <w:b/>
          <w:sz w:val="28"/>
          <w:szCs w:val="28"/>
        </w:rPr>
        <w:t xml:space="preserve">ООД</w:t>
      </w:r>
      <w:r>
        <w:rPr>
          <w:rFonts w:ascii="Times New Roman" w:hAnsi="Times New Roman"/>
          <w:sz w:val="28"/>
          <w:szCs w:val="28"/>
        </w:rPr>
        <w:t xml:space="preserve">       – отдел организации дознания</w:t>
      </w:r>
      <w:r>
        <w:rPr>
          <w:rFonts w:ascii="Times New Roman" w:hAnsi="Times New Roman"/>
          <w:sz w:val="28"/>
          <w:szCs w:val="28"/>
        </w:rPr>
      </w:r>
      <w:r>
        <w:rPr>
          <w:rFonts w:ascii="Times New Roman" w:hAnsi="Times New Roman"/>
          <w:sz w:val="28"/>
          <w:szCs w:val="28"/>
        </w:rPr>
      </w:r>
    </w:p>
    <w:p>
      <w:pPr>
        <w:jc w:val="both"/>
        <w:spacing w:after="0" w:line="240" w:lineRule="auto"/>
        <w:rPr>
          <w:rFonts w:ascii="Times New Roman" w:hAnsi="Times New Roman"/>
          <w:sz w:val="28"/>
          <w:szCs w:val="28"/>
        </w:rPr>
      </w:pPr>
      <w:r>
        <w:rPr>
          <w:rFonts w:ascii="Times New Roman" w:hAnsi="Times New Roman"/>
          <w:b/>
          <w:sz w:val="28"/>
          <w:szCs w:val="28"/>
        </w:rPr>
        <w:t xml:space="preserve">ОБУЗ</w:t>
      </w:r>
      <w:r>
        <w:rPr>
          <w:rFonts w:ascii="Times New Roman" w:hAnsi="Times New Roman"/>
          <w:sz w:val="28"/>
          <w:szCs w:val="28"/>
        </w:rPr>
        <w:t xml:space="preserve">     – областное бюджетное учреждение здравоохранения</w:t>
      </w:r>
      <w:r>
        <w:rPr>
          <w:rFonts w:ascii="Times New Roman" w:hAnsi="Times New Roman"/>
          <w:sz w:val="28"/>
          <w:szCs w:val="28"/>
        </w:rPr>
      </w:r>
      <w:r>
        <w:rPr>
          <w:rFonts w:ascii="Times New Roman" w:hAnsi="Times New Roman"/>
          <w:sz w:val="28"/>
          <w:szCs w:val="28"/>
        </w:rPr>
      </w:r>
    </w:p>
    <w:p>
      <w:pPr>
        <w:jc w:val="both"/>
        <w:spacing w:after="0" w:line="240" w:lineRule="auto"/>
        <w:rPr>
          <w:rFonts w:ascii="Times New Roman" w:hAnsi="Times New Roman"/>
          <w:sz w:val="28"/>
          <w:szCs w:val="28"/>
        </w:rPr>
      </w:pPr>
      <w:r>
        <w:rPr>
          <w:rFonts w:ascii="Times New Roman" w:hAnsi="Times New Roman"/>
          <w:b/>
          <w:sz w:val="28"/>
          <w:szCs w:val="28"/>
        </w:rPr>
        <w:t xml:space="preserve">РФ         </w:t>
      </w:r>
      <w:r>
        <w:rPr>
          <w:rFonts w:ascii="Times New Roman" w:hAnsi="Times New Roman"/>
          <w:sz w:val="28"/>
          <w:szCs w:val="28"/>
        </w:rPr>
        <w:t xml:space="preserve"> – Российская Федерация</w:t>
      </w:r>
      <w:r>
        <w:rPr>
          <w:rFonts w:ascii="Times New Roman" w:hAnsi="Times New Roman"/>
          <w:sz w:val="28"/>
          <w:szCs w:val="28"/>
        </w:rPr>
      </w:r>
      <w:r>
        <w:rPr>
          <w:rFonts w:ascii="Times New Roman" w:hAnsi="Times New Roman"/>
          <w:sz w:val="28"/>
          <w:szCs w:val="28"/>
        </w:rPr>
      </w:r>
    </w:p>
    <w:p>
      <w:pPr>
        <w:jc w:val="both"/>
        <w:spacing w:after="0" w:line="240" w:lineRule="auto"/>
        <w:rPr>
          <w:rFonts w:ascii="Times New Roman" w:hAnsi="Times New Roman"/>
          <w:sz w:val="28"/>
          <w:szCs w:val="28"/>
        </w:rPr>
      </w:pPr>
      <w:r>
        <w:rPr>
          <w:rFonts w:ascii="Times New Roman" w:hAnsi="Times New Roman"/>
          <w:b/>
          <w:sz w:val="28"/>
          <w:szCs w:val="28"/>
        </w:rPr>
        <w:t xml:space="preserve">СССР</w:t>
      </w:r>
      <w:r>
        <w:rPr>
          <w:rFonts w:ascii="Times New Roman" w:hAnsi="Times New Roman"/>
          <w:sz w:val="28"/>
          <w:szCs w:val="28"/>
        </w:rPr>
        <w:t xml:space="preserve">     – Союз советских социалистических республик</w:t>
      </w:r>
      <w:r>
        <w:rPr>
          <w:rFonts w:ascii="Times New Roman" w:hAnsi="Times New Roman"/>
          <w:sz w:val="28"/>
          <w:szCs w:val="28"/>
        </w:rPr>
      </w:r>
      <w:r>
        <w:rPr>
          <w:rFonts w:ascii="Times New Roman" w:hAnsi="Times New Roman"/>
          <w:sz w:val="28"/>
          <w:szCs w:val="28"/>
        </w:rPr>
      </w:r>
    </w:p>
    <w:p>
      <w:pPr>
        <w:jc w:val="both"/>
        <w:spacing w:after="0" w:line="240" w:lineRule="auto"/>
        <w:rPr>
          <w:rFonts w:ascii="Times New Roman" w:hAnsi="Times New Roman"/>
          <w:sz w:val="28"/>
          <w:szCs w:val="28"/>
        </w:rPr>
      </w:pPr>
      <w:r>
        <w:rPr>
          <w:rFonts w:ascii="Times New Roman" w:hAnsi="Times New Roman"/>
          <w:b/>
          <w:sz w:val="28"/>
          <w:szCs w:val="28"/>
        </w:rPr>
        <w:t xml:space="preserve">СМИ     </w:t>
      </w:r>
      <w:r>
        <w:rPr>
          <w:rFonts w:ascii="Times New Roman" w:hAnsi="Times New Roman"/>
          <w:sz w:val="28"/>
          <w:szCs w:val="28"/>
        </w:rPr>
        <w:t xml:space="preserve"> – средства массовой информации</w:t>
      </w:r>
      <w:r>
        <w:rPr>
          <w:rFonts w:ascii="Times New Roman" w:hAnsi="Times New Roman"/>
          <w:sz w:val="28"/>
          <w:szCs w:val="28"/>
        </w:rPr>
      </w:r>
      <w:r>
        <w:rPr>
          <w:rFonts w:ascii="Times New Roman" w:hAnsi="Times New Roman"/>
          <w:sz w:val="28"/>
          <w:szCs w:val="28"/>
        </w:rPr>
      </w:r>
    </w:p>
    <w:p>
      <w:pPr>
        <w:jc w:val="both"/>
        <w:spacing w:after="0" w:line="240" w:lineRule="auto"/>
        <w:rPr>
          <w:rFonts w:ascii="Times New Roman" w:hAnsi="Times New Roman"/>
          <w:sz w:val="28"/>
          <w:szCs w:val="28"/>
        </w:rPr>
      </w:pPr>
      <w:r>
        <w:rPr>
          <w:rFonts w:ascii="Times New Roman" w:hAnsi="Times New Roman"/>
          <w:b/>
          <w:sz w:val="28"/>
          <w:szCs w:val="28"/>
        </w:rPr>
        <w:t xml:space="preserve">СОШ    </w:t>
      </w:r>
      <w:r>
        <w:rPr>
          <w:rFonts w:ascii="Times New Roman" w:hAnsi="Times New Roman"/>
          <w:sz w:val="28"/>
          <w:szCs w:val="28"/>
        </w:rPr>
        <w:t xml:space="preserve"> – средняя образовательная школа</w:t>
      </w:r>
      <w:r>
        <w:rPr>
          <w:rFonts w:ascii="Times New Roman" w:hAnsi="Times New Roman"/>
          <w:sz w:val="28"/>
          <w:szCs w:val="28"/>
        </w:rPr>
      </w:r>
      <w:r>
        <w:rPr>
          <w:rFonts w:ascii="Times New Roman" w:hAnsi="Times New Roman"/>
          <w:sz w:val="28"/>
          <w:szCs w:val="28"/>
        </w:rPr>
      </w:r>
    </w:p>
    <w:p>
      <w:pPr>
        <w:jc w:val="both"/>
        <w:spacing w:after="0" w:line="240" w:lineRule="auto"/>
        <w:rPr>
          <w:rFonts w:ascii="Times New Roman" w:hAnsi="Times New Roman"/>
          <w:sz w:val="28"/>
          <w:szCs w:val="28"/>
        </w:rPr>
      </w:pPr>
      <w:r>
        <w:rPr>
          <w:rFonts w:ascii="Times New Roman" w:hAnsi="Times New Roman"/>
          <w:b/>
          <w:sz w:val="28"/>
          <w:szCs w:val="28"/>
        </w:rPr>
        <w:t xml:space="preserve">СК</w:t>
      </w:r>
      <w:r>
        <w:rPr>
          <w:rFonts w:ascii="Times New Roman" w:hAnsi="Times New Roman"/>
          <w:sz w:val="28"/>
          <w:szCs w:val="28"/>
        </w:rPr>
        <w:t xml:space="preserve">            – Следственный комитет</w:t>
      </w:r>
      <w:r>
        <w:rPr>
          <w:rFonts w:ascii="Times New Roman" w:hAnsi="Times New Roman"/>
          <w:sz w:val="28"/>
          <w:szCs w:val="28"/>
        </w:rPr>
      </w:r>
      <w:r>
        <w:rPr>
          <w:rFonts w:ascii="Times New Roman" w:hAnsi="Times New Roman"/>
          <w:sz w:val="28"/>
          <w:szCs w:val="28"/>
        </w:rPr>
      </w:r>
    </w:p>
    <w:p>
      <w:pPr>
        <w:jc w:val="both"/>
        <w:spacing w:after="0" w:line="240" w:lineRule="auto"/>
        <w:rPr>
          <w:rFonts w:ascii="Times New Roman" w:hAnsi="Times New Roman"/>
          <w:sz w:val="28"/>
          <w:szCs w:val="28"/>
        </w:rPr>
      </w:pPr>
      <w:r>
        <w:rPr>
          <w:rFonts w:ascii="Times New Roman" w:hAnsi="Times New Roman"/>
          <w:b/>
          <w:sz w:val="28"/>
          <w:szCs w:val="28"/>
        </w:rPr>
        <w:t xml:space="preserve">СУ</w:t>
      </w:r>
      <w:r>
        <w:rPr>
          <w:rFonts w:ascii="Times New Roman" w:hAnsi="Times New Roman"/>
          <w:sz w:val="28"/>
          <w:szCs w:val="28"/>
        </w:rPr>
        <w:t xml:space="preserve">            – следственное управление</w:t>
      </w:r>
      <w:r>
        <w:rPr>
          <w:rFonts w:ascii="Times New Roman" w:hAnsi="Times New Roman"/>
          <w:sz w:val="28"/>
          <w:szCs w:val="28"/>
        </w:rPr>
      </w:r>
      <w:r>
        <w:rPr>
          <w:rFonts w:ascii="Times New Roman" w:hAnsi="Times New Roman"/>
          <w:sz w:val="28"/>
          <w:szCs w:val="28"/>
        </w:rPr>
      </w:r>
    </w:p>
    <w:p>
      <w:pPr>
        <w:jc w:val="both"/>
        <w:spacing w:after="0" w:line="240" w:lineRule="auto"/>
        <w:rPr>
          <w:rFonts w:ascii="Times New Roman" w:hAnsi="Times New Roman"/>
          <w:sz w:val="28"/>
          <w:szCs w:val="28"/>
        </w:rPr>
      </w:pPr>
      <w:r>
        <w:rPr>
          <w:rFonts w:ascii="Times New Roman" w:hAnsi="Times New Roman"/>
          <w:b/>
          <w:sz w:val="28"/>
          <w:szCs w:val="28"/>
        </w:rPr>
        <w:t xml:space="preserve">ССО по ДТП</w:t>
      </w:r>
      <w:r>
        <w:rPr>
          <w:rFonts w:ascii="Times New Roman" w:hAnsi="Times New Roman"/>
          <w:sz w:val="28"/>
          <w:szCs w:val="28"/>
        </w:rPr>
        <w:t xml:space="preserve"> – специализированный следственный отдел по расследованию дорожно-транспортных происшествий</w:t>
      </w:r>
      <w:r>
        <w:rPr>
          <w:rFonts w:ascii="Times New Roman" w:hAnsi="Times New Roman"/>
          <w:sz w:val="28"/>
          <w:szCs w:val="28"/>
        </w:rPr>
      </w:r>
      <w:r>
        <w:rPr>
          <w:rFonts w:ascii="Times New Roman" w:hAnsi="Times New Roman"/>
          <w:sz w:val="28"/>
          <w:szCs w:val="28"/>
        </w:rPr>
      </w:r>
    </w:p>
    <w:p>
      <w:pPr>
        <w:jc w:val="both"/>
        <w:spacing w:after="0" w:line="240" w:lineRule="auto"/>
        <w:rPr>
          <w:rFonts w:ascii="Times New Roman" w:hAnsi="Times New Roman"/>
          <w:sz w:val="28"/>
          <w:szCs w:val="28"/>
        </w:rPr>
      </w:pPr>
      <w:r>
        <w:rPr>
          <w:rFonts w:ascii="Times New Roman" w:hAnsi="Times New Roman"/>
          <w:b/>
          <w:sz w:val="28"/>
          <w:szCs w:val="28"/>
        </w:rPr>
        <w:t xml:space="preserve">СИЗО</w:t>
      </w:r>
      <w:r>
        <w:rPr>
          <w:rFonts w:ascii="Times New Roman" w:hAnsi="Times New Roman"/>
          <w:sz w:val="28"/>
          <w:szCs w:val="28"/>
        </w:rPr>
        <w:t xml:space="preserve">       – следственный изолятор</w:t>
      </w:r>
      <w:r>
        <w:rPr>
          <w:rFonts w:ascii="Times New Roman" w:hAnsi="Times New Roman"/>
          <w:sz w:val="28"/>
          <w:szCs w:val="28"/>
        </w:rPr>
      </w:r>
      <w:r>
        <w:rPr>
          <w:rFonts w:ascii="Times New Roman" w:hAnsi="Times New Roman"/>
          <w:sz w:val="28"/>
          <w:szCs w:val="28"/>
        </w:rPr>
      </w:r>
    </w:p>
    <w:p>
      <w:pPr>
        <w:jc w:val="both"/>
        <w:spacing w:after="0" w:line="240" w:lineRule="auto"/>
        <w:rPr>
          <w:rFonts w:ascii="Times New Roman" w:hAnsi="Times New Roman"/>
          <w:sz w:val="28"/>
          <w:szCs w:val="28"/>
        </w:rPr>
      </w:pPr>
      <w:r>
        <w:rPr>
          <w:rFonts w:ascii="Times New Roman" w:hAnsi="Times New Roman"/>
          <w:b/>
          <w:sz w:val="28"/>
          <w:szCs w:val="28"/>
        </w:rPr>
        <w:t xml:space="preserve">СПСЗЛ</w:t>
      </w:r>
      <w:r>
        <w:rPr>
          <w:rFonts w:ascii="Times New Roman" w:hAnsi="Times New Roman"/>
          <w:sz w:val="28"/>
          <w:szCs w:val="28"/>
        </w:rPr>
        <w:t xml:space="preserve">    – специальное помещение для содержания задержанных лиц</w:t>
      </w:r>
      <w:r>
        <w:rPr>
          <w:rFonts w:ascii="Times New Roman" w:hAnsi="Times New Roman"/>
          <w:sz w:val="28"/>
          <w:szCs w:val="28"/>
        </w:rPr>
      </w:r>
      <w:r>
        <w:rPr>
          <w:rFonts w:ascii="Times New Roman" w:hAnsi="Times New Roman"/>
          <w:sz w:val="28"/>
          <w:szCs w:val="28"/>
        </w:rPr>
      </w:r>
    </w:p>
    <w:p>
      <w:pPr>
        <w:jc w:val="both"/>
        <w:spacing w:after="0" w:line="240" w:lineRule="auto"/>
        <w:rPr>
          <w:rFonts w:ascii="Times New Roman" w:hAnsi="Times New Roman"/>
          <w:sz w:val="28"/>
          <w:szCs w:val="28"/>
        </w:rPr>
      </w:pPr>
      <w:r>
        <w:rPr>
          <w:rFonts w:ascii="Times New Roman" w:hAnsi="Times New Roman"/>
          <w:b/>
          <w:sz w:val="28"/>
          <w:szCs w:val="28"/>
        </w:rPr>
        <w:t xml:space="preserve">СМЭ</w:t>
      </w:r>
      <w:r>
        <w:rPr>
          <w:rFonts w:ascii="Times New Roman" w:hAnsi="Times New Roman"/>
          <w:sz w:val="28"/>
          <w:szCs w:val="28"/>
        </w:rPr>
        <w:t xml:space="preserve">         – судебно-медицинская экспертиза</w:t>
      </w:r>
      <w:r>
        <w:rPr>
          <w:rFonts w:ascii="Times New Roman" w:hAnsi="Times New Roman"/>
          <w:sz w:val="28"/>
          <w:szCs w:val="28"/>
        </w:rPr>
      </w:r>
      <w:r>
        <w:rPr>
          <w:rFonts w:ascii="Times New Roman" w:hAnsi="Times New Roman"/>
          <w:sz w:val="28"/>
          <w:szCs w:val="28"/>
        </w:rPr>
      </w:r>
    </w:p>
    <w:p>
      <w:pPr>
        <w:jc w:val="both"/>
        <w:spacing w:after="0" w:line="240" w:lineRule="auto"/>
        <w:rPr>
          <w:rFonts w:ascii="Times New Roman" w:hAnsi="Times New Roman"/>
          <w:sz w:val="28"/>
          <w:szCs w:val="28"/>
        </w:rPr>
      </w:pPr>
      <w:r>
        <w:rPr>
          <w:rFonts w:ascii="Times New Roman" w:hAnsi="Times New Roman"/>
          <w:b/>
          <w:sz w:val="28"/>
          <w:szCs w:val="28"/>
        </w:rPr>
        <w:t xml:space="preserve">СанПиН</w:t>
      </w:r>
      <w:r>
        <w:rPr>
          <w:rFonts w:ascii="Times New Roman" w:hAnsi="Times New Roman"/>
          <w:b/>
          <w:sz w:val="28"/>
          <w:szCs w:val="28"/>
        </w:rPr>
        <w:t xml:space="preserve">  </w:t>
      </w:r>
      <w:r>
        <w:rPr>
          <w:rFonts w:ascii="Times New Roman" w:hAnsi="Times New Roman"/>
          <w:sz w:val="28"/>
          <w:szCs w:val="28"/>
        </w:rPr>
        <w:t xml:space="preserve"> – санитарные правила и нормы</w:t>
      </w:r>
      <w:r>
        <w:rPr>
          <w:rFonts w:ascii="Times New Roman" w:hAnsi="Times New Roman"/>
          <w:sz w:val="28"/>
          <w:szCs w:val="28"/>
        </w:rPr>
      </w:r>
      <w:r>
        <w:rPr>
          <w:rFonts w:ascii="Times New Roman" w:hAnsi="Times New Roman"/>
          <w:sz w:val="28"/>
          <w:szCs w:val="28"/>
        </w:rPr>
      </w:r>
    </w:p>
    <w:p>
      <w:pPr>
        <w:jc w:val="both"/>
        <w:spacing w:after="0" w:line="240" w:lineRule="auto"/>
        <w:rPr>
          <w:rFonts w:ascii="Times New Roman" w:hAnsi="Times New Roman"/>
          <w:sz w:val="28"/>
          <w:szCs w:val="28"/>
        </w:rPr>
      </w:pPr>
      <w:r>
        <w:rPr>
          <w:rFonts w:ascii="Times New Roman" w:hAnsi="Times New Roman"/>
          <w:b/>
          <w:sz w:val="28"/>
          <w:szCs w:val="28"/>
        </w:rPr>
        <w:t xml:space="preserve">СПИД   </w:t>
      </w:r>
      <w:r>
        <w:rPr>
          <w:rFonts w:ascii="Times New Roman" w:hAnsi="Times New Roman"/>
          <w:sz w:val="28"/>
          <w:szCs w:val="28"/>
        </w:rPr>
        <w:t xml:space="preserve">    – синдром приобретенного иммунодефицита</w:t>
      </w:r>
      <w:r>
        <w:rPr>
          <w:rFonts w:ascii="Times New Roman" w:hAnsi="Times New Roman"/>
          <w:sz w:val="28"/>
          <w:szCs w:val="28"/>
        </w:rPr>
      </w:r>
      <w:r>
        <w:rPr>
          <w:rFonts w:ascii="Times New Roman" w:hAnsi="Times New Roman"/>
          <w:sz w:val="28"/>
          <w:szCs w:val="28"/>
        </w:rPr>
      </w:r>
    </w:p>
    <w:p>
      <w:pPr>
        <w:jc w:val="both"/>
        <w:spacing w:after="0" w:line="240" w:lineRule="auto"/>
        <w:rPr>
          <w:rFonts w:ascii="Times New Roman" w:hAnsi="Times New Roman"/>
          <w:sz w:val="28"/>
          <w:szCs w:val="28"/>
        </w:rPr>
      </w:pPr>
      <w:r>
        <w:rPr>
          <w:rFonts w:ascii="Times New Roman" w:hAnsi="Times New Roman"/>
          <w:b/>
          <w:sz w:val="28"/>
          <w:szCs w:val="28"/>
        </w:rPr>
        <w:t xml:space="preserve">ТКО</w:t>
      </w:r>
      <w:r>
        <w:rPr>
          <w:rFonts w:ascii="Times New Roman" w:hAnsi="Times New Roman"/>
          <w:sz w:val="28"/>
          <w:szCs w:val="28"/>
        </w:rPr>
        <w:t xml:space="preserve">          – твердые коммунальные отходы</w:t>
      </w:r>
      <w:r>
        <w:rPr>
          <w:rFonts w:ascii="Times New Roman" w:hAnsi="Times New Roman"/>
          <w:sz w:val="28"/>
          <w:szCs w:val="28"/>
        </w:rPr>
      </w:r>
      <w:r>
        <w:rPr>
          <w:rFonts w:ascii="Times New Roman" w:hAnsi="Times New Roman"/>
          <w:sz w:val="28"/>
          <w:szCs w:val="28"/>
        </w:rPr>
      </w:r>
    </w:p>
    <w:p>
      <w:pPr>
        <w:jc w:val="both"/>
        <w:spacing w:after="0" w:line="240" w:lineRule="auto"/>
        <w:rPr>
          <w:rFonts w:ascii="Times New Roman" w:hAnsi="Times New Roman"/>
          <w:sz w:val="28"/>
          <w:szCs w:val="28"/>
        </w:rPr>
      </w:pPr>
      <w:r>
        <w:rPr>
          <w:rFonts w:ascii="Times New Roman" w:hAnsi="Times New Roman"/>
          <w:b/>
          <w:sz w:val="28"/>
          <w:szCs w:val="28"/>
        </w:rPr>
        <w:t xml:space="preserve">Уполномоченный, УПЧ</w:t>
      </w:r>
      <w:r>
        <w:rPr>
          <w:rFonts w:ascii="Times New Roman" w:hAnsi="Times New Roman"/>
          <w:sz w:val="28"/>
          <w:szCs w:val="28"/>
        </w:rPr>
        <w:t xml:space="preserve"> – Уполномоченный по правам человека в Ивановской области</w:t>
      </w:r>
      <w:r>
        <w:rPr>
          <w:rFonts w:ascii="Times New Roman" w:hAnsi="Times New Roman"/>
          <w:sz w:val="28"/>
          <w:szCs w:val="28"/>
        </w:rPr>
      </w:r>
      <w:r>
        <w:rPr>
          <w:rFonts w:ascii="Times New Roman" w:hAnsi="Times New Roman"/>
          <w:sz w:val="28"/>
          <w:szCs w:val="28"/>
        </w:rPr>
      </w:r>
    </w:p>
    <w:p>
      <w:pPr>
        <w:jc w:val="both"/>
        <w:spacing w:after="0" w:line="240" w:lineRule="auto"/>
        <w:rPr>
          <w:rFonts w:ascii="Times New Roman" w:hAnsi="Times New Roman"/>
          <w:sz w:val="28"/>
          <w:szCs w:val="28"/>
        </w:rPr>
      </w:pPr>
      <w:r>
        <w:rPr>
          <w:rFonts w:ascii="Times New Roman" w:hAnsi="Times New Roman"/>
          <w:b/>
          <w:sz w:val="28"/>
          <w:szCs w:val="28"/>
        </w:rPr>
        <w:t xml:space="preserve">УФСИН</w:t>
      </w:r>
      <w:r>
        <w:rPr>
          <w:rFonts w:ascii="Times New Roman" w:hAnsi="Times New Roman"/>
          <w:sz w:val="28"/>
          <w:szCs w:val="28"/>
        </w:rPr>
        <w:t xml:space="preserve">    – управление Федеральной службы исполнения наказаний</w:t>
      </w:r>
      <w:r>
        <w:rPr>
          <w:rFonts w:ascii="Times New Roman" w:hAnsi="Times New Roman"/>
          <w:sz w:val="28"/>
          <w:szCs w:val="28"/>
        </w:rPr>
      </w:r>
      <w:r>
        <w:rPr>
          <w:rFonts w:ascii="Times New Roman" w:hAnsi="Times New Roman"/>
          <w:sz w:val="28"/>
          <w:szCs w:val="28"/>
        </w:rPr>
      </w:r>
    </w:p>
    <w:p>
      <w:pPr>
        <w:jc w:val="both"/>
        <w:spacing w:after="0" w:line="240" w:lineRule="auto"/>
        <w:rPr>
          <w:rFonts w:ascii="Times New Roman" w:hAnsi="Times New Roman"/>
          <w:sz w:val="28"/>
          <w:szCs w:val="28"/>
        </w:rPr>
      </w:pPr>
      <w:r>
        <w:rPr>
          <w:rFonts w:ascii="Times New Roman" w:hAnsi="Times New Roman"/>
          <w:b/>
          <w:sz w:val="28"/>
          <w:szCs w:val="28"/>
        </w:rPr>
        <w:t xml:space="preserve">УМВД</w:t>
      </w:r>
      <w:r>
        <w:rPr>
          <w:rFonts w:ascii="Times New Roman" w:hAnsi="Times New Roman"/>
          <w:sz w:val="28"/>
          <w:szCs w:val="28"/>
        </w:rPr>
        <w:t xml:space="preserve">       – управление Министерства внутренних дел</w:t>
      </w:r>
      <w:r>
        <w:rPr>
          <w:rFonts w:ascii="Times New Roman" w:hAnsi="Times New Roman"/>
          <w:sz w:val="28"/>
          <w:szCs w:val="28"/>
        </w:rPr>
      </w:r>
      <w:r>
        <w:rPr>
          <w:rFonts w:ascii="Times New Roman" w:hAnsi="Times New Roman"/>
          <w:sz w:val="28"/>
          <w:szCs w:val="28"/>
        </w:rPr>
      </w:r>
    </w:p>
    <w:p>
      <w:pPr>
        <w:jc w:val="both"/>
        <w:spacing w:after="0" w:line="240" w:lineRule="auto"/>
        <w:rPr>
          <w:rFonts w:ascii="Times New Roman" w:hAnsi="Times New Roman"/>
          <w:sz w:val="28"/>
          <w:szCs w:val="28"/>
        </w:rPr>
      </w:pPr>
      <w:r>
        <w:rPr>
          <w:rFonts w:ascii="Times New Roman" w:hAnsi="Times New Roman"/>
          <w:b/>
          <w:sz w:val="28"/>
          <w:szCs w:val="28"/>
        </w:rPr>
        <w:t xml:space="preserve">УФССП   </w:t>
      </w:r>
      <w:r>
        <w:rPr>
          <w:rFonts w:ascii="Times New Roman" w:hAnsi="Times New Roman"/>
          <w:sz w:val="28"/>
          <w:szCs w:val="28"/>
        </w:rPr>
        <w:t xml:space="preserve"> – управление Федеральной службы судебных приставов</w:t>
      </w:r>
      <w:r>
        <w:rPr>
          <w:rFonts w:ascii="Times New Roman" w:hAnsi="Times New Roman"/>
          <w:sz w:val="28"/>
          <w:szCs w:val="28"/>
        </w:rPr>
      </w:r>
      <w:r>
        <w:rPr>
          <w:rFonts w:ascii="Times New Roman" w:hAnsi="Times New Roman"/>
          <w:sz w:val="28"/>
          <w:szCs w:val="28"/>
        </w:rPr>
      </w:r>
    </w:p>
    <w:p>
      <w:pPr>
        <w:jc w:val="both"/>
        <w:spacing w:after="0" w:line="240" w:lineRule="auto"/>
        <w:rPr>
          <w:rFonts w:ascii="Times New Roman" w:hAnsi="Times New Roman"/>
          <w:sz w:val="28"/>
          <w:szCs w:val="28"/>
        </w:rPr>
      </w:pPr>
      <w:r>
        <w:rPr>
          <w:rFonts w:ascii="Times New Roman" w:hAnsi="Times New Roman"/>
          <w:b/>
          <w:sz w:val="28"/>
          <w:szCs w:val="28"/>
        </w:rPr>
        <w:t xml:space="preserve">УК</w:t>
      </w:r>
      <w:r>
        <w:rPr>
          <w:rFonts w:ascii="Times New Roman" w:hAnsi="Times New Roman"/>
          <w:sz w:val="28"/>
          <w:szCs w:val="28"/>
        </w:rPr>
        <w:t xml:space="preserve"> </w:t>
      </w:r>
      <w:r>
        <w:rPr>
          <w:rFonts w:ascii="Times New Roman" w:hAnsi="Times New Roman"/>
          <w:b/>
          <w:sz w:val="28"/>
          <w:szCs w:val="28"/>
        </w:rPr>
        <w:t xml:space="preserve">РФ</w:t>
      </w:r>
      <w:r>
        <w:rPr>
          <w:rFonts w:ascii="Times New Roman" w:hAnsi="Times New Roman"/>
          <w:sz w:val="28"/>
          <w:szCs w:val="28"/>
        </w:rPr>
        <w:t xml:space="preserve">       – Уголовный кодекс Российской Федерации</w:t>
      </w:r>
      <w:r>
        <w:rPr>
          <w:rFonts w:ascii="Times New Roman" w:hAnsi="Times New Roman"/>
          <w:sz w:val="28"/>
          <w:szCs w:val="28"/>
        </w:rPr>
      </w:r>
      <w:r>
        <w:rPr>
          <w:rFonts w:ascii="Times New Roman" w:hAnsi="Times New Roman"/>
          <w:sz w:val="28"/>
          <w:szCs w:val="28"/>
        </w:rPr>
      </w:r>
    </w:p>
    <w:p>
      <w:pPr>
        <w:jc w:val="both"/>
        <w:spacing w:after="0" w:line="240" w:lineRule="auto"/>
        <w:rPr>
          <w:rFonts w:ascii="Times New Roman" w:hAnsi="Times New Roman"/>
          <w:sz w:val="28"/>
          <w:szCs w:val="28"/>
        </w:rPr>
      </w:pPr>
      <w:r>
        <w:rPr>
          <w:rFonts w:ascii="Times New Roman" w:hAnsi="Times New Roman"/>
          <w:b/>
          <w:sz w:val="28"/>
          <w:szCs w:val="28"/>
        </w:rPr>
        <w:t xml:space="preserve">УПК РФ   </w:t>
      </w:r>
      <w:r>
        <w:rPr>
          <w:rFonts w:ascii="Times New Roman" w:hAnsi="Times New Roman"/>
          <w:sz w:val="28"/>
          <w:szCs w:val="28"/>
        </w:rPr>
        <w:t xml:space="preserve"> – Уголовно-процессуальный кодекс Российской Федерации</w:t>
      </w:r>
      <w:r>
        <w:rPr>
          <w:rFonts w:ascii="Times New Roman" w:hAnsi="Times New Roman"/>
          <w:sz w:val="28"/>
          <w:szCs w:val="28"/>
        </w:rPr>
      </w:r>
      <w:r>
        <w:rPr>
          <w:rFonts w:ascii="Times New Roman" w:hAnsi="Times New Roman"/>
          <w:sz w:val="28"/>
          <w:szCs w:val="28"/>
        </w:rPr>
      </w:r>
    </w:p>
    <w:p>
      <w:pPr>
        <w:jc w:val="both"/>
        <w:spacing w:after="0" w:line="240" w:lineRule="auto"/>
        <w:rPr>
          <w:rFonts w:ascii="Times New Roman" w:hAnsi="Times New Roman"/>
          <w:sz w:val="28"/>
          <w:szCs w:val="28"/>
        </w:rPr>
      </w:pPr>
      <w:r>
        <w:rPr>
          <w:rFonts w:ascii="Times New Roman" w:hAnsi="Times New Roman"/>
          <w:b/>
          <w:sz w:val="28"/>
          <w:szCs w:val="28"/>
        </w:rPr>
        <w:t xml:space="preserve">УИК</w:t>
      </w:r>
      <w:r>
        <w:rPr>
          <w:rFonts w:ascii="Times New Roman" w:hAnsi="Times New Roman"/>
          <w:sz w:val="28"/>
          <w:szCs w:val="28"/>
        </w:rPr>
        <w:t xml:space="preserve"> </w:t>
      </w:r>
      <w:r>
        <w:rPr>
          <w:rFonts w:ascii="Times New Roman" w:hAnsi="Times New Roman"/>
          <w:b/>
          <w:sz w:val="28"/>
          <w:szCs w:val="28"/>
        </w:rPr>
        <w:t xml:space="preserve">РФ</w:t>
      </w:r>
      <w:r>
        <w:rPr>
          <w:rFonts w:ascii="Times New Roman" w:hAnsi="Times New Roman"/>
          <w:sz w:val="28"/>
          <w:szCs w:val="28"/>
        </w:rPr>
        <w:t xml:space="preserve">    – Уголовно-исполнительный кодекс Российской Федерации</w:t>
      </w:r>
      <w:r>
        <w:rPr>
          <w:rFonts w:ascii="Times New Roman" w:hAnsi="Times New Roman"/>
          <w:sz w:val="28"/>
          <w:szCs w:val="28"/>
        </w:rPr>
      </w:r>
      <w:r>
        <w:rPr>
          <w:rFonts w:ascii="Times New Roman" w:hAnsi="Times New Roman"/>
          <w:sz w:val="28"/>
          <w:szCs w:val="28"/>
        </w:rPr>
      </w:r>
    </w:p>
    <w:p>
      <w:pPr>
        <w:jc w:val="both"/>
        <w:spacing w:after="0" w:line="240" w:lineRule="auto"/>
        <w:rPr>
          <w:rFonts w:ascii="Times New Roman" w:hAnsi="Times New Roman"/>
          <w:sz w:val="28"/>
          <w:szCs w:val="28"/>
        </w:rPr>
      </w:pPr>
      <w:r>
        <w:rPr>
          <w:rFonts w:ascii="Times New Roman" w:hAnsi="Times New Roman"/>
          <w:b/>
          <w:sz w:val="28"/>
          <w:szCs w:val="28"/>
        </w:rPr>
        <w:t xml:space="preserve">УИС</w:t>
      </w:r>
      <w:r>
        <w:rPr>
          <w:rFonts w:ascii="Times New Roman" w:hAnsi="Times New Roman"/>
          <w:sz w:val="28"/>
          <w:szCs w:val="28"/>
        </w:rPr>
        <w:t xml:space="preserve">          – уголовно-исполнительная система</w:t>
      </w:r>
      <w:r>
        <w:rPr>
          <w:rFonts w:ascii="Times New Roman" w:hAnsi="Times New Roman"/>
          <w:sz w:val="28"/>
          <w:szCs w:val="28"/>
        </w:rPr>
      </w:r>
      <w:r>
        <w:rPr>
          <w:rFonts w:ascii="Times New Roman" w:hAnsi="Times New Roman"/>
          <w:sz w:val="28"/>
          <w:szCs w:val="28"/>
        </w:rPr>
      </w:r>
    </w:p>
    <w:p>
      <w:pPr>
        <w:jc w:val="both"/>
        <w:spacing w:after="0" w:line="240" w:lineRule="auto"/>
        <w:rPr>
          <w:rFonts w:ascii="Times New Roman" w:hAnsi="Times New Roman"/>
          <w:sz w:val="28"/>
          <w:szCs w:val="28"/>
        </w:rPr>
      </w:pPr>
      <w:r>
        <w:rPr>
          <w:rFonts w:ascii="Times New Roman" w:hAnsi="Times New Roman"/>
          <w:b/>
          <w:sz w:val="28"/>
          <w:szCs w:val="28"/>
        </w:rPr>
        <w:t xml:space="preserve">ФКУ</w:t>
      </w:r>
      <w:r>
        <w:rPr>
          <w:rFonts w:ascii="Times New Roman" w:hAnsi="Times New Roman"/>
          <w:sz w:val="28"/>
          <w:szCs w:val="28"/>
        </w:rPr>
        <w:t xml:space="preserve">          – федеральное казенное учреждение</w:t>
      </w:r>
      <w:r>
        <w:rPr>
          <w:rFonts w:ascii="Times New Roman" w:hAnsi="Times New Roman"/>
          <w:sz w:val="28"/>
          <w:szCs w:val="28"/>
        </w:rPr>
      </w:r>
      <w:r>
        <w:rPr>
          <w:rFonts w:ascii="Times New Roman" w:hAnsi="Times New Roman"/>
          <w:sz w:val="28"/>
          <w:szCs w:val="28"/>
        </w:rPr>
      </w:r>
    </w:p>
    <w:p>
      <w:pPr>
        <w:jc w:val="both"/>
        <w:spacing w:after="0" w:line="240" w:lineRule="auto"/>
        <w:rPr>
          <w:rFonts w:ascii="Times New Roman" w:hAnsi="Times New Roman"/>
          <w:sz w:val="28"/>
          <w:szCs w:val="28"/>
        </w:rPr>
      </w:pPr>
      <w:r>
        <w:rPr>
          <w:rFonts w:ascii="Times New Roman" w:hAnsi="Times New Roman"/>
          <w:b/>
          <w:sz w:val="28"/>
          <w:szCs w:val="28"/>
        </w:rPr>
        <w:t xml:space="preserve">ФСИН      </w:t>
      </w:r>
      <w:r>
        <w:rPr>
          <w:rFonts w:ascii="Times New Roman" w:hAnsi="Times New Roman"/>
          <w:sz w:val="28"/>
          <w:szCs w:val="28"/>
        </w:rPr>
        <w:t xml:space="preserve"> – Федеральная служба исполнения наказаний</w:t>
      </w:r>
      <w:r>
        <w:rPr>
          <w:rFonts w:ascii="Times New Roman" w:hAnsi="Times New Roman"/>
          <w:sz w:val="28"/>
          <w:szCs w:val="28"/>
        </w:rPr>
      </w:r>
      <w:r>
        <w:rPr>
          <w:rFonts w:ascii="Times New Roman" w:hAnsi="Times New Roman"/>
          <w:sz w:val="28"/>
          <w:szCs w:val="28"/>
        </w:rPr>
      </w:r>
    </w:p>
    <w:p>
      <w:pPr>
        <w:jc w:val="both"/>
        <w:spacing w:after="0" w:line="240" w:lineRule="auto"/>
        <w:rPr>
          <w:rFonts w:ascii="Times New Roman" w:hAnsi="Times New Roman"/>
          <w:sz w:val="28"/>
          <w:szCs w:val="28"/>
        </w:rPr>
      </w:pPr>
      <w:r>
        <w:rPr>
          <w:rFonts w:ascii="Times New Roman" w:hAnsi="Times New Roman"/>
          <w:b/>
          <w:sz w:val="28"/>
          <w:szCs w:val="28"/>
        </w:rPr>
        <w:t xml:space="preserve">ФАП         </w:t>
      </w:r>
      <w:r>
        <w:rPr>
          <w:rFonts w:ascii="Times New Roman" w:hAnsi="Times New Roman"/>
          <w:sz w:val="28"/>
          <w:szCs w:val="28"/>
        </w:rPr>
        <w:t xml:space="preserve"> – фельдшерско-акушерский пункт</w:t>
      </w:r>
      <w:r>
        <w:rPr>
          <w:rFonts w:ascii="Times New Roman" w:hAnsi="Times New Roman"/>
          <w:sz w:val="28"/>
          <w:szCs w:val="28"/>
        </w:rPr>
      </w:r>
      <w:r>
        <w:rPr>
          <w:rFonts w:ascii="Times New Roman" w:hAnsi="Times New Roman"/>
          <w:sz w:val="28"/>
          <w:szCs w:val="28"/>
        </w:rPr>
      </w:r>
    </w:p>
    <w:p>
      <w:pPr>
        <w:jc w:val="both"/>
        <w:spacing w:after="0" w:line="240" w:lineRule="auto"/>
        <w:rPr>
          <w:rFonts w:ascii="Times New Roman" w:hAnsi="Times New Roman"/>
          <w:sz w:val="28"/>
          <w:szCs w:val="28"/>
        </w:rPr>
      </w:pPr>
      <w:r>
        <w:rPr>
          <w:rFonts w:ascii="Times New Roman" w:hAnsi="Times New Roman"/>
          <w:b/>
          <w:sz w:val="28"/>
          <w:szCs w:val="28"/>
        </w:rPr>
        <w:t xml:space="preserve">ФКУЗ</w:t>
      </w:r>
      <w:r>
        <w:rPr>
          <w:rFonts w:ascii="Times New Roman" w:hAnsi="Times New Roman"/>
          <w:sz w:val="28"/>
          <w:szCs w:val="28"/>
        </w:rPr>
        <w:t xml:space="preserve">        – федеральное казенное учреждение здравоохранения </w:t>
      </w:r>
      <w:r>
        <w:rPr>
          <w:rFonts w:ascii="Times New Roman" w:hAnsi="Times New Roman"/>
          <w:sz w:val="28"/>
          <w:szCs w:val="28"/>
        </w:rPr>
      </w:r>
      <w:r>
        <w:rPr>
          <w:rFonts w:ascii="Times New Roman" w:hAnsi="Times New Roman"/>
          <w:sz w:val="28"/>
          <w:szCs w:val="28"/>
        </w:rPr>
      </w:r>
    </w:p>
    <w:p>
      <w:pPr>
        <w:jc w:val="both"/>
        <w:spacing w:after="0" w:line="240" w:lineRule="auto"/>
        <w:rPr>
          <w:rFonts w:ascii="Times New Roman" w:hAnsi="Times New Roman"/>
          <w:sz w:val="28"/>
          <w:szCs w:val="28"/>
        </w:rPr>
      </w:pPr>
      <w:r>
        <w:rPr>
          <w:rFonts w:ascii="Times New Roman" w:hAnsi="Times New Roman"/>
          <w:b/>
          <w:sz w:val="28"/>
          <w:szCs w:val="28"/>
        </w:rPr>
        <w:t xml:space="preserve">ЦВСИГ</w:t>
      </w:r>
      <w:r>
        <w:rPr>
          <w:rFonts w:ascii="Times New Roman" w:hAnsi="Times New Roman"/>
          <w:sz w:val="28"/>
          <w:szCs w:val="28"/>
        </w:rPr>
        <w:t xml:space="preserve">     – центр временного содержания иностранных граждан</w:t>
      </w:r>
      <w:r>
        <w:rPr>
          <w:rFonts w:ascii="Times New Roman" w:hAnsi="Times New Roman"/>
          <w:sz w:val="28"/>
          <w:szCs w:val="28"/>
        </w:rPr>
      </w:r>
      <w:r>
        <w:rPr>
          <w:rFonts w:ascii="Times New Roman" w:hAnsi="Times New Roman"/>
          <w:sz w:val="28"/>
          <w:szCs w:val="28"/>
        </w:rPr>
      </w:r>
    </w:p>
    <w:p>
      <w:pPr>
        <w:spacing w:after="0" w:line="240" w:lineRule="auto"/>
        <w:rPr>
          <w:rFonts w:ascii="Times New Roman" w:hAnsi="Times New Roman"/>
          <w:sz w:val="28"/>
          <w:szCs w:val="28"/>
        </w:rPr>
      </w:pPr>
      <w:r>
        <w:rPr>
          <w:rFonts w:ascii="Times New Roman" w:hAnsi="Times New Roman"/>
          <w:b/>
          <w:sz w:val="28"/>
          <w:szCs w:val="28"/>
        </w:rPr>
        <w:t xml:space="preserve">ЦФО         </w:t>
      </w:r>
      <w:r>
        <w:rPr>
          <w:rFonts w:ascii="Times New Roman" w:hAnsi="Times New Roman"/>
          <w:sz w:val="28"/>
          <w:szCs w:val="28"/>
        </w:rPr>
        <w:t xml:space="preserve">  – Центральный федеральный округ</w:t>
      </w:r>
      <w:r>
        <w:rPr>
          <w:rFonts w:ascii="Times New Roman" w:hAnsi="Times New Roman"/>
          <w:sz w:val="28"/>
          <w:szCs w:val="28"/>
        </w:rPr>
      </w:r>
      <w:r>
        <w:rPr>
          <w:rFonts w:ascii="Times New Roman" w:hAnsi="Times New Roman"/>
          <w:sz w:val="28"/>
          <w:szCs w:val="28"/>
        </w:rPr>
      </w:r>
    </w:p>
    <w:p>
      <w:pPr>
        <w:spacing w:after="0" w:line="240" w:lineRule="auto"/>
        <w:rPr>
          <w:rFonts w:ascii="Times New Roman" w:hAnsi="Times New Roman"/>
          <w:color w:val="ff0000"/>
          <w:sz w:val="28"/>
          <w:szCs w:val="28"/>
        </w:rPr>
      </w:pPr>
      <w:r>
        <w:rPr>
          <w:rFonts w:ascii="Times New Roman" w:hAnsi="Times New Roman"/>
          <w:color w:val="ff0000"/>
          <w:sz w:val="28"/>
          <w:szCs w:val="28"/>
        </w:rPr>
      </w:r>
      <w:r>
        <w:rPr>
          <w:rFonts w:ascii="Times New Roman" w:hAnsi="Times New Roman"/>
          <w:color w:val="ff0000"/>
          <w:sz w:val="28"/>
          <w:szCs w:val="28"/>
        </w:rPr>
      </w:r>
      <w:r>
        <w:rPr>
          <w:rFonts w:ascii="Times New Roman" w:hAnsi="Times New Roman"/>
          <w:color w:val="ff0000"/>
          <w:sz w:val="28"/>
          <w:szCs w:val="28"/>
        </w:rPr>
      </w:r>
    </w:p>
    <w:p>
      <w:pPr>
        <w:spacing w:after="0" w:line="240" w:lineRule="auto"/>
        <w:rPr>
          <w:rFonts w:ascii="Times New Roman" w:hAnsi="Times New Roman"/>
          <w:b/>
          <w:color w:val="ff0000"/>
          <w:sz w:val="28"/>
          <w:szCs w:val="28"/>
        </w:rPr>
      </w:pPr>
      <w:r>
        <w:rPr>
          <w:rFonts w:ascii="Times New Roman" w:hAnsi="Times New Roman"/>
          <w:b/>
          <w:color w:val="ff0000"/>
          <w:sz w:val="28"/>
          <w:szCs w:val="28"/>
        </w:rPr>
      </w:r>
      <w:r>
        <w:rPr>
          <w:rFonts w:ascii="Times New Roman" w:hAnsi="Times New Roman"/>
          <w:b/>
          <w:color w:val="ff0000"/>
          <w:sz w:val="28"/>
          <w:szCs w:val="28"/>
        </w:rPr>
      </w:r>
      <w:r>
        <w:rPr>
          <w:rFonts w:ascii="Times New Roman" w:hAnsi="Times New Roman"/>
          <w:b/>
          <w:color w:val="ff0000"/>
          <w:sz w:val="28"/>
          <w:szCs w:val="28"/>
        </w:rPr>
      </w:r>
    </w:p>
    <w:p>
      <w:pPr>
        <w:ind w:firstLine="709"/>
        <w:jc w:val="both"/>
        <w:spacing w:after="0"/>
        <w:rPr>
          <w:rFonts w:ascii="Times New Roman" w:hAnsi="Times New Roman"/>
          <w:color w:val="ff0000"/>
          <w:sz w:val="28"/>
          <w:szCs w:val="28"/>
        </w:rPr>
      </w:pPr>
      <w:r>
        <w:rPr>
          <w:rFonts w:ascii="Times New Roman" w:hAnsi="Times New Roman"/>
          <w:color w:val="ff0000"/>
          <w:sz w:val="28"/>
          <w:szCs w:val="28"/>
        </w:rPr>
      </w:r>
      <w:r>
        <w:rPr>
          <w:rFonts w:ascii="Times New Roman" w:hAnsi="Times New Roman"/>
          <w:color w:val="ff0000"/>
          <w:sz w:val="28"/>
          <w:szCs w:val="28"/>
        </w:rPr>
      </w:r>
      <w:r>
        <w:rPr>
          <w:rFonts w:ascii="Times New Roman" w:hAnsi="Times New Roman"/>
          <w:color w:val="ff0000"/>
          <w:sz w:val="28"/>
          <w:szCs w:val="28"/>
        </w:rPr>
      </w:r>
    </w:p>
    <w:p>
      <w:pPr>
        <w:ind w:firstLine="709"/>
        <w:jc w:val="both"/>
        <w:spacing w:after="0"/>
        <w:rPr>
          <w:rFonts w:ascii="Times New Roman" w:hAnsi="Times New Roman"/>
          <w:color w:val="ff0000"/>
          <w:sz w:val="28"/>
          <w:szCs w:val="28"/>
        </w:rPr>
      </w:pPr>
      <w:r>
        <w:rPr>
          <w:rFonts w:ascii="Times New Roman" w:hAnsi="Times New Roman"/>
          <w:color w:val="ff0000"/>
          <w:sz w:val="28"/>
          <w:szCs w:val="28"/>
        </w:rPr>
      </w:r>
      <w:r>
        <w:rPr>
          <w:rFonts w:ascii="Times New Roman" w:hAnsi="Times New Roman"/>
          <w:color w:val="ff0000"/>
          <w:sz w:val="28"/>
          <w:szCs w:val="28"/>
        </w:rPr>
      </w:r>
      <w:r>
        <w:rPr>
          <w:rFonts w:ascii="Times New Roman" w:hAnsi="Times New Roman"/>
          <w:color w:val="ff0000"/>
          <w:sz w:val="28"/>
          <w:szCs w:val="28"/>
        </w:rPr>
      </w:r>
    </w:p>
    <w:p>
      <w:pPr>
        <w:ind w:firstLine="709"/>
        <w:jc w:val="both"/>
        <w:spacing w:after="0"/>
        <w:rPr>
          <w:rFonts w:ascii="Times New Roman" w:hAnsi="Times New Roman"/>
          <w:color w:val="ff0000"/>
          <w:sz w:val="28"/>
          <w:szCs w:val="28"/>
        </w:rPr>
      </w:pPr>
      <w:r>
        <w:rPr>
          <w:rFonts w:ascii="Times New Roman" w:hAnsi="Times New Roman"/>
          <w:color w:val="ff0000"/>
          <w:sz w:val="28"/>
          <w:szCs w:val="28"/>
        </w:rPr>
      </w:r>
      <w:r>
        <w:rPr>
          <w:rFonts w:ascii="Times New Roman" w:hAnsi="Times New Roman"/>
          <w:color w:val="ff0000"/>
          <w:sz w:val="28"/>
          <w:szCs w:val="28"/>
        </w:rPr>
      </w:r>
      <w:r>
        <w:rPr>
          <w:rFonts w:ascii="Times New Roman" w:hAnsi="Times New Roman"/>
          <w:color w:val="ff0000"/>
          <w:sz w:val="28"/>
          <w:szCs w:val="28"/>
        </w:rPr>
      </w:r>
    </w:p>
    <w:p>
      <w:pPr>
        <w:ind w:firstLine="709"/>
        <w:jc w:val="both"/>
        <w:spacing w:after="0"/>
        <w:rPr>
          <w:rFonts w:ascii="Times New Roman" w:hAnsi="Times New Roman"/>
          <w:color w:val="ff0000"/>
          <w:sz w:val="28"/>
          <w:szCs w:val="28"/>
        </w:rPr>
      </w:pPr>
      <w:r>
        <w:rPr>
          <w:rFonts w:ascii="Times New Roman" w:hAnsi="Times New Roman"/>
          <w:color w:val="ff0000"/>
          <w:sz w:val="28"/>
          <w:szCs w:val="28"/>
        </w:rPr>
      </w:r>
      <w:r>
        <w:rPr>
          <w:rFonts w:ascii="Times New Roman" w:hAnsi="Times New Roman"/>
          <w:color w:val="ff0000"/>
          <w:sz w:val="28"/>
          <w:szCs w:val="28"/>
        </w:rPr>
      </w:r>
      <w:r>
        <w:rPr>
          <w:rFonts w:ascii="Times New Roman" w:hAnsi="Times New Roman"/>
          <w:color w:val="ff0000"/>
          <w:sz w:val="28"/>
          <w:szCs w:val="28"/>
        </w:rPr>
      </w:r>
    </w:p>
    <w:p>
      <w:pPr>
        <w:ind w:firstLine="709"/>
        <w:jc w:val="both"/>
        <w:spacing w:after="0"/>
        <w:rPr>
          <w:rFonts w:ascii="Times New Roman" w:hAnsi="Times New Roman"/>
          <w:color w:val="ff0000"/>
          <w:sz w:val="28"/>
          <w:szCs w:val="28"/>
        </w:rPr>
      </w:pPr>
      <w:r>
        <w:rPr>
          <w:rFonts w:ascii="Times New Roman" w:hAnsi="Times New Roman"/>
          <w:color w:val="ff0000"/>
          <w:sz w:val="28"/>
          <w:szCs w:val="28"/>
        </w:rPr>
      </w:r>
      <w:r>
        <w:rPr>
          <w:rFonts w:ascii="Times New Roman" w:hAnsi="Times New Roman"/>
          <w:color w:val="ff0000"/>
          <w:sz w:val="28"/>
          <w:szCs w:val="28"/>
        </w:rPr>
      </w:r>
      <w:r>
        <w:rPr>
          <w:rFonts w:ascii="Times New Roman" w:hAnsi="Times New Roman"/>
          <w:color w:val="ff0000"/>
          <w:sz w:val="28"/>
          <w:szCs w:val="28"/>
        </w:rPr>
      </w:r>
    </w:p>
    <w:p>
      <w:pPr>
        <w:ind w:firstLine="709"/>
        <w:jc w:val="both"/>
        <w:spacing w:after="0"/>
        <w:rPr>
          <w:rFonts w:ascii="Times New Roman" w:hAnsi="Times New Roman"/>
          <w:color w:val="ff0000"/>
          <w:sz w:val="28"/>
          <w:szCs w:val="28"/>
        </w:rPr>
      </w:pPr>
      <w:r>
        <w:rPr>
          <w:rFonts w:ascii="Times New Roman" w:hAnsi="Times New Roman"/>
          <w:color w:val="ff0000"/>
          <w:sz w:val="28"/>
          <w:szCs w:val="28"/>
        </w:rPr>
      </w:r>
      <w:r>
        <w:rPr>
          <w:rFonts w:ascii="Times New Roman" w:hAnsi="Times New Roman"/>
          <w:color w:val="ff0000"/>
          <w:sz w:val="28"/>
          <w:szCs w:val="28"/>
        </w:rPr>
      </w:r>
      <w:r>
        <w:rPr>
          <w:rFonts w:ascii="Times New Roman" w:hAnsi="Times New Roman"/>
          <w:color w:val="ff0000"/>
          <w:sz w:val="28"/>
          <w:szCs w:val="28"/>
        </w:rPr>
      </w:r>
    </w:p>
    <w:p>
      <w:pPr>
        <w:ind w:firstLine="709"/>
        <w:jc w:val="both"/>
        <w:spacing w:after="0"/>
        <w:rPr>
          <w:rFonts w:ascii="Times New Roman" w:hAnsi="Times New Roman"/>
          <w:color w:val="ff0000"/>
          <w:sz w:val="28"/>
          <w:szCs w:val="28"/>
        </w:rPr>
      </w:pPr>
      <w:r>
        <w:rPr>
          <w:rFonts w:ascii="Times New Roman" w:hAnsi="Times New Roman"/>
          <w:color w:val="ff0000"/>
          <w:sz w:val="28"/>
          <w:szCs w:val="28"/>
        </w:rPr>
      </w:r>
      <w:r>
        <w:rPr>
          <w:rFonts w:ascii="Times New Roman" w:hAnsi="Times New Roman"/>
          <w:color w:val="ff0000"/>
          <w:sz w:val="28"/>
          <w:szCs w:val="28"/>
        </w:rPr>
      </w:r>
      <w:r>
        <w:rPr>
          <w:rFonts w:ascii="Times New Roman" w:hAnsi="Times New Roman"/>
          <w:color w:val="ff0000"/>
          <w:sz w:val="28"/>
          <w:szCs w:val="28"/>
        </w:rPr>
      </w:r>
    </w:p>
    <w:p>
      <w:pPr>
        <w:ind w:firstLine="709"/>
        <w:jc w:val="both"/>
        <w:spacing w:after="0"/>
        <w:rPr>
          <w:rFonts w:ascii="Times New Roman" w:hAnsi="Times New Roman"/>
          <w:color w:val="ff0000"/>
          <w:sz w:val="28"/>
          <w:szCs w:val="28"/>
        </w:rPr>
      </w:pPr>
      <w:r>
        <w:rPr>
          <w:rFonts w:ascii="Times New Roman" w:hAnsi="Times New Roman"/>
          <w:color w:val="ff0000"/>
          <w:sz w:val="28"/>
          <w:szCs w:val="28"/>
        </w:rPr>
      </w:r>
      <w:r>
        <w:rPr>
          <w:rFonts w:ascii="Times New Roman" w:hAnsi="Times New Roman"/>
          <w:color w:val="ff0000"/>
          <w:sz w:val="28"/>
          <w:szCs w:val="28"/>
        </w:rPr>
      </w:r>
      <w:r>
        <w:rPr>
          <w:rFonts w:ascii="Times New Roman" w:hAnsi="Times New Roman"/>
          <w:color w:val="ff0000"/>
          <w:sz w:val="28"/>
          <w:szCs w:val="28"/>
        </w:rPr>
      </w:r>
    </w:p>
    <w:p>
      <w:pPr>
        <w:ind w:firstLine="709"/>
        <w:jc w:val="both"/>
        <w:spacing w:after="0"/>
        <w:rPr>
          <w:rFonts w:ascii="Times New Roman" w:hAnsi="Times New Roman"/>
          <w:color w:val="ff0000"/>
          <w:sz w:val="28"/>
          <w:szCs w:val="28"/>
        </w:rPr>
      </w:pPr>
      <w:r>
        <w:rPr>
          <w:rFonts w:ascii="Times New Roman" w:hAnsi="Times New Roman"/>
          <w:color w:val="ff0000"/>
          <w:sz w:val="28"/>
          <w:szCs w:val="28"/>
        </w:rPr>
      </w:r>
      <w:r>
        <w:rPr>
          <w:rFonts w:ascii="Times New Roman" w:hAnsi="Times New Roman"/>
          <w:color w:val="ff0000"/>
          <w:sz w:val="28"/>
          <w:szCs w:val="28"/>
        </w:rPr>
      </w:r>
      <w:r>
        <w:rPr>
          <w:rFonts w:ascii="Times New Roman" w:hAnsi="Times New Roman"/>
          <w:color w:val="ff0000"/>
          <w:sz w:val="28"/>
          <w:szCs w:val="28"/>
        </w:rPr>
      </w:r>
    </w:p>
    <w:p>
      <w:pPr>
        <w:ind w:firstLine="709"/>
        <w:jc w:val="both"/>
        <w:spacing w:after="0"/>
        <w:rPr>
          <w:rFonts w:ascii="Times New Roman" w:hAnsi="Times New Roman"/>
          <w:color w:val="ff0000"/>
          <w:sz w:val="28"/>
          <w:szCs w:val="28"/>
        </w:rPr>
      </w:pPr>
      <w:r>
        <w:rPr>
          <w:rFonts w:ascii="Times New Roman" w:hAnsi="Times New Roman"/>
          <w:color w:val="ff0000"/>
          <w:sz w:val="28"/>
          <w:szCs w:val="28"/>
        </w:rPr>
      </w:r>
      <w:r>
        <w:rPr>
          <w:rFonts w:ascii="Times New Roman" w:hAnsi="Times New Roman"/>
          <w:color w:val="ff0000"/>
          <w:sz w:val="28"/>
          <w:szCs w:val="28"/>
        </w:rPr>
      </w:r>
      <w:r>
        <w:rPr>
          <w:rFonts w:ascii="Times New Roman" w:hAnsi="Times New Roman"/>
          <w:color w:val="ff0000"/>
          <w:sz w:val="28"/>
          <w:szCs w:val="28"/>
        </w:rPr>
      </w:r>
    </w:p>
    <w:p>
      <w:pPr>
        <w:ind w:firstLine="709"/>
        <w:jc w:val="both"/>
        <w:spacing w:after="0"/>
        <w:rPr>
          <w:rFonts w:ascii="Times New Roman" w:hAnsi="Times New Roman"/>
          <w:color w:val="ff0000"/>
          <w:sz w:val="28"/>
          <w:szCs w:val="28"/>
        </w:rPr>
      </w:pPr>
      <w:r>
        <w:rPr>
          <w:rFonts w:ascii="Times New Roman" w:hAnsi="Times New Roman"/>
          <w:color w:val="ff0000"/>
          <w:sz w:val="28"/>
          <w:szCs w:val="28"/>
        </w:rPr>
      </w:r>
      <w:r>
        <w:rPr>
          <w:rFonts w:ascii="Times New Roman" w:hAnsi="Times New Roman"/>
          <w:color w:val="ff0000"/>
          <w:sz w:val="28"/>
          <w:szCs w:val="28"/>
        </w:rPr>
      </w:r>
      <w:r>
        <w:rPr>
          <w:rFonts w:ascii="Times New Roman" w:hAnsi="Times New Roman"/>
          <w:color w:val="ff0000"/>
          <w:sz w:val="28"/>
          <w:szCs w:val="28"/>
        </w:rPr>
      </w:r>
    </w:p>
    <w:p>
      <w:pPr>
        <w:ind w:firstLine="709"/>
        <w:jc w:val="both"/>
        <w:spacing w:after="0"/>
        <w:rPr>
          <w:rFonts w:ascii="Times New Roman" w:hAnsi="Times New Roman"/>
          <w:color w:val="ff0000"/>
          <w:sz w:val="28"/>
          <w:szCs w:val="28"/>
        </w:rPr>
      </w:pPr>
      <w:r>
        <w:rPr>
          <w:rFonts w:ascii="Times New Roman" w:hAnsi="Times New Roman"/>
          <w:color w:val="ff0000"/>
          <w:sz w:val="28"/>
          <w:szCs w:val="28"/>
        </w:rPr>
      </w:r>
      <w:r>
        <w:rPr>
          <w:rFonts w:ascii="Times New Roman" w:hAnsi="Times New Roman"/>
          <w:color w:val="ff0000"/>
          <w:sz w:val="28"/>
          <w:szCs w:val="28"/>
        </w:rPr>
      </w:r>
      <w:r>
        <w:rPr>
          <w:rFonts w:ascii="Times New Roman" w:hAnsi="Times New Roman"/>
          <w:color w:val="ff0000"/>
          <w:sz w:val="28"/>
          <w:szCs w:val="28"/>
        </w:rPr>
      </w:r>
    </w:p>
    <w:p>
      <w:pPr>
        <w:jc w:val="both"/>
        <w:spacing w:after="0"/>
        <w:rPr>
          <w:rFonts w:ascii="Times New Roman" w:hAnsi="Times New Roman"/>
          <w:color w:val="ff0000"/>
          <w:sz w:val="28"/>
          <w:szCs w:val="28"/>
        </w:rPr>
      </w:pPr>
      <w:r>
        <w:rPr>
          <w:rFonts w:ascii="Times New Roman" w:hAnsi="Times New Roman"/>
          <w:color w:val="ff0000"/>
          <w:sz w:val="28"/>
          <w:szCs w:val="28"/>
        </w:rPr>
      </w:r>
      <w:r>
        <w:rPr>
          <w:rFonts w:ascii="Times New Roman" w:hAnsi="Times New Roman"/>
          <w:color w:val="ff0000"/>
          <w:sz w:val="28"/>
          <w:szCs w:val="28"/>
        </w:rPr>
      </w:r>
      <w:r>
        <w:rPr>
          <w:rFonts w:ascii="Times New Roman" w:hAnsi="Times New Roman"/>
          <w:color w:val="ff0000"/>
          <w:sz w:val="28"/>
          <w:szCs w:val="28"/>
        </w:rPr>
      </w:r>
    </w:p>
    <w:p>
      <w:pPr>
        <w:jc w:val="both"/>
        <w:spacing w:after="0"/>
        <w:rPr>
          <w:rFonts w:ascii="Times New Roman" w:hAnsi="Times New Roman"/>
          <w:color w:val="ff0000"/>
          <w:sz w:val="28"/>
          <w:szCs w:val="28"/>
        </w:rPr>
      </w:pPr>
      <w:r>
        <w:rPr>
          <w:rFonts w:ascii="Times New Roman" w:hAnsi="Times New Roman"/>
          <w:color w:val="ff0000"/>
          <w:sz w:val="28"/>
          <w:szCs w:val="28"/>
        </w:rPr>
      </w:r>
      <w:r>
        <w:rPr>
          <w:rFonts w:ascii="Times New Roman" w:hAnsi="Times New Roman"/>
          <w:color w:val="ff0000"/>
          <w:sz w:val="28"/>
          <w:szCs w:val="28"/>
        </w:rPr>
      </w:r>
      <w:r>
        <w:rPr>
          <w:rFonts w:ascii="Times New Roman" w:hAnsi="Times New Roman"/>
          <w:color w:val="ff0000"/>
          <w:sz w:val="28"/>
          <w:szCs w:val="28"/>
        </w:rPr>
      </w:r>
    </w:p>
    <w:p>
      <w:pPr>
        <w:jc w:val="both"/>
        <w:spacing w:after="0"/>
        <w:rPr>
          <w:rFonts w:ascii="Times New Roman" w:hAnsi="Times New Roman"/>
          <w:color w:val="ff0000"/>
          <w:sz w:val="28"/>
          <w:szCs w:val="28"/>
        </w:rPr>
      </w:pPr>
      <w:r>
        <w:rPr>
          <w:rFonts w:ascii="Times New Roman" w:hAnsi="Times New Roman"/>
          <w:color w:val="ff0000"/>
          <w:sz w:val="28"/>
          <w:szCs w:val="28"/>
        </w:rPr>
      </w:r>
      <w:r>
        <w:rPr>
          <w:rFonts w:ascii="Times New Roman" w:hAnsi="Times New Roman"/>
          <w:color w:val="ff0000"/>
          <w:sz w:val="28"/>
          <w:szCs w:val="28"/>
        </w:rPr>
      </w:r>
      <w:r>
        <w:rPr>
          <w:rFonts w:ascii="Times New Roman" w:hAnsi="Times New Roman"/>
          <w:color w:val="ff0000"/>
          <w:sz w:val="28"/>
          <w:szCs w:val="28"/>
        </w:rPr>
      </w:r>
    </w:p>
    <w:p>
      <w:pPr>
        <w:jc w:val="both"/>
        <w:spacing w:after="0"/>
        <w:rPr>
          <w:rFonts w:ascii="Times New Roman" w:hAnsi="Times New Roman"/>
          <w:color w:val="ff0000"/>
          <w:sz w:val="28"/>
          <w:szCs w:val="28"/>
        </w:rPr>
      </w:pPr>
      <w:r>
        <w:rPr>
          <w:rFonts w:ascii="Times New Roman" w:hAnsi="Times New Roman"/>
          <w:color w:val="ff0000"/>
          <w:sz w:val="28"/>
          <w:szCs w:val="28"/>
        </w:rPr>
      </w:r>
      <w:r>
        <w:rPr>
          <w:rFonts w:ascii="Times New Roman" w:hAnsi="Times New Roman"/>
          <w:color w:val="ff0000"/>
          <w:sz w:val="28"/>
          <w:szCs w:val="28"/>
        </w:rPr>
      </w:r>
      <w:r>
        <w:rPr>
          <w:rFonts w:ascii="Times New Roman" w:hAnsi="Times New Roman"/>
          <w:color w:val="ff0000"/>
          <w:sz w:val="28"/>
          <w:szCs w:val="28"/>
        </w:rPr>
      </w:r>
    </w:p>
    <w:p>
      <w:pPr>
        <w:jc w:val="both"/>
        <w:spacing w:after="0"/>
        <w:rPr>
          <w:rFonts w:ascii="Times New Roman" w:hAnsi="Times New Roman"/>
          <w:color w:val="ff0000"/>
          <w:sz w:val="28"/>
          <w:szCs w:val="28"/>
        </w:rPr>
      </w:pPr>
      <w:r>
        <w:rPr>
          <w:rFonts w:ascii="Times New Roman" w:hAnsi="Times New Roman"/>
          <w:color w:val="ff0000"/>
          <w:sz w:val="28"/>
          <w:szCs w:val="28"/>
        </w:rPr>
      </w:r>
      <w:r>
        <w:rPr>
          <w:rFonts w:ascii="Times New Roman" w:hAnsi="Times New Roman"/>
          <w:color w:val="ff0000"/>
          <w:sz w:val="28"/>
          <w:szCs w:val="28"/>
        </w:rPr>
      </w:r>
      <w:r>
        <w:rPr>
          <w:rFonts w:ascii="Times New Roman" w:hAnsi="Times New Roman"/>
          <w:color w:val="ff0000"/>
          <w:sz w:val="28"/>
          <w:szCs w:val="28"/>
        </w:rPr>
      </w:r>
    </w:p>
    <w:p>
      <w:pPr>
        <w:jc w:val="center"/>
        <w:spacing w:after="0" w:line="240" w:lineRule="auto"/>
        <w:rPr>
          <w:rFonts w:ascii="Times New Roman" w:hAnsi="Times New Roman"/>
          <w:sz w:val="28"/>
          <w:szCs w:val="28"/>
        </w:rPr>
      </w:pPr>
      <w:r>
        <w:rPr>
          <w:rFonts w:ascii="Times New Roman" w:hAnsi="Times New Roman"/>
          <w:sz w:val="28"/>
          <w:szCs w:val="28"/>
        </w:rPr>
        <w:t xml:space="preserve">Информацию о деятельности можно найти на официальных сайтах </w:t>
      </w:r>
      <w:r>
        <w:rPr>
          <w:rFonts w:ascii="Times New Roman" w:hAnsi="Times New Roman"/>
          <w:sz w:val="28"/>
          <w:szCs w:val="28"/>
        </w:rPr>
      </w:r>
      <w:r>
        <w:rPr>
          <w:rFonts w:ascii="Times New Roman" w:hAnsi="Times New Roman"/>
          <w:sz w:val="28"/>
          <w:szCs w:val="28"/>
        </w:rPr>
      </w:r>
    </w:p>
    <w:p>
      <w:pPr>
        <w:jc w:val="center"/>
        <w:spacing w:after="0" w:line="240" w:lineRule="auto"/>
        <w:rPr>
          <w:rFonts w:ascii="Times New Roman" w:hAnsi="Times New Roman"/>
          <w:sz w:val="28"/>
          <w:szCs w:val="28"/>
        </w:rPr>
      </w:pPr>
      <w:r>
        <w:rPr>
          <w:rFonts w:ascii="Times New Roman" w:hAnsi="Times New Roman"/>
          <w:sz w:val="28"/>
          <w:szCs w:val="28"/>
        </w:rPr>
        <w:t xml:space="preserve">и социальных </w:t>
      </w:r>
      <w:r>
        <w:rPr>
          <w:rFonts w:ascii="Times New Roman" w:hAnsi="Times New Roman"/>
          <w:sz w:val="28"/>
          <w:szCs w:val="28"/>
        </w:rPr>
        <w:t xml:space="preserve">сетях</w:t>
      </w:r>
      <w:r>
        <w:rPr>
          <w:rFonts w:ascii="Times New Roman" w:hAnsi="Times New Roman"/>
          <w:sz w:val="28"/>
          <w:szCs w:val="28"/>
        </w:rPr>
        <w:t xml:space="preserve"> </w:t>
      </w:r>
      <w:r>
        <w:rPr>
          <w:rFonts w:ascii="Times New Roman" w:hAnsi="Times New Roman"/>
          <w:sz w:val="28"/>
          <w:szCs w:val="28"/>
        </w:rPr>
      </w:r>
      <w:r>
        <w:rPr>
          <w:rFonts w:ascii="Times New Roman" w:hAnsi="Times New Roman"/>
          <w:sz w:val="28"/>
          <w:szCs w:val="28"/>
        </w:rPr>
      </w:r>
    </w:p>
    <w:tbl>
      <w:tblPr>
        <w:tblStyle w:val="1265"/>
        <w:tblpPr w:horzAnchor="margin" w:tblpXSpec="left" w:vertAnchor="text" w:tblpY="86" w:leftFromText="180" w:topFromText="0" w:rightFromText="180" w:bottomFromText="0"/>
        <w:tblW w:w="0" w:type="auto"/>
        <w:tblBorders>
          <w:top w:val="none" w:color="auto" w:sz="0" w:space="0"/>
          <w:left w:val="none" w:color="auto" w:sz="0" w:space="0"/>
          <w:bottom w:val="none" w:color="auto" w:sz="0" w:space="0"/>
          <w:right w:val="none" w:color="auto" w:sz="0" w:space="0"/>
          <w:insideH w:val="none" w:color="auto" w:sz="0" w:space="0"/>
          <w:insideV w:val="none" w:color="auto" w:sz="0" w:space="0"/>
        </w:tblBorders>
        <w:tblLook w:val="04A0" w:firstRow="1" w:lastRow="0" w:firstColumn="1" w:lastColumn="0" w:noHBand="0" w:noVBand="1"/>
      </w:tblPr>
      <w:tblGrid>
        <w:gridCol w:w="5196"/>
        <w:gridCol w:w="4375"/>
      </w:tblGrid>
      <w:tr>
        <w:tblPrEx/>
        <w:trPr>
          <w:trHeight w:val="2699"/>
        </w:trPr>
        <w:tc>
          <w:tcPr>
            <w:tcW w:w="5196" w:type="dxa"/>
            <w:textDirection w:val="lrTb"/>
            <w:noWrap w:val="false"/>
          </w:tcPr>
          <w:p>
            <w:pPr>
              <w:jc w:val="center"/>
              <w:rPr>
                <w:rFonts w:ascii="Times New Roman" w:hAnsi="Times New Roman"/>
              </w:rPr>
            </w:pPr>
            <w:r>
              <w:rPr>
                <w:lang w:eastAsia="ru-RU"/>
              </w:rPr>
            </w:r>
            <w:r>
              <w:rPr>
                <w:lang w:eastAsia="ru-RU"/>
              </w:rPr>
              <mc:AlternateContent>
                <mc:Choice Requires="wpg">
                  <w:drawing>
                    <wp:inline xmlns:wp="http://schemas.openxmlformats.org/drawingml/2006/wordprocessingDrawing" distT="0" distB="0" distL="0" distR="0">
                      <wp:extent cx="1828800" cy="1828800"/>
                      <wp:effectExtent l="0" t="0" r="0" b="0"/>
                      <wp:docPr id="34" name="_x0000_i1031"/>
                      <wp:cNvGraphicFramePr/>
                      <a:graphic xmlns:a="http://schemas.openxmlformats.org/drawingml/2006/main">
                        <a:graphicData uri="http://schemas.openxmlformats.org/drawingml/2006/picture">
                          <pic:pic xmlns:pic="http://schemas.openxmlformats.org/drawingml/2006/picture">
                            <pic:nvPicPr>
                              <pic:cNvPr id="0" name=""/>
                              <pic:cNvPicPr/>
                              <pic:nvPr/>
                            </pic:nvPicPr>
                            <pic:blipFill>
                              <a:blip r:embed="rId48"/>
                              <a:stretch/>
                            </pic:blipFill>
                            <pic:spPr bwMode="auto">
                              <a:xfrm>
                                <a:off x="0" y="0"/>
                                <a:ext cx="1828800" cy="1828800"/>
                              </a:xfrm>
                              <a:prstGeom prst="rect">
                                <a:avLst/>
                              </a:prstGeom>
                              <a:noFill/>
                              <a:ln>
                                <a:no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7" o:spid="_x0000_s17" type="#_x0000_t75" style="width:144.00pt;height:144.00pt;mso-wrap-distance-left:0.00pt;mso-wrap-distance-top:0.00pt;mso-wrap-distance-right:0.00pt;mso-wrap-distance-bottom:0.00pt;" stroked="f">
                      <v:path textboxrect="0,0,0,0"/>
                      <v:imagedata r:id="rId48" o:title=""/>
                    </v:shape>
                  </w:pict>
                </mc:Fallback>
              </mc:AlternateContent>
            </w:r>
            <w:r>
              <w:rPr>
                <w:rFonts w:ascii="Times New Roman" w:hAnsi="Times New Roman"/>
              </w:rPr>
            </w:r>
            <w:r>
              <w:rPr>
                <w:rFonts w:ascii="Times New Roman" w:hAnsi="Times New Roman"/>
              </w:rPr>
            </w:r>
          </w:p>
        </w:tc>
        <w:tc>
          <w:tcPr>
            <w:tcW w:w="4375" w:type="dxa"/>
            <w:textDirection w:val="lrTb"/>
            <w:noWrap w:val="false"/>
          </w:tcPr>
          <w:p>
            <w:pPr>
              <w:jc w:val="both"/>
              <w:rPr>
                <w:rFonts w:ascii="Times New Roman" w:hAnsi="Times New Roman"/>
              </w:rPr>
            </w:pPr>
            <w:r>
              <w:rPr>
                <w:rFonts w:ascii="Times New Roman" w:hAnsi="Times New Roman"/>
              </w:rPr>
            </w:r>
            <w:r>
              <w:rPr>
                <w:rFonts w:ascii="Times New Roman" w:hAnsi="Times New Roman"/>
              </w:rPr>
            </w:r>
            <w:r>
              <w:rPr>
                <w:rFonts w:ascii="Times New Roman" w:hAnsi="Times New Roman"/>
              </w:rPr>
            </w:r>
          </w:p>
        </w:tc>
      </w:tr>
      <w:tr>
        <w:tblPrEx/>
        <w:trPr/>
        <w:tc>
          <w:tcPr>
            <w:tcW w:w="5196" w:type="dxa"/>
            <w:textDirection w:val="lrTb"/>
            <w:noWrap w:val="false"/>
          </w:tcPr>
          <w:p>
            <w:pPr>
              <w:jc w:val="center"/>
              <w:rPr>
                <w:rFonts w:ascii="Times New Roman" w:hAnsi="Times New Roman"/>
              </w:rPr>
            </w:pPr>
            <w:r>
              <w:rPr>
                <w:rFonts w:ascii="Times New Roman" w:hAnsi="Times New Roman"/>
              </w:rPr>
              <w:t xml:space="preserve">Сайт Уполномоченного по правам человека </w:t>
            </w:r>
            <w:r>
              <w:rPr>
                <w:rFonts w:ascii="Times New Roman" w:hAnsi="Times New Roman"/>
              </w:rPr>
            </w:r>
            <w:r>
              <w:rPr>
                <w:rFonts w:ascii="Times New Roman" w:hAnsi="Times New Roman"/>
              </w:rPr>
            </w:r>
          </w:p>
          <w:p>
            <w:pPr>
              <w:jc w:val="center"/>
              <w:rPr>
                <w:rFonts w:ascii="Times New Roman" w:hAnsi="Times New Roman"/>
              </w:rPr>
            </w:pPr>
            <w:r>
              <w:rPr>
                <w:rFonts w:ascii="Times New Roman" w:hAnsi="Times New Roman"/>
              </w:rPr>
              <w:t xml:space="preserve">в Российской Федерации</w:t>
            </w:r>
            <w:r>
              <w:rPr>
                <w:rFonts w:ascii="Times New Roman" w:hAnsi="Times New Roman"/>
              </w:rPr>
            </w:r>
            <w:r>
              <w:rPr>
                <w:rFonts w:ascii="Times New Roman" w:hAnsi="Times New Roman"/>
              </w:rPr>
            </w:r>
          </w:p>
        </w:tc>
        <w:tc>
          <w:tcPr>
            <w:tcW w:w="4375" w:type="dxa"/>
            <w:textDirection w:val="lrTb"/>
            <w:noWrap w:val="false"/>
          </w:tcPr>
          <w:p>
            <w:pPr>
              <w:jc w:val="both"/>
              <w:rPr>
                <w:rFonts w:ascii="Times New Roman" w:hAnsi="Times New Roman"/>
              </w:rPr>
            </w:pPr>
            <w:r>
              <w:rPr>
                <w:rFonts w:ascii="Times New Roman" w:hAnsi="Times New Roman"/>
              </w:rPr>
            </w:r>
            <w:r>
              <w:rPr>
                <w:rFonts w:ascii="Times New Roman" w:hAnsi="Times New Roman"/>
              </w:rPr>
            </w:r>
            <w:r>
              <w:rPr>
                <w:rFonts w:ascii="Times New Roman" w:hAnsi="Times New Roman"/>
              </w:rPr>
            </w:r>
          </w:p>
        </w:tc>
      </w:tr>
      <w:tr>
        <w:tblPrEx/>
        <w:trPr>
          <w:trHeight w:val="2804"/>
        </w:trPr>
        <w:tc>
          <w:tcPr>
            <w:tcW w:w="5196" w:type="dxa"/>
            <w:textDirection w:val="lrTb"/>
            <w:noWrap w:val="false"/>
          </w:tcPr>
          <w:p>
            <w:pPr>
              <w:jc w:val="both"/>
              <w:rPr>
                <w:rFonts w:ascii="Times New Roman" w:hAnsi="Times New Roman"/>
              </w:rPr>
            </w:pPr>
            <w:r>
              <w:rPr>
                <w:rFonts w:ascii="Times New Roman" w:hAnsi="Times New Roman"/>
              </w:rPr>
            </w:r>
            <w:r>
              <w:rPr>
                <w:rFonts w:ascii="Times New Roman" w:hAnsi="Times New Roman"/>
              </w:rPr>
            </w:r>
            <w:r>
              <w:rPr>
                <w:rFonts w:ascii="Times New Roman" w:hAnsi="Times New Roman"/>
              </w:rPr>
            </w:r>
          </w:p>
        </w:tc>
        <w:tc>
          <w:tcPr>
            <w:tcW w:w="4375" w:type="dxa"/>
            <w:vAlign w:val="center"/>
            <w:textDirection w:val="lrTb"/>
            <w:noWrap w:val="false"/>
          </w:tcPr>
          <w:p>
            <w:pPr>
              <w:jc w:val="center"/>
              <w:rPr>
                <w:rFonts w:ascii="Times New Roman" w:hAnsi="Times New Roman"/>
              </w:rPr>
            </w:pPr>
            <w:r>
              <w:rPr>
                <w:lang w:eastAsia="ru-RU"/>
              </w:rPr>
            </w:r>
            <w:r>
              <w:rPr>
                <w:lang w:eastAsia="ru-RU"/>
              </w:rPr>
              <mc:AlternateContent>
                <mc:Choice Requires="wpg">
                  <w:drawing>
                    <wp:inline xmlns:wp="http://schemas.openxmlformats.org/drawingml/2006/wordprocessingDrawing" distT="0" distB="0" distL="0" distR="0">
                      <wp:extent cx="1743075" cy="1743075"/>
                      <wp:effectExtent l="0" t="0" r="0" b="0"/>
                      <wp:docPr id="35" name="_x0000_i1032"/>
                      <wp:cNvGraphicFramePr/>
                      <a:graphic xmlns:a="http://schemas.openxmlformats.org/drawingml/2006/main">
                        <a:graphicData uri="http://schemas.openxmlformats.org/drawingml/2006/picture">
                          <pic:pic xmlns:pic="http://schemas.openxmlformats.org/drawingml/2006/picture">
                            <pic:nvPicPr>
                              <pic:cNvPr id="0" name=""/>
                              <pic:cNvPicPr/>
                              <pic:nvPr/>
                            </pic:nvPicPr>
                            <pic:blipFill>
                              <a:blip r:embed="rId49"/>
                              <a:stretch/>
                            </pic:blipFill>
                            <pic:spPr bwMode="auto">
                              <a:xfrm>
                                <a:off x="0" y="0"/>
                                <a:ext cx="1743075" cy="1743075"/>
                              </a:xfrm>
                              <a:prstGeom prst="rect">
                                <a:avLst/>
                              </a:prstGeom>
                              <a:noFill/>
                              <a:ln>
                                <a:no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8" o:spid="_x0000_s18" type="#_x0000_t75" style="width:137.25pt;height:137.25pt;mso-wrap-distance-left:0.00pt;mso-wrap-distance-top:0.00pt;mso-wrap-distance-right:0.00pt;mso-wrap-distance-bottom:0.00pt;" stroked="f">
                      <v:path textboxrect="0,0,0,0"/>
                      <v:imagedata r:id="rId49" o:title=""/>
                    </v:shape>
                  </w:pict>
                </mc:Fallback>
              </mc:AlternateContent>
            </w:r>
            <w:r>
              <w:rPr>
                <w:rFonts w:ascii="Times New Roman" w:hAnsi="Times New Roman"/>
              </w:rPr>
            </w:r>
            <w:r>
              <w:rPr>
                <w:rFonts w:ascii="Times New Roman" w:hAnsi="Times New Roman"/>
              </w:rPr>
            </w:r>
          </w:p>
        </w:tc>
      </w:tr>
      <w:tr>
        <w:tblPrEx/>
        <w:trPr/>
        <w:tc>
          <w:tcPr>
            <w:tcW w:w="5196" w:type="dxa"/>
            <w:textDirection w:val="lrTb"/>
            <w:noWrap w:val="false"/>
          </w:tcPr>
          <w:p>
            <w:pPr>
              <w:jc w:val="both"/>
              <w:rPr>
                <w:rFonts w:ascii="Times New Roman" w:hAnsi="Times New Roman"/>
              </w:rPr>
            </w:pPr>
            <w:r>
              <w:rPr>
                <w:rFonts w:ascii="Times New Roman" w:hAnsi="Times New Roman"/>
              </w:rPr>
            </w:r>
            <w:r>
              <w:rPr>
                <w:rFonts w:ascii="Times New Roman" w:hAnsi="Times New Roman"/>
              </w:rPr>
            </w:r>
            <w:r>
              <w:rPr>
                <w:rFonts w:ascii="Times New Roman" w:hAnsi="Times New Roman"/>
              </w:rPr>
            </w:r>
          </w:p>
        </w:tc>
        <w:tc>
          <w:tcPr>
            <w:tcW w:w="4375" w:type="dxa"/>
            <w:textDirection w:val="lrTb"/>
            <w:noWrap w:val="false"/>
          </w:tcPr>
          <w:p>
            <w:pPr>
              <w:jc w:val="center"/>
              <w:rPr>
                <w:rFonts w:ascii="Times New Roman" w:hAnsi="Times New Roman"/>
              </w:rPr>
            </w:pPr>
            <w:r>
              <w:rPr>
                <w:rFonts w:ascii="Times New Roman" w:hAnsi="Times New Roman"/>
              </w:rPr>
              <w:t xml:space="preserve">Сайт Уполномоченного по правам человека в Ивановской области</w:t>
            </w:r>
            <w:r>
              <w:rPr>
                <w:rFonts w:ascii="Times New Roman" w:hAnsi="Times New Roman"/>
              </w:rPr>
            </w:r>
            <w:r>
              <w:rPr>
                <w:rFonts w:ascii="Times New Roman" w:hAnsi="Times New Roman"/>
              </w:rPr>
            </w:r>
          </w:p>
        </w:tc>
      </w:tr>
      <w:tr>
        <w:tblPrEx/>
        <w:trPr>
          <w:trHeight w:val="2654"/>
        </w:trPr>
        <w:tc>
          <w:tcPr>
            <w:tcW w:w="5196" w:type="dxa"/>
            <w:textDirection w:val="lrTb"/>
            <w:noWrap w:val="false"/>
          </w:tcPr>
          <w:p>
            <w:pPr>
              <w:jc w:val="center"/>
              <w:rPr>
                <w:rFonts w:ascii="Times New Roman" w:hAnsi="Times New Roman"/>
              </w:rPr>
            </w:pPr>
            <w:r>
              <w:rPr>
                <w:lang w:eastAsia="ru-RU"/>
              </w:rPr>
            </w:r>
            <w:r>
              <w:rPr>
                <w:lang w:eastAsia="ru-RU"/>
              </w:rPr>
              <mc:AlternateContent>
                <mc:Choice Requires="wpg">
                  <w:drawing>
                    <wp:inline xmlns:wp="http://schemas.openxmlformats.org/drawingml/2006/wordprocessingDrawing" distT="0" distB="0" distL="0" distR="0">
                      <wp:extent cx="1800225" cy="1800225"/>
                      <wp:effectExtent l="0" t="0" r="0" b="0"/>
                      <wp:docPr id="36" name="_x0000_i1033"/>
                      <wp:cNvGraphicFramePr/>
                      <a:graphic xmlns:a="http://schemas.openxmlformats.org/drawingml/2006/main">
                        <a:graphicData uri="http://schemas.openxmlformats.org/drawingml/2006/picture">
                          <pic:pic xmlns:pic="http://schemas.openxmlformats.org/drawingml/2006/picture">
                            <pic:nvPicPr>
                              <pic:cNvPr id="0" name=""/>
                              <pic:cNvPicPr/>
                              <pic:nvPr/>
                            </pic:nvPicPr>
                            <pic:blipFill>
                              <a:blip r:embed="rId50"/>
                              <a:stretch/>
                            </pic:blipFill>
                            <pic:spPr bwMode="auto">
                              <a:xfrm>
                                <a:off x="0" y="0"/>
                                <a:ext cx="1800225" cy="1800225"/>
                              </a:xfrm>
                              <a:prstGeom prst="rect">
                                <a:avLst/>
                              </a:prstGeom>
                              <a:noFill/>
                              <a:ln>
                                <a:no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9" o:spid="_x0000_s19" type="#_x0000_t75" style="width:141.75pt;height:141.75pt;mso-wrap-distance-left:0.00pt;mso-wrap-distance-top:0.00pt;mso-wrap-distance-right:0.00pt;mso-wrap-distance-bottom:0.00pt;" stroked="f">
                      <v:path textboxrect="0,0,0,0"/>
                      <v:imagedata r:id="rId50" o:title=""/>
                    </v:shape>
                  </w:pict>
                </mc:Fallback>
              </mc:AlternateContent>
            </w:r>
            <w:r>
              <w:rPr>
                <w:rFonts w:ascii="Times New Roman" w:hAnsi="Times New Roman"/>
              </w:rPr>
            </w:r>
            <w:r>
              <w:rPr>
                <w:rFonts w:ascii="Times New Roman" w:hAnsi="Times New Roman"/>
              </w:rPr>
            </w:r>
          </w:p>
        </w:tc>
        <w:tc>
          <w:tcPr>
            <w:tcW w:w="4375" w:type="dxa"/>
            <w:textDirection w:val="lrTb"/>
            <w:noWrap w:val="false"/>
          </w:tcPr>
          <w:p>
            <w:pPr>
              <w:jc w:val="both"/>
              <w:rPr>
                <w:rFonts w:ascii="Times New Roman" w:hAnsi="Times New Roman"/>
              </w:rPr>
            </w:pPr>
            <w:r>
              <w:rPr>
                <w:rFonts w:ascii="Times New Roman" w:hAnsi="Times New Roman"/>
              </w:rPr>
            </w:r>
            <w:r>
              <w:rPr>
                <w:rFonts w:ascii="Times New Roman" w:hAnsi="Times New Roman"/>
              </w:rPr>
            </w:r>
            <w:r>
              <w:rPr>
                <w:rFonts w:ascii="Times New Roman" w:hAnsi="Times New Roman"/>
              </w:rPr>
            </w:r>
          </w:p>
        </w:tc>
      </w:tr>
      <w:tr>
        <w:tblPrEx/>
        <w:trPr/>
        <w:tc>
          <w:tcPr>
            <w:tcW w:w="5196" w:type="dxa"/>
            <w:textDirection w:val="lrTb"/>
            <w:noWrap w:val="false"/>
          </w:tcPr>
          <w:p>
            <w:pPr>
              <w:jc w:val="center"/>
              <w:rPr>
                <w:rFonts w:ascii="Times New Roman" w:hAnsi="Times New Roman"/>
              </w:rPr>
            </w:pPr>
            <w:r>
              <w:rPr>
                <w:rFonts w:ascii="Times New Roman" w:hAnsi="Times New Roman"/>
              </w:rPr>
              <w:t xml:space="preserve">Официальная страница группы регионального Уполномоченного </w:t>
            </w:r>
            <w:r>
              <w:rPr>
                <w:rFonts w:ascii="Times New Roman" w:hAnsi="Times New Roman"/>
              </w:rPr>
              <w:t xml:space="preserve">ВКонтакте</w:t>
            </w:r>
            <w:r>
              <w:rPr>
                <w:rFonts w:ascii="Times New Roman" w:hAnsi="Times New Roman"/>
              </w:rPr>
            </w:r>
            <w:r>
              <w:rPr>
                <w:rFonts w:ascii="Times New Roman" w:hAnsi="Times New Roman"/>
              </w:rPr>
            </w:r>
          </w:p>
        </w:tc>
        <w:tc>
          <w:tcPr>
            <w:tcW w:w="4375" w:type="dxa"/>
            <w:textDirection w:val="lrTb"/>
            <w:noWrap w:val="false"/>
          </w:tcPr>
          <w:p>
            <w:pPr>
              <w:jc w:val="both"/>
              <w:rPr>
                <w:rFonts w:ascii="Times New Roman" w:hAnsi="Times New Roman"/>
              </w:rPr>
            </w:pPr>
            <w:r>
              <w:rPr>
                <w:rFonts w:ascii="Times New Roman" w:hAnsi="Times New Roman"/>
              </w:rPr>
            </w:r>
            <w:r>
              <w:rPr>
                <w:rFonts w:ascii="Times New Roman" w:hAnsi="Times New Roman"/>
              </w:rPr>
            </w:r>
            <w:r>
              <w:rPr>
                <w:rFonts w:ascii="Times New Roman" w:hAnsi="Times New Roman"/>
              </w:rPr>
            </w:r>
          </w:p>
        </w:tc>
      </w:tr>
      <w:tr>
        <w:tblPrEx/>
        <w:trPr>
          <w:trHeight w:val="3067"/>
        </w:trPr>
        <w:tc>
          <w:tcPr>
            <w:tcW w:w="5196" w:type="dxa"/>
            <w:textDirection w:val="lrTb"/>
            <w:noWrap w:val="false"/>
          </w:tcPr>
          <w:p>
            <w:pPr>
              <w:jc w:val="both"/>
              <w:rPr>
                <w:rFonts w:ascii="Times New Roman" w:hAnsi="Times New Roman"/>
              </w:rPr>
            </w:pPr>
            <w:r>
              <w:rPr>
                <w:rFonts w:ascii="Times New Roman" w:hAnsi="Times New Roman"/>
              </w:rPr>
            </w:r>
            <w:r>
              <w:rPr>
                <w:rFonts w:ascii="Times New Roman" w:hAnsi="Times New Roman"/>
              </w:rPr>
            </w:r>
            <w:r>
              <w:rPr>
                <w:rFonts w:ascii="Times New Roman" w:hAnsi="Times New Roman"/>
              </w:rPr>
            </w:r>
          </w:p>
        </w:tc>
        <w:tc>
          <w:tcPr>
            <w:tcW w:w="4375" w:type="dxa"/>
            <w:textDirection w:val="lrTb"/>
            <w:noWrap w:val="false"/>
          </w:tcPr>
          <w:p>
            <w:pPr>
              <w:jc w:val="center"/>
              <w:rPr>
                <w:rFonts w:ascii="Times New Roman" w:hAnsi="Times New Roman"/>
              </w:rPr>
            </w:pPr>
            <w:r>
              <w:rPr>
                <w:rFonts w:ascii="Times New Roman" w:hAnsi="Times New Roman"/>
              </w:rPr>
            </w:r>
            <w:r>
              <mc:AlternateContent>
                <mc:Choice Requires="wpg">
                  <w:drawing>
                    <wp:inline xmlns:wp="http://schemas.openxmlformats.org/drawingml/2006/wordprocessingDrawing" distT="0" distB="0" distL="0" distR="0">
                      <wp:extent cx="1710805" cy="1710805"/>
                      <wp:effectExtent l="0" t="0" r="0" b="0"/>
                      <wp:docPr id="37"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1233499" name=""/>
                              <pic:cNvPicPr>
                                <a:picLocks noChangeAspect="1"/>
                              </pic:cNvPicPr>
                              <pic:nvPr/>
                            </pic:nvPicPr>
                            <pic:blipFill>
                              <a:blip r:embed="rId51"/>
                              <a:stretch/>
                            </pic:blipFill>
                            <pic:spPr bwMode="auto">
                              <a:xfrm flipH="0" flipV="0">
                                <a:off x="0" y="0"/>
                                <a:ext cx="1710805" cy="1710805"/>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0" o:spid="_x0000_s20" type="#_x0000_t75" style="width:134.71pt;height:134.71pt;mso-wrap-distance-left:0.00pt;mso-wrap-distance-top:0.00pt;mso-wrap-distance-right:0.00pt;mso-wrap-distance-bottom:0.00pt;" stroked="false">
                      <v:path textboxrect="0,0,0,0"/>
                      <v:imagedata r:id="rId51" o:title=""/>
                    </v:shape>
                  </w:pict>
                </mc:Fallback>
              </mc:AlternateContent>
            </w:r>
            <w:r>
              <w:rPr>
                <w:rFonts w:ascii="Times New Roman" w:hAnsi="Times New Roman"/>
              </w:rPr>
            </w:r>
            <w:r>
              <w:rPr>
                <w:rFonts w:ascii="Times New Roman" w:hAnsi="Times New Roman"/>
              </w:rPr>
            </w:r>
            <w:r>
              <w:rPr>
                <w:rFonts w:ascii="Times New Roman" w:hAnsi="Times New Roman"/>
              </w:rPr>
            </w:r>
          </w:p>
        </w:tc>
      </w:tr>
      <w:tr>
        <w:tblPrEx/>
        <w:trPr/>
        <w:tc>
          <w:tcPr>
            <w:tcW w:w="5196" w:type="dxa"/>
            <w:textDirection w:val="lrTb"/>
            <w:noWrap w:val="false"/>
          </w:tcPr>
          <w:p>
            <w:pPr>
              <w:jc w:val="both"/>
              <w:rPr>
                <w:rFonts w:ascii="Times New Roman" w:hAnsi="Times New Roman"/>
              </w:rPr>
            </w:pPr>
            <w:r>
              <w:rPr>
                <w:rFonts w:ascii="Times New Roman" w:hAnsi="Times New Roman"/>
              </w:rPr>
            </w:r>
            <w:r>
              <w:rPr>
                <w:rFonts w:ascii="Times New Roman" w:hAnsi="Times New Roman"/>
              </w:rPr>
            </w:r>
            <w:r>
              <w:rPr>
                <w:rFonts w:ascii="Times New Roman" w:hAnsi="Times New Roman"/>
              </w:rPr>
            </w:r>
          </w:p>
        </w:tc>
        <w:tc>
          <w:tcPr>
            <w:tcW w:w="4375" w:type="dxa"/>
            <w:textDirection w:val="lrTb"/>
            <w:noWrap w:val="false"/>
          </w:tcPr>
          <w:p>
            <w:pPr>
              <w:jc w:val="center"/>
              <w:rPr>
                <w:rFonts w:ascii="Times New Roman" w:hAnsi="Times New Roman"/>
              </w:rPr>
            </w:pPr>
            <w:r>
              <w:rPr>
                <w:rFonts w:ascii="Times New Roman" w:hAnsi="Times New Roman"/>
              </w:rPr>
              <w:t xml:space="preserve">Группа в Одноклассниках</w:t>
            </w:r>
            <w:r>
              <w:rPr>
                <w:rFonts w:ascii="Times New Roman" w:hAnsi="Times New Roman"/>
              </w:rPr>
            </w:r>
          </w:p>
        </w:tc>
      </w:tr>
    </w:tbl>
    <w:p>
      <w:pPr>
        <w:spacing w:after="240"/>
        <w:rPr>
          <w:rFonts w:ascii="Times New Roman" w:hAnsi="Times New Roman"/>
          <w:b/>
          <w:sz w:val="28"/>
          <w:szCs w:val="28"/>
        </w:rPr>
      </w:pPr>
      <w:r>
        <w:rPr>
          <w:rFonts w:ascii="Times New Roman" w:hAnsi="Times New Roman"/>
          <w:b/>
          <w:sz w:val="28"/>
          <w:szCs w:val="28"/>
        </w:rPr>
      </w:r>
      <w:r>
        <w:rPr>
          <w:rFonts w:ascii="Times New Roman" w:hAnsi="Times New Roman"/>
          <w:b/>
          <w:sz w:val="28"/>
          <w:szCs w:val="28"/>
        </w:rPr>
      </w:r>
      <w:r>
        <w:rPr>
          <w:rFonts w:ascii="Times New Roman" w:hAnsi="Times New Roman"/>
          <w:b/>
          <w:sz w:val="28"/>
          <w:szCs w:val="28"/>
        </w:rPr>
      </w:r>
    </w:p>
    <w:sectPr>
      <w:footerReference w:type="default" r:id="rId9"/>
      <w:footnotePr/>
      <w:endnotePr/>
      <w:type w:val="nextPage"/>
      <w:pgSz w:w="11906" w:h="16838" w:orient="portrait"/>
      <w:pgMar w:top="1134" w:right="850" w:bottom="1134" w:left="1701" w:header="708" w:footer="708" w:gutter="0"/>
      <w:cols w:num="1" w:sep="0" w:space="708" w:equalWidth="1"/>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endnote w:type="separator" w:id="-1">
    <w:p>
      <w:pPr>
        <w:spacing w:after="0" w:line="240" w:lineRule="auto"/>
      </w:pPr>
      <w:r>
        <w:separator/>
      </w:r>
      <w:r/>
    </w:p>
  </w:endnote>
  <w:endnote w:type="continuationSeparator" w:id="0">
    <w:p>
      <w:pPr>
        <w:spacing w:after="0" w:line="240" w:lineRule="auto"/>
      </w:pPr>
      <w:r>
        <w:continuationSeparator/>
      </w: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mbria Math">
    <w:panose1 w:val="02040503050406030204"/>
  </w:font>
  <w:font w:name="Segoe UI Symbol">
    <w:panose1 w:val="020B0502040204020203"/>
  </w:font>
  <w:font w:name="Liberation Sans">
    <w:panose1 w:val="020B0604020202020204"/>
  </w:font>
  <w:font w:name="Wingdings">
    <w:panose1 w:val="05000000000000000000"/>
  </w:font>
  <w:font w:name="Symbol">
    <w:panose1 w:val="05050102010706020507"/>
  </w:font>
  <w:font w:name="Sylfaen">
    <w:panose1 w:val="010A0502050306030303"/>
  </w:font>
  <w:font w:name="MS Mincho">
    <w:panose1 w:val="02020503050405090304"/>
  </w:font>
  <w:font w:name="Tahoma">
    <w:panose1 w:val="020B0604030504040204"/>
  </w:font>
  <w:font w:name="Courier New">
    <w:panose1 w:val="02070309020205020404"/>
  </w:font>
  <w:font w:name="Arial">
    <w:panose1 w:val="020B0604020202020204"/>
  </w:font>
  <w:font w:name="Microsoft YaHei">
    <w:panose1 w:val="020B0503020204020204"/>
  </w:font>
  <w:font w:name="Times New Roman">
    <w:panose1 w:val="02020603050405020304"/>
  </w:font>
  <w:font w:name="Calibri">
    <w:panose1 w:val="020F0502020204030204"/>
  </w:font>
  <w:font w:name="Cambria">
    <w:panose1 w:val="02040503050406030204"/>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sdt>
    <w:sdtPr>
      <w15:appearance w15:val="boundingBox"/>
      <w:id w:val="4600298"/>
      <w:docPartObj>
        <w:docPartGallery w:val="Page Numbers (Bottom of Page)"/>
        <w:docPartUnique w:val="true"/>
      </w:docPartObj>
      <w:rPr/>
    </w:sdtPr>
    <w:sdtContent>
      <w:p>
        <w:pPr>
          <w:pStyle w:val="1263"/>
          <w:jc w:val="center"/>
        </w:pPr>
        <w:fldSimple w:instr="PAGE \* MERGEFORMAT">
          <w:r>
            <w:t xml:space="preserve">1</w:t>
          </w:r>
        </w:fldSimple>
        <w:r/>
        <w:r/>
      </w:p>
    </w:sdtContent>
  </w:sdt>
  <w:p>
    <w:pPr>
      <w:pStyle w:val="1263"/>
    </w:pPr>
    <w:r/>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footnote w:type="separator" w:id="-1">
    <w:p>
      <w:pPr>
        <w:spacing w:after="0" w:line="240" w:lineRule="auto"/>
      </w:pPr>
      <w:r>
        <w:separator/>
      </w:r>
      <w:r/>
    </w:p>
  </w:footnote>
  <w:footnote w:type="continuationSeparator" w:id="0">
    <w:p>
      <w:pPr>
        <w:spacing w:after="0" w:line="240" w:lineRule="auto"/>
      </w:pPr>
      <w:r>
        <w:continuationSeparator/>
      </w: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multiLevelType w:val="hybridMultilevel"/>
    <w:lvl w:ilvl="0">
      <w:start w:val="1"/>
      <w:numFmt w:val="bullet"/>
      <w:isLgl w:val="false"/>
      <w:suff w:val="tab"/>
      <w:lvlText w:val=""/>
      <w:lvlJc w:val="left"/>
      <w:pPr>
        <w:ind w:left="1287" w:hanging="360"/>
      </w:pPr>
      <w:rPr>
        <w:rFonts w:hint="default" w:ascii="Symbol" w:hAnsi="Symbol"/>
      </w:rPr>
    </w:lvl>
    <w:lvl w:ilvl="1">
      <w:start w:val="1"/>
      <w:numFmt w:val="bullet"/>
      <w:isLgl w:val="false"/>
      <w:suff w:val="tab"/>
      <w:lvlText w:val="o"/>
      <w:lvlJc w:val="left"/>
      <w:pPr>
        <w:ind w:left="2007" w:hanging="360"/>
      </w:pPr>
      <w:rPr>
        <w:rFonts w:hint="default" w:ascii="Courier New" w:hAnsi="Courier New" w:cs="Courier New"/>
      </w:rPr>
    </w:lvl>
    <w:lvl w:ilvl="2">
      <w:start w:val="1"/>
      <w:numFmt w:val="bullet"/>
      <w:isLgl w:val="false"/>
      <w:suff w:val="tab"/>
      <w:lvlText w:val=""/>
      <w:lvlJc w:val="left"/>
      <w:pPr>
        <w:ind w:left="2727" w:hanging="360"/>
      </w:pPr>
      <w:rPr>
        <w:rFonts w:hint="default" w:ascii="Wingdings" w:hAnsi="Wingdings"/>
      </w:rPr>
    </w:lvl>
    <w:lvl w:ilvl="3">
      <w:start w:val="1"/>
      <w:numFmt w:val="bullet"/>
      <w:isLgl w:val="false"/>
      <w:suff w:val="tab"/>
      <w:lvlText w:val=""/>
      <w:lvlJc w:val="left"/>
      <w:pPr>
        <w:ind w:left="3447" w:hanging="360"/>
      </w:pPr>
      <w:rPr>
        <w:rFonts w:hint="default" w:ascii="Symbol" w:hAnsi="Symbol"/>
      </w:rPr>
    </w:lvl>
    <w:lvl w:ilvl="4">
      <w:start w:val="1"/>
      <w:numFmt w:val="bullet"/>
      <w:isLgl w:val="false"/>
      <w:suff w:val="tab"/>
      <w:lvlText w:val="o"/>
      <w:lvlJc w:val="left"/>
      <w:pPr>
        <w:ind w:left="4167" w:hanging="360"/>
      </w:pPr>
      <w:rPr>
        <w:rFonts w:hint="default" w:ascii="Courier New" w:hAnsi="Courier New" w:cs="Courier New"/>
      </w:rPr>
    </w:lvl>
    <w:lvl w:ilvl="5">
      <w:start w:val="1"/>
      <w:numFmt w:val="bullet"/>
      <w:isLgl w:val="false"/>
      <w:suff w:val="tab"/>
      <w:lvlText w:val=""/>
      <w:lvlJc w:val="left"/>
      <w:pPr>
        <w:ind w:left="4887" w:hanging="360"/>
      </w:pPr>
      <w:rPr>
        <w:rFonts w:hint="default" w:ascii="Wingdings" w:hAnsi="Wingdings"/>
      </w:rPr>
    </w:lvl>
    <w:lvl w:ilvl="6">
      <w:start w:val="1"/>
      <w:numFmt w:val="bullet"/>
      <w:isLgl w:val="false"/>
      <w:suff w:val="tab"/>
      <w:lvlText w:val=""/>
      <w:lvlJc w:val="left"/>
      <w:pPr>
        <w:ind w:left="5607" w:hanging="360"/>
      </w:pPr>
      <w:rPr>
        <w:rFonts w:hint="default" w:ascii="Symbol" w:hAnsi="Symbol"/>
      </w:rPr>
    </w:lvl>
    <w:lvl w:ilvl="7">
      <w:start w:val="1"/>
      <w:numFmt w:val="bullet"/>
      <w:isLgl w:val="false"/>
      <w:suff w:val="tab"/>
      <w:lvlText w:val="o"/>
      <w:lvlJc w:val="left"/>
      <w:pPr>
        <w:ind w:left="6327" w:hanging="360"/>
      </w:pPr>
      <w:rPr>
        <w:rFonts w:hint="default" w:ascii="Courier New" w:hAnsi="Courier New" w:cs="Courier New"/>
      </w:rPr>
    </w:lvl>
    <w:lvl w:ilvl="8">
      <w:start w:val="1"/>
      <w:numFmt w:val="bullet"/>
      <w:isLgl w:val="false"/>
      <w:suff w:val="tab"/>
      <w:lvlText w:val=""/>
      <w:lvlJc w:val="left"/>
      <w:pPr>
        <w:ind w:left="7047" w:hanging="360"/>
      </w:pPr>
      <w:rPr>
        <w:rFonts w:hint="default" w:ascii="Wingdings" w:hAnsi="Wingdings"/>
      </w:rPr>
    </w:lvl>
  </w:abstractNum>
  <w:abstractNum w:abstractNumId="1">
    <w:multiLevelType w:val="hybridMultilevel"/>
    <w:lvl w:ilvl="0">
      <w:start w:val="1"/>
      <w:numFmt w:val="bullet"/>
      <w:isLgl w:val="false"/>
      <w:suff w:val="tab"/>
      <w:lvlText w:val=""/>
      <w:lvlJc w:val="left"/>
      <w:pPr>
        <w:ind w:left="1428" w:hanging="360"/>
      </w:pPr>
      <w:rPr>
        <w:rFonts w:hint="default" w:ascii="Symbol" w:hAnsi="Symbol"/>
      </w:rPr>
    </w:lvl>
    <w:lvl w:ilvl="1">
      <w:start w:val="1"/>
      <w:numFmt w:val="bullet"/>
      <w:isLgl w:val="false"/>
      <w:suff w:val="tab"/>
      <w:lvlText w:val="o"/>
      <w:lvlJc w:val="left"/>
      <w:pPr>
        <w:ind w:left="2148" w:hanging="360"/>
      </w:pPr>
      <w:rPr>
        <w:rFonts w:hint="default" w:ascii="Courier New" w:hAnsi="Courier New" w:cs="Courier New"/>
      </w:rPr>
    </w:lvl>
    <w:lvl w:ilvl="2">
      <w:start w:val="1"/>
      <w:numFmt w:val="bullet"/>
      <w:isLgl w:val="false"/>
      <w:suff w:val="tab"/>
      <w:lvlText w:val=""/>
      <w:lvlJc w:val="left"/>
      <w:pPr>
        <w:ind w:left="2868" w:hanging="360"/>
      </w:pPr>
      <w:rPr>
        <w:rFonts w:hint="default" w:ascii="Wingdings" w:hAnsi="Wingdings"/>
      </w:rPr>
    </w:lvl>
    <w:lvl w:ilvl="3">
      <w:start w:val="1"/>
      <w:numFmt w:val="bullet"/>
      <w:isLgl w:val="false"/>
      <w:suff w:val="tab"/>
      <w:lvlText w:val=""/>
      <w:lvlJc w:val="left"/>
      <w:pPr>
        <w:ind w:left="3588" w:hanging="360"/>
      </w:pPr>
      <w:rPr>
        <w:rFonts w:hint="default" w:ascii="Symbol" w:hAnsi="Symbol"/>
      </w:rPr>
    </w:lvl>
    <w:lvl w:ilvl="4">
      <w:start w:val="1"/>
      <w:numFmt w:val="bullet"/>
      <w:isLgl w:val="false"/>
      <w:suff w:val="tab"/>
      <w:lvlText w:val="o"/>
      <w:lvlJc w:val="left"/>
      <w:pPr>
        <w:ind w:left="4308" w:hanging="360"/>
      </w:pPr>
      <w:rPr>
        <w:rFonts w:hint="default" w:ascii="Courier New" w:hAnsi="Courier New" w:cs="Courier New"/>
      </w:rPr>
    </w:lvl>
    <w:lvl w:ilvl="5">
      <w:start w:val="1"/>
      <w:numFmt w:val="bullet"/>
      <w:isLgl w:val="false"/>
      <w:suff w:val="tab"/>
      <w:lvlText w:val=""/>
      <w:lvlJc w:val="left"/>
      <w:pPr>
        <w:ind w:left="5028" w:hanging="360"/>
      </w:pPr>
      <w:rPr>
        <w:rFonts w:hint="default" w:ascii="Wingdings" w:hAnsi="Wingdings"/>
      </w:rPr>
    </w:lvl>
    <w:lvl w:ilvl="6">
      <w:start w:val="1"/>
      <w:numFmt w:val="bullet"/>
      <w:isLgl w:val="false"/>
      <w:suff w:val="tab"/>
      <w:lvlText w:val=""/>
      <w:lvlJc w:val="left"/>
      <w:pPr>
        <w:ind w:left="5748" w:hanging="360"/>
      </w:pPr>
      <w:rPr>
        <w:rFonts w:hint="default" w:ascii="Symbol" w:hAnsi="Symbol"/>
      </w:rPr>
    </w:lvl>
    <w:lvl w:ilvl="7">
      <w:start w:val="1"/>
      <w:numFmt w:val="bullet"/>
      <w:isLgl w:val="false"/>
      <w:suff w:val="tab"/>
      <w:lvlText w:val="o"/>
      <w:lvlJc w:val="left"/>
      <w:pPr>
        <w:ind w:left="6468" w:hanging="360"/>
      </w:pPr>
      <w:rPr>
        <w:rFonts w:hint="default" w:ascii="Courier New" w:hAnsi="Courier New" w:cs="Courier New"/>
      </w:rPr>
    </w:lvl>
    <w:lvl w:ilvl="8">
      <w:start w:val="1"/>
      <w:numFmt w:val="bullet"/>
      <w:isLgl w:val="false"/>
      <w:suff w:val="tab"/>
      <w:lvlText w:val=""/>
      <w:lvlJc w:val="left"/>
      <w:pPr>
        <w:ind w:left="7188" w:hanging="360"/>
      </w:pPr>
      <w:rPr>
        <w:rFonts w:hint="default" w:ascii="Wingdings" w:hAnsi="Wingdings"/>
      </w:rPr>
    </w:lvl>
  </w:abstractNum>
  <w:abstractNum w:abstractNumId="2">
    <w:multiLevelType w:val="hybridMultilevel"/>
    <w:lvl w:ilvl="0">
      <w:start w:val="1"/>
      <w:numFmt w:val="bullet"/>
      <w:isLgl w:val="false"/>
      <w:suff w:val="tab"/>
      <w:lvlText w:val="–"/>
      <w:lvlJc w:val="left"/>
      <w:pPr>
        <w:ind w:left="1417" w:hanging="360"/>
      </w:pPr>
      <w:rPr>
        <w:rFonts w:ascii="Arial" w:hAnsi="Arial" w:eastAsia="Arial" w:cs="Arial"/>
        <w:b w:val="0"/>
        <w:sz w:val="24"/>
      </w:rPr>
    </w:lvl>
    <w:lvl w:ilvl="1">
      <w:start w:val="1"/>
      <w:numFmt w:val="bullet"/>
      <w:isLgl w:val="false"/>
      <w:suff w:val="tab"/>
      <w:lvlText w:val="o"/>
      <w:lvlJc w:val="left"/>
      <w:pPr>
        <w:ind w:left="2137" w:hanging="360"/>
      </w:pPr>
      <w:rPr>
        <w:rFonts w:hint="default" w:ascii="Courier New" w:hAnsi="Courier New" w:eastAsia="Courier New" w:cs="Courier New"/>
      </w:rPr>
    </w:lvl>
    <w:lvl w:ilvl="2">
      <w:start w:val="1"/>
      <w:numFmt w:val="bullet"/>
      <w:isLgl w:val="false"/>
      <w:suff w:val="tab"/>
      <w:lvlText w:val="§"/>
      <w:lvlJc w:val="left"/>
      <w:pPr>
        <w:ind w:left="2857" w:hanging="360"/>
      </w:pPr>
      <w:rPr>
        <w:rFonts w:hint="default" w:ascii="Wingdings" w:hAnsi="Wingdings" w:eastAsia="Wingdings" w:cs="Wingdings"/>
      </w:rPr>
    </w:lvl>
    <w:lvl w:ilvl="3">
      <w:start w:val="1"/>
      <w:numFmt w:val="bullet"/>
      <w:isLgl w:val="false"/>
      <w:suff w:val="tab"/>
      <w:lvlText w:val="·"/>
      <w:lvlJc w:val="left"/>
      <w:pPr>
        <w:ind w:left="3577" w:hanging="360"/>
      </w:pPr>
      <w:rPr>
        <w:rFonts w:hint="default" w:ascii="Symbol" w:hAnsi="Symbol" w:eastAsia="Symbol" w:cs="Symbol"/>
      </w:rPr>
    </w:lvl>
    <w:lvl w:ilvl="4">
      <w:start w:val="1"/>
      <w:numFmt w:val="bullet"/>
      <w:isLgl w:val="false"/>
      <w:suff w:val="tab"/>
      <w:lvlText w:val="o"/>
      <w:lvlJc w:val="left"/>
      <w:pPr>
        <w:ind w:left="4297" w:hanging="360"/>
      </w:pPr>
      <w:rPr>
        <w:rFonts w:hint="default" w:ascii="Courier New" w:hAnsi="Courier New" w:eastAsia="Courier New" w:cs="Courier New"/>
      </w:rPr>
    </w:lvl>
    <w:lvl w:ilvl="5">
      <w:start w:val="1"/>
      <w:numFmt w:val="bullet"/>
      <w:isLgl w:val="false"/>
      <w:suff w:val="tab"/>
      <w:lvlText w:val="§"/>
      <w:lvlJc w:val="left"/>
      <w:pPr>
        <w:ind w:left="5017" w:hanging="360"/>
      </w:pPr>
      <w:rPr>
        <w:rFonts w:hint="default" w:ascii="Wingdings" w:hAnsi="Wingdings" w:eastAsia="Wingdings" w:cs="Wingdings"/>
      </w:rPr>
    </w:lvl>
    <w:lvl w:ilvl="6">
      <w:start w:val="1"/>
      <w:numFmt w:val="bullet"/>
      <w:isLgl w:val="false"/>
      <w:suff w:val="tab"/>
      <w:lvlText w:val="·"/>
      <w:lvlJc w:val="left"/>
      <w:pPr>
        <w:ind w:left="5737" w:hanging="360"/>
      </w:pPr>
      <w:rPr>
        <w:rFonts w:hint="default" w:ascii="Symbol" w:hAnsi="Symbol" w:eastAsia="Symbol" w:cs="Symbol"/>
      </w:rPr>
    </w:lvl>
    <w:lvl w:ilvl="7">
      <w:start w:val="1"/>
      <w:numFmt w:val="bullet"/>
      <w:isLgl w:val="false"/>
      <w:suff w:val="tab"/>
      <w:lvlText w:val="o"/>
      <w:lvlJc w:val="left"/>
      <w:pPr>
        <w:ind w:left="6457" w:hanging="360"/>
      </w:pPr>
      <w:rPr>
        <w:rFonts w:hint="default" w:ascii="Courier New" w:hAnsi="Courier New" w:eastAsia="Courier New" w:cs="Courier New"/>
      </w:rPr>
    </w:lvl>
    <w:lvl w:ilvl="8">
      <w:start w:val="1"/>
      <w:numFmt w:val="bullet"/>
      <w:isLgl w:val="false"/>
      <w:suff w:val="tab"/>
      <w:lvlText w:val="§"/>
      <w:lvlJc w:val="left"/>
      <w:pPr>
        <w:ind w:left="7177" w:hanging="360"/>
      </w:pPr>
      <w:rPr>
        <w:rFonts w:hint="default" w:ascii="Wingdings" w:hAnsi="Wingdings" w:eastAsia="Wingdings" w:cs="Wingdings"/>
      </w:rPr>
    </w:lvl>
  </w:abstractNum>
  <w:abstractNum w:abstractNumId="3">
    <w:multiLevelType w:val="hybridMultilevel"/>
    <w:lvl w:ilvl="0">
      <w:start w:val="1"/>
      <w:numFmt w:val="bullet"/>
      <w:isLgl w:val="false"/>
      <w:suff w:val="tab"/>
      <w:lvlText w:val=""/>
      <w:lvlJc w:val="left"/>
      <w:pPr>
        <w:ind w:left="1428" w:hanging="360"/>
      </w:pPr>
      <w:rPr>
        <w:rFonts w:hint="default" w:ascii="Symbol" w:hAnsi="Symbol"/>
      </w:rPr>
    </w:lvl>
    <w:lvl w:ilvl="1">
      <w:start w:val="1"/>
      <w:numFmt w:val="bullet"/>
      <w:isLgl w:val="false"/>
      <w:suff w:val="tab"/>
      <w:lvlText w:val="o"/>
      <w:lvlJc w:val="left"/>
      <w:pPr>
        <w:ind w:left="2148" w:hanging="360"/>
      </w:pPr>
      <w:rPr>
        <w:rFonts w:hint="default" w:ascii="Courier New" w:hAnsi="Courier New" w:cs="Courier New"/>
      </w:rPr>
    </w:lvl>
    <w:lvl w:ilvl="2">
      <w:start w:val="1"/>
      <w:numFmt w:val="bullet"/>
      <w:isLgl w:val="false"/>
      <w:suff w:val="tab"/>
      <w:lvlText w:val=""/>
      <w:lvlJc w:val="left"/>
      <w:pPr>
        <w:ind w:left="2868" w:hanging="360"/>
      </w:pPr>
      <w:rPr>
        <w:rFonts w:hint="default" w:ascii="Wingdings" w:hAnsi="Wingdings"/>
      </w:rPr>
    </w:lvl>
    <w:lvl w:ilvl="3">
      <w:start w:val="1"/>
      <w:numFmt w:val="bullet"/>
      <w:isLgl w:val="false"/>
      <w:suff w:val="tab"/>
      <w:lvlText w:val=""/>
      <w:lvlJc w:val="left"/>
      <w:pPr>
        <w:ind w:left="3588" w:hanging="360"/>
      </w:pPr>
      <w:rPr>
        <w:rFonts w:hint="default" w:ascii="Symbol" w:hAnsi="Symbol"/>
      </w:rPr>
    </w:lvl>
    <w:lvl w:ilvl="4">
      <w:start w:val="1"/>
      <w:numFmt w:val="bullet"/>
      <w:isLgl w:val="false"/>
      <w:suff w:val="tab"/>
      <w:lvlText w:val="o"/>
      <w:lvlJc w:val="left"/>
      <w:pPr>
        <w:ind w:left="4308" w:hanging="360"/>
      </w:pPr>
      <w:rPr>
        <w:rFonts w:hint="default" w:ascii="Courier New" w:hAnsi="Courier New" w:cs="Courier New"/>
      </w:rPr>
    </w:lvl>
    <w:lvl w:ilvl="5">
      <w:start w:val="1"/>
      <w:numFmt w:val="bullet"/>
      <w:isLgl w:val="false"/>
      <w:suff w:val="tab"/>
      <w:lvlText w:val=""/>
      <w:lvlJc w:val="left"/>
      <w:pPr>
        <w:ind w:left="5028" w:hanging="360"/>
      </w:pPr>
      <w:rPr>
        <w:rFonts w:hint="default" w:ascii="Wingdings" w:hAnsi="Wingdings"/>
      </w:rPr>
    </w:lvl>
    <w:lvl w:ilvl="6">
      <w:start w:val="1"/>
      <w:numFmt w:val="bullet"/>
      <w:isLgl w:val="false"/>
      <w:suff w:val="tab"/>
      <w:lvlText w:val=""/>
      <w:lvlJc w:val="left"/>
      <w:pPr>
        <w:ind w:left="5748" w:hanging="360"/>
      </w:pPr>
      <w:rPr>
        <w:rFonts w:hint="default" w:ascii="Symbol" w:hAnsi="Symbol"/>
      </w:rPr>
    </w:lvl>
    <w:lvl w:ilvl="7">
      <w:start w:val="1"/>
      <w:numFmt w:val="bullet"/>
      <w:isLgl w:val="false"/>
      <w:suff w:val="tab"/>
      <w:lvlText w:val="o"/>
      <w:lvlJc w:val="left"/>
      <w:pPr>
        <w:ind w:left="6468" w:hanging="360"/>
      </w:pPr>
      <w:rPr>
        <w:rFonts w:hint="default" w:ascii="Courier New" w:hAnsi="Courier New" w:cs="Courier New"/>
      </w:rPr>
    </w:lvl>
    <w:lvl w:ilvl="8">
      <w:start w:val="1"/>
      <w:numFmt w:val="bullet"/>
      <w:isLgl w:val="false"/>
      <w:suff w:val="tab"/>
      <w:lvlText w:val=""/>
      <w:lvlJc w:val="left"/>
      <w:pPr>
        <w:ind w:left="7188" w:hanging="360"/>
      </w:pPr>
      <w:rPr>
        <w:rFonts w:hint="default" w:ascii="Wingdings" w:hAnsi="Wingdings"/>
      </w:rPr>
    </w:lvl>
  </w:abstractNum>
  <w:abstractNum w:abstractNumId="4">
    <w:multiLevelType w:val="hybridMultilevel"/>
    <w:lvl w:ilvl="0">
      <w:start w:val="1"/>
      <w:numFmt w:val="bullet"/>
      <w:isLgl w:val="false"/>
      <w:suff w:val="tab"/>
      <w:lvlText w:val=""/>
      <w:lvlJc w:val="left"/>
      <w:pPr>
        <w:ind w:left="1287" w:hanging="360"/>
      </w:pPr>
      <w:rPr>
        <w:rFonts w:ascii="Symbol" w:hAnsi="Symbol"/>
      </w:rPr>
    </w:lvl>
    <w:lvl w:ilvl="1">
      <w:start w:val="1"/>
      <w:numFmt w:val="bullet"/>
      <w:isLgl w:val="false"/>
      <w:suff w:val="tab"/>
      <w:lvlText w:val="o"/>
      <w:lvlJc w:val="left"/>
      <w:pPr>
        <w:ind w:left="2007" w:hanging="360"/>
      </w:pPr>
      <w:rPr>
        <w:rFonts w:ascii="Courier New" w:hAnsi="Courier New"/>
      </w:rPr>
    </w:lvl>
    <w:lvl w:ilvl="2">
      <w:start w:val="1"/>
      <w:numFmt w:val="bullet"/>
      <w:isLgl w:val="false"/>
      <w:suff w:val="tab"/>
      <w:lvlText w:val=""/>
      <w:lvlJc w:val="left"/>
      <w:pPr>
        <w:ind w:left="2727" w:hanging="360"/>
      </w:pPr>
      <w:rPr>
        <w:rFonts w:ascii="Wingdings" w:hAnsi="Wingdings"/>
      </w:rPr>
    </w:lvl>
    <w:lvl w:ilvl="3">
      <w:start w:val="1"/>
      <w:numFmt w:val="bullet"/>
      <w:isLgl w:val="false"/>
      <w:suff w:val="tab"/>
      <w:lvlText w:val=""/>
      <w:lvlJc w:val="left"/>
      <w:pPr>
        <w:ind w:left="3447" w:hanging="360"/>
      </w:pPr>
      <w:rPr>
        <w:rFonts w:ascii="Symbol" w:hAnsi="Symbol"/>
      </w:rPr>
    </w:lvl>
    <w:lvl w:ilvl="4">
      <w:start w:val="1"/>
      <w:numFmt w:val="bullet"/>
      <w:isLgl w:val="false"/>
      <w:suff w:val="tab"/>
      <w:lvlText w:val="o"/>
      <w:lvlJc w:val="left"/>
      <w:pPr>
        <w:ind w:left="4167" w:hanging="360"/>
      </w:pPr>
      <w:rPr>
        <w:rFonts w:ascii="Courier New" w:hAnsi="Courier New"/>
      </w:rPr>
    </w:lvl>
    <w:lvl w:ilvl="5">
      <w:start w:val="1"/>
      <w:numFmt w:val="bullet"/>
      <w:isLgl w:val="false"/>
      <w:suff w:val="tab"/>
      <w:lvlText w:val=""/>
      <w:lvlJc w:val="left"/>
      <w:pPr>
        <w:ind w:left="4887" w:hanging="360"/>
      </w:pPr>
      <w:rPr>
        <w:rFonts w:ascii="Wingdings" w:hAnsi="Wingdings"/>
      </w:rPr>
    </w:lvl>
    <w:lvl w:ilvl="6">
      <w:start w:val="1"/>
      <w:numFmt w:val="bullet"/>
      <w:isLgl w:val="false"/>
      <w:suff w:val="tab"/>
      <w:lvlText w:val=""/>
      <w:lvlJc w:val="left"/>
      <w:pPr>
        <w:ind w:left="5607" w:hanging="360"/>
      </w:pPr>
      <w:rPr>
        <w:rFonts w:ascii="Symbol" w:hAnsi="Symbol"/>
      </w:rPr>
    </w:lvl>
    <w:lvl w:ilvl="7">
      <w:start w:val="1"/>
      <w:numFmt w:val="bullet"/>
      <w:isLgl w:val="false"/>
      <w:suff w:val="tab"/>
      <w:lvlText w:val="o"/>
      <w:lvlJc w:val="left"/>
      <w:pPr>
        <w:ind w:left="6327" w:hanging="360"/>
      </w:pPr>
      <w:rPr>
        <w:rFonts w:ascii="Courier New" w:hAnsi="Courier New"/>
      </w:rPr>
    </w:lvl>
    <w:lvl w:ilvl="8">
      <w:start w:val="1"/>
      <w:numFmt w:val="bullet"/>
      <w:isLgl w:val="false"/>
      <w:suff w:val="tab"/>
      <w:lvlText w:val=""/>
      <w:lvlJc w:val="left"/>
      <w:pPr>
        <w:ind w:left="7047" w:hanging="360"/>
      </w:pPr>
      <w:rPr>
        <w:rFonts w:ascii="Wingdings" w:hAnsi="Wingdings"/>
      </w:rPr>
    </w:lvl>
  </w:abstractNum>
  <w:abstractNum w:abstractNumId="5">
    <w:multiLevelType w:val="hybridMultilevel"/>
    <w:lvl w:ilvl="0">
      <w:start w:val="1"/>
      <w:numFmt w:val="bullet"/>
      <w:isLgl w:val="false"/>
      <w:suff w:val="tab"/>
      <w:lvlText w:val=""/>
      <w:lvlJc w:val="left"/>
      <w:pPr>
        <w:ind w:left="1287" w:hanging="360"/>
      </w:pPr>
      <w:rPr>
        <w:rFonts w:hint="default" w:ascii="Symbol" w:hAnsi="Symbol"/>
      </w:rPr>
    </w:lvl>
    <w:lvl w:ilvl="1">
      <w:start w:val="1"/>
      <w:numFmt w:val="bullet"/>
      <w:isLgl w:val="false"/>
      <w:suff w:val="tab"/>
      <w:lvlText w:val="o"/>
      <w:lvlJc w:val="left"/>
      <w:pPr>
        <w:ind w:left="2007" w:hanging="360"/>
      </w:pPr>
      <w:rPr>
        <w:rFonts w:hint="default" w:ascii="Courier New" w:hAnsi="Courier New" w:cs="Courier New"/>
      </w:rPr>
    </w:lvl>
    <w:lvl w:ilvl="2">
      <w:start w:val="1"/>
      <w:numFmt w:val="bullet"/>
      <w:isLgl w:val="false"/>
      <w:suff w:val="tab"/>
      <w:lvlText w:val=""/>
      <w:lvlJc w:val="left"/>
      <w:pPr>
        <w:ind w:left="2727" w:hanging="360"/>
      </w:pPr>
      <w:rPr>
        <w:rFonts w:hint="default" w:ascii="Wingdings" w:hAnsi="Wingdings"/>
      </w:rPr>
    </w:lvl>
    <w:lvl w:ilvl="3">
      <w:start w:val="1"/>
      <w:numFmt w:val="bullet"/>
      <w:isLgl w:val="false"/>
      <w:suff w:val="tab"/>
      <w:lvlText w:val=""/>
      <w:lvlJc w:val="left"/>
      <w:pPr>
        <w:ind w:left="3447" w:hanging="360"/>
      </w:pPr>
      <w:rPr>
        <w:rFonts w:hint="default" w:ascii="Symbol" w:hAnsi="Symbol"/>
      </w:rPr>
    </w:lvl>
    <w:lvl w:ilvl="4">
      <w:start w:val="1"/>
      <w:numFmt w:val="bullet"/>
      <w:isLgl w:val="false"/>
      <w:suff w:val="tab"/>
      <w:lvlText w:val="o"/>
      <w:lvlJc w:val="left"/>
      <w:pPr>
        <w:ind w:left="4167" w:hanging="360"/>
      </w:pPr>
      <w:rPr>
        <w:rFonts w:hint="default" w:ascii="Courier New" w:hAnsi="Courier New" w:cs="Courier New"/>
      </w:rPr>
    </w:lvl>
    <w:lvl w:ilvl="5">
      <w:start w:val="1"/>
      <w:numFmt w:val="bullet"/>
      <w:isLgl w:val="false"/>
      <w:suff w:val="tab"/>
      <w:lvlText w:val=""/>
      <w:lvlJc w:val="left"/>
      <w:pPr>
        <w:ind w:left="4887" w:hanging="360"/>
      </w:pPr>
      <w:rPr>
        <w:rFonts w:hint="default" w:ascii="Wingdings" w:hAnsi="Wingdings"/>
      </w:rPr>
    </w:lvl>
    <w:lvl w:ilvl="6">
      <w:start w:val="1"/>
      <w:numFmt w:val="bullet"/>
      <w:isLgl w:val="false"/>
      <w:suff w:val="tab"/>
      <w:lvlText w:val=""/>
      <w:lvlJc w:val="left"/>
      <w:pPr>
        <w:ind w:left="5607" w:hanging="360"/>
      </w:pPr>
      <w:rPr>
        <w:rFonts w:hint="default" w:ascii="Symbol" w:hAnsi="Symbol"/>
      </w:rPr>
    </w:lvl>
    <w:lvl w:ilvl="7">
      <w:start w:val="1"/>
      <w:numFmt w:val="bullet"/>
      <w:isLgl w:val="false"/>
      <w:suff w:val="tab"/>
      <w:lvlText w:val="o"/>
      <w:lvlJc w:val="left"/>
      <w:pPr>
        <w:ind w:left="6327" w:hanging="360"/>
      </w:pPr>
      <w:rPr>
        <w:rFonts w:hint="default" w:ascii="Courier New" w:hAnsi="Courier New" w:cs="Courier New"/>
      </w:rPr>
    </w:lvl>
    <w:lvl w:ilvl="8">
      <w:start w:val="1"/>
      <w:numFmt w:val="bullet"/>
      <w:isLgl w:val="false"/>
      <w:suff w:val="tab"/>
      <w:lvlText w:val=""/>
      <w:lvlJc w:val="left"/>
      <w:pPr>
        <w:ind w:left="7047" w:hanging="360"/>
      </w:pPr>
      <w:rPr>
        <w:rFonts w:hint="default" w:ascii="Wingdings" w:hAnsi="Wingdings"/>
      </w:rPr>
    </w:lvl>
  </w:abstractNum>
  <w:abstractNum w:abstractNumId="6">
    <w:multiLevelType w:val="hybridMultilevel"/>
    <w:lvl w:ilvl="0">
      <w:start w:val="1"/>
      <w:numFmt w:val="bullet"/>
      <w:isLgl w:val="false"/>
      <w:suff w:val="tab"/>
      <w:lvlText w:val=""/>
      <w:lvlJc w:val="left"/>
      <w:pPr>
        <w:ind w:left="1429" w:hanging="360"/>
      </w:pPr>
      <w:rPr>
        <w:rFonts w:hint="default" w:ascii="Symbol" w:hAnsi="Symbol"/>
      </w:rPr>
    </w:lvl>
    <w:lvl w:ilvl="1">
      <w:start w:val="1"/>
      <w:numFmt w:val="bullet"/>
      <w:isLgl w:val="false"/>
      <w:suff w:val="tab"/>
      <w:lvlText w:val="o"/>
      <w:lvlJc w:val="left"/>
      <w:pPr>
        <w:ind w:left="2149" w:hanging="360"/>
      </w:pPr>
      <w:rPr>
        <w:rFonts w:hint="default" w:ascii="Courier New" w:hAnsi="Courier New" w:cs="Courier New"/>
      </w:rPr>
    </w:lvl>
    <w:lvl w:ilvl="2">
      <w:start w:val="1"/>
      <w:numFmt w:val="bullet"/>
      <w:isLgl w:val="false"/>
      <w:suff w:val="tab"/>
      <w:lvlText w:val=""/>
      <w:lvlJc w:val="left"/>
      <w:pPr>
        <w:ind w:left="2869" w:hanging="360"/>
      </w:pPr>
      <w:rPr>
        <w:rFonts w:hint="default" w:ascii="Wingdings" w:hAnsi="Wingdings"/>
      </w:rPr>
    </w:lvl>
    <w:lvl w:ilvl="3">
      <w:start w:val="1"/>
      <w:numFmt w:val="bullet"/>
      <w:isLgl w:val="false"/>
      <w:suff w:val="tab"/>
      <w:lvlText w:val=""/>
      <w:lvlJc w:val="left"/>
      <w:pPr>
        <w:ind w:left="3589" w:hanging="360"/>
      </w:pPr>
      <w:rPr>
        <w:rFonts w:hint="default" w:ascii="Symbol" w:hAnsi="Symbol"/>
      </w:rPr>
    </w:lvl>
    <w:lvl w:ilvl="4">
      <w:start w:val="1"/>
      <w:numFmt w:val="bullet"/>
      <w:isLgl w:val="false"/>
      <w:suff w:val="tab"/>
      <w:lvlText w:val="o"/>
      <w:lvlJc w:val="left"/>
      <w:pPr>
        <w:ind w:left="4309" w:hanging="360"/>
      </w:pPr>
      <w:rPr>
        <w:rFonts w:hint="default" w:ascii="Courier New" w:hAnsi="Courier New" w:cs="Courier New"/>
      </w:rPr>
    </w:lvl>
    <w:lvl w:ilvl="5">
      <w:start w:val="1"/>
      <w:numFmt w:val="bullet"/>
      <w:isLgl w:val="false"/>
      <w:suff w:val="tab"/>
      <w:lvlText w:val=""/>
      <w:lvlJc w:val="left"/>
      <w:pPr>
        <w:ind w:left="5029" w:hanging="360"/>
      </w:pPr>
      <w:rPr>
        <w:rFonts w:hint="default" w:ascii="Wingdings" w:hAnsi="Wingdings"/>
      </w:rPr>
    </w:lvl>
    <w:lvl w:ilvl="6">
      <w:start w:val="1"/>
      <w:numFmt w:val="bullet"/>
      <w:isLgl w:val="false"/>
      <w:suff w:val="tab"/>
      <w:lvlText w:val=""/>
      <w:lvlJc w:val="left"/>
      <w:pPr>
        <w:ind w:left="5749" w:hanging="360"/>
      </w:pPr>
      <w:rPr>
        <w:rFonts w:hint="default" w:ascii="Symbol" w:hAnsi="Symbol"/>
      </w:rPr>
    </w:lvl>
    <w:lvl w:ilvl="7">
      <w:start w:val="1"/>
      <w:numFmt w:val="bullet"/>
      <w:isLgl w:val="false"/>
      <w:suff w:val="tab"/>
      <w:lvlText w:val="o"/>
      <w:lvlJc w:val="left"/>
      <w:pPr>
        <w:ind w:left="6469" w:hanging="360"/>
      </w:pPr>
      <w:rPr>
        <w:rFonts w:hint="default" w:ascii="Courier New" w:hAnsi="Courier New" w:cs="Courier New"/>
      </w:rPr>
    </w:lvl>
    <w:lvl w:ilvl="8">
      <w:start w:val="1"/>
      <w:numFmt w:val="bullet"/>
      <w:isLgl w:val="false"/>
      <w:suff w:val="tab"/>
      <w:lvlText w:val=""/>
      <w:lvlJc w:val="left"/>
      <w:pPr>
        <w:ind w:left="7189" w:hanging="360"/>
      </w:pPr>
      <w:rPr>
        <w:rFonts w:hint="default" w:ascii="Wingdings" w:hAnsi="Wingdings"/>
      </w:rPr>
    </w:lvl>
  </w:abstractNum>
  <w:abstractNum w:abstractNumId="7">
    <w:multiLevelType w:val="hybridMultilevel"/>
    <w:lvl w:ilvl="0">
      <w:start w:val="1"/>
      <w:numFmt w:val="bullet"/>
      <w:isLgl w:val="false"/>
      <w:suff w:val="tab"/>
      <w:lvlText w:val=""/>
      <w:lvlJc w:val="left"/>
      <w:pPr>
        <w:ind w:left="1425" w:hanging="360"/>
      </w:pPr>
      <w:rPr>
        <w:rFonts w:hint="default" w:ascii="Symbol" w:hAnsi="Symbol"/>
      </w:rPr>
    </w:lvl>
    <w:lvl w:ilvl="1">
      <w:start w:val="1"/>
      <w:numFmt w:val="bullet"/>
      <w:isLgl w:val="false"/>
      <w:suff w:val="tab"/>
      <w:lvlText w:val="o"/>
      <w:lvlJc w:val="left"/>
      <w:pPr>
        <w:ind w:left="2145" w:hanging="360"/>
      </w:pPr>
      <w:rPr>
        <w:rFonts w:hint="default" w:ascii="Courier New" w:hAnsi="Courier New" w:cs="Courier New"/>
      </w:rPr>
    </w:lvl>
    <w:lvl w:ilvl="2">
      <w:start w:val="1"/>
      <w:numFmt w:val="bullet"/>
      <w:isLgl w:val="false"/>
      <w:suff w:val="tab"/>
      <w:lvlText w:val=""/>
      <w:lvlJc w:val="left"/>
      <w:pPr>
        <w:ind w:left="2865" w:hanging="360"/>
      </w:pPr>
      <w:rPr>
        <w:rFonts w:hint="default" w:ascii="Wingdings" w:hAnsi="Wingdings"/>
      </w:rPr>
    </w:lvl>
    <w:lvl w:ilvl="3">
      <w:start w:val="1"/>
      <w:numFmt w:val="bullet"/>
      <w:isLgl w:val="false"/>
      <w:suff w:val="tab"/>
      <w:lvlText w:val=""/>
      <w:lvlJc w:val="left"/>
      <w:pPr>
        <w:ind w:left="3585" w:hanging="360"/>
      </w:pPr>
      <w:rPr>
        <w:rFonts w:hint="default" w:ascii="Symbol" w:hAnsi="Symbol"/>
      </w:rPr>
    </w:lvl>
    <w:lvl w:ilvl="4">
      <w:start w:val="1"/>
      <w:numFmt w:val="bullet"/>
      <w:isLgl w:val="false"/>
      <w:suff w:val="tab"/>
      <w:lvlText w:val="o"/>
      <w:lvlJc w:val="left"/>
      <w:pPr>
        <w:ind w:left="4305" w:hanging="360"/>
      </w:pPr>
      <w:rPr>
        <w:rFonts w:hint="default" w:ascii="Courier New" w:hAnsi="Courier New" w:cs="Courier New"/>
      </w:rPr>
    </w:lvl>
    <w:lvl w:ilvl="5">
      <w:start w:val="1"/>
      <w:numFmt w:val="bullet"/>
      <w:isLgl w:val="false"/>
      <w:suff w:val="tab"/>
      <w:lvlText w:val=""/>
      <w:lvlJc w:val="left"/>
      <w:pPr>
        <w:ind w:left="5025" w:hanging="360"/>
      </w:pPr>
      <w:rPr>
        <w:rFonts w:hint="default" w:ascii="Wingdings" w:hAnsi="Wingdings"/>
      </w:rPr>
    </w:lvl>
    <w:lvl w:ilvl="6">
      <w:start w:val="1"/>
      <w:numFmt w:val="bullet"/>
      <w:isLgl w:val="false"/>
      <w:suff w:val="tab"/>
      <w:lvlText w:val=""/>
      <w:lvlJc w:val="left"/>
      <w:pPr>
        <w:ind w:left="5745" w:hanging="360"/>
      </w:pPr>
      <w:rPr>
        <w:rFonts w:hint="default" w:ascii="Symbol" w:hAnsi="Symbol"/>
      </w:rPr>
    </w:lvl>
    <w:lvl w:ilvl="7">
      <w:start w:val="1"/>
      <w:numFmt w:val="bullet"/>
      <w:isLgl w:val="false"/>
      <w:suff w:val="tab"/>
      <w:lvlText w:val="o"/>
      <w:lvlJc w:val="left"/>
      <w:pPr>
        <w:ind w:left="6465" w:hanging="360"/>
      </w:pPr>
      <w:rPr>
        <w:rFonts w:hint="default" w:ascii="Courier New" w:hAnsi="Courier New" w:cs="Courier New"/>
      </w:rPr>
    </w:lvl>
    <w:lvl w:ilvl="8">
      <w:start w:val="1"/>
      <w:numFmt w:val="bullet"/>
      <w:isLgl w:val="false"/>
      <w:suff w:val="tab"/>
      <w:lvlText w:val=""/>
      <w:lvlJc w:val="left"/>
      <w:pPr>
        <w:ind w:left="7185" w:hanging="360"/>
      </w:pPr>
      <w:rPr>
        <w:rFonts w:hint="default" w:ascii="Wingdings" w:hAnsi="Wingdings"/>
      </w:rPr>
    </w:lvl>
  </w:abstractNum>
  <w:abstractNum w:abstractNumId="8">
    <w:multiLevelType w:val="hybridMultilevel"/>
    <w:lvl w:ilvl="0">
      <w:start w:val="1"/>
      <w:numFmt w:val="bullet"/>
      <w:isLgl w:val="false"/>
      <w:suff w:val="tab"/>
      <w:lvlText w:val=""/>
      <w:lvlJc w:val="left"/>
      <w:pPr>
        <w:ind w:left="720" w:hanging="360"/>
      </w:pPr>
      <w:rPr>
        <w:rFonts w:hint="default" w:ascii="Symbol" w:hAnsi="Symbol"/>
      </w:rPr>
    </w:lvl>
    <w:lvl w:ilvl="1">
      <w:start w:val="1"/>
      <w:numFmt w:val="bullet"/>
      <w:isLgl w:val="false"/>
      <w:suff w:val="tab"/>
      <w:lvlText w:val="o"/>
      <w:lvlJc w:val="left"/>
      <w:pPr>
        <w:ind w:left="1440" w:hanging="360"/>
      </w:pPr>
      <w:rPr>
        <w:rFonts w:hint="default" w:ascii="Courier New" w:hAnsi="Courier New" w:cs="Courier New"/>
      </w:rPr>
    </w:lvl>
    <w:lvl w:ilvl="2">
      <w:start w:val="1"/>
      <w:numFmt w:val="bullet"/>
      <w:isLgl w:val="false"/>
      <w:suff w:val="tab"/>
      <w:lvlText w:val=""/>
      <w:lvlJc w:val="left"/>
      <w:pPr>
        <w:ind w:left="2160" w:hanging="360"/>
      </w:pPr>
      <w:rPr>
        <w:rFonts w:hint="default" w:ascii="Wingdings" w:hAnsi="Wingdings"/>
      </w:rPr>
    </w:lvl>
    <w:lvl w:ilvl="3">
      <w:start w:val="1"/>
      <w:numFmt w:val="bullet"/>
      <w:isLgl w:val="false"/>
      <w:suff w:val="tab"/>
      <w:lvlText w:val=""/>
      <w:lvlJc w:val="left"/>
      <w:pPr>
        <w:ind w:left="2880" w:hanging="360"/>
      </w:pPr>
      <w:rPr>
        <w:rFonts w:hint="default" w:ascii="Symbol" w:hAnsi="Symbol"/>
      </w:rPr>
    </w:lvl>
    <w:lvl w:ilvl="4">
      <w:start w:val="1"/>
      <w:numFmt w:val="bullet"/>
      <w:isLgl w:val="false"/>
      <w:suff w:val="tab"/>
      <w:lvlText w:val="o"/>
      <w:lvlJc w:val="left"/>
      <w:pPr>
        <w:ind w:left="3600" w:hanging="360"/>
      </w:pPr>
      <w:rPr>
        <w:rFonts w:hint="default" w:ascii="Courier New" w:hAnsi="Courier New" w:cs="Courier New"/>
      </w:rPr>
    </w:lvl>
    <w:lvl w:ilvl="5">
      <w:start w:val="1"/>
      <w:numFmt w:val="bullet"/>
      <w:isLgl w:val="false"/>
      <w:suff w:val="tab"/>
      <w:lvlText w:val=""/>
      <w:lvlJc w:val="left"/>
      <w:pPr>
        <w:ind w:left="4320" w:hanging="360"/>
      </w:pPr>
      <w:rPr>
        <w:rFonts w:hint="default" w:ascii="Wingdings" w:hAnsi="Wingdings"/>
      </w:rPr>
    </w:lvl>
    <w:lvl w:ilvl="6">
      <w:start w:val="1"/>
      <w:numFmt w:val="bullet"/>
      <w:isLgl w:val="false"/>
      <w:suff w:val="tab"/>
      <w:lvlText w:val=""/>
      <w:lvlJc w:val="left"/>
      <w:pPr>
        <w:ind w:left="5040" w:hanging="360"/>
      </w:pPr>
      <w:rPr>
        <w:rFonts w:hint="default" w:ascii="Symbol" w:hAnsi="Symbol"/>
      </w:rPr>
    </w:lvl>
    <w:lvl w:ilvl="7">
      <w:start w:val="1"/>
      <w:numFmt w:val="bullet"/>
      <w:isLgl w:val="false"/>
      <w:suff w:val="tab"/>
      <w:lvlText w:val="o"/>
      <w:lvlJc w:val="left"/>
      <w:pPr>
        <w:ind w:left="5760" w:hanging="360"/>
      </w:pPr>
      <w:rPr>
        <w:rFonts w:hint="default" w:ascii="Courier New" w:hAnsi="Courier New" w:cs="Courier New"/>
      </w:rPr>
    </w:lvl>
    <w:lvl w:ilvl="8">
      <w:start w:val="1"/>
      <w:numFmt w:val="bullet"/>
      <w:isLgl w:val="false"/>
      <w:suff w:val="tab"/>
      <w:lvlText w:val=""/>
      <w:lvlJc w:val="left"/>
      <w:pPr>
        <w:ind w:left="6480" w:hanging="360"/>
      </w:pPr>
      <w:rPr>
        <w:rFonts w:hint="default" w:ascii="Wingdings" w:hAnsi="Wingdings"/>
      </w:rPr>
    </w:lvl>
  </w:abstractNum>
  <w:abstractNum w:abstractNumId="9">
    <w:multiLevelType w:val="hybridMultilevel"/>
    <w:lvl w:ilvl="0">
      <w:start w:val="1"/>
      <w:numFmt w:val="bullet"/>
      <w:isLgl w:val="false"/>
      <w:suff w:val="tab"/>
      <w:lvlText w:val=""/>
      <w:lvlJc w:val="left"/>
      <w:pPr>
        <w:ind w:left="1429" w:hanging="360"/>
      </w:pPr>
      <w:rPr>
        <w:rFonts w:hint="default" w:ascii="Symbol" w:hAnsi="Symbol"/>
      </w:rPr>
    </w:lvl>
    <w:lvl w:ilvl="1">
      <w:start w:val="1"/>
      <w:numFmt w:val="bullet"/>
      <w:isLgl w:val="false"/>
      <w:suff w:val="tab"/>
      <w:lvlText w:val="o"/>
      <w:lvlJc w:val="left"/>
      <w:pPr>
        <w:ind w:left="2149" w:hanging="360"/>
      </w:pPr>
      <w:rPr>
        <w:rFonts w:hint="default" w:ascii="Courier New" w:hAnsi="Courier New" w:cs="Courier New"/>
      </w:rPr>
    </w:lvl>
    <w:lvl w:ilvl="2">
      <w:start w:val="1"/>
      <w:numFmt w:val="bullet"/>
      <w:isLgl w:val="false"/>
      <w:suff w:val="tab"/>
      <w:lvlText w:val=""/>
      <w:lvlJc w:val="left"/>
      <w:pPr>
        <w:ind w:left="2869" w:hanging="360"/>
      </w:pPr>
      <w:rPr>
        <w:rFonts w:hint="default" w:ascii="Wingdings" w:hAnsi="Wingdings"/>
      </w:rPr>
    </w:lvl>
    <w:lvl w:ilvl="3">
      <w:start w:val="1"/>
      <w:numFmt w:val="bullet"/>
      <w:isLgl w:val="false"/>
      <w:suff w:val="tab"/>
      <w:lvlText w:val=""/>
      <w:lvlJc w:val="left"/>
      <w:pPr>
        <w:ind w:left="3589" w:hanging="360"/>
      </w:pPr>
      <w:rPr>
        <w:rFonts w:hint="default" w:ascii="Symbol" w:hAnsi="Symbol"/>
      </w:rPr>
    </w:lvl>
    <w:lvl w:ilvl="4">
      <w:start w:val="1"/>
      <w:numFmt w:val="bullet"/>
      <w:isLgl w:val="false"/>
      <w:suff w:val="tab"/>
      <w:lvlText w:val="o"/>
      <w:lvlJc w:val="left"/>
      <w:pPr>
        <w:ind w:left="4309" w:hanging="360"/>
      </w:pPr>
      <w:rPr>
        <w:rFonts w:hint="default" w:ascii="Courier New" w:hAnsi="Courier New" w:cs="Courier New"/>
      </w:rPr>
    </w:lvl>
    <w:lvl w:ilvl="5">
      <w:start w:val="1"/>
      <w:numFmt w:val="bullet"/>
      <w:isLgl w:val="false"/>
      <w:suff w:val="tab"/>
      <w:lvlText w:val=""/>
      <w:lvlJc w:val="left"/>
      <w:pPr>
        <w:ind w:left="5029" w:hanging="360"/>
      </w:pPr>
      <w:rPr>
        <w:rFonts w:hint="default" w:ascii="Wingdings" w:hAnsi="Wingdings"/>
      </w:rPr>
    </w:lvl>
    <w:lvl w:ilvl="6">
      <w:start w:val="1"/>
      <w:numFmt w:val="bullet"/>
      <w:isLgl w:val="false"/>
      <w:suff w:val="tab"/>
      <w:lvlText w:val=""/>
      <w:lvlJc w:val="left"/>
      <w:pPr>
        <w:ind w:left="5749" w:hanging="360"/>
      </w:pPr>
      <w:rPr>
        <w:rFonts w:hint="default" w:ascii="Symbol" w:hAnsi="Symbol"/>
      </w:rPr>
    </w:lvl>
    <w:lvl w:ilvl="7">
      <w:start w:val="1"/>
      <w:numFmt w:val="bullet"/>
      <w:isLgl w:val="false"/>
      <w:suff w:val="tab"/>
      <w:lvlText w:val="o"/>
      <w:lvlJc w:val="left"/>
      <w:pPr>
        <w:ind w:left="6469" w:hanging="360"/>
      </w:pPr>
      <w:rPr>
        <w:rFonts w:hint="default" w:ascii="Courier New" w:hAnsi="Courier New" w:cs="Courier New"/>
      </w:rPr>
    </w:lvl>
    <w:lvl w:ilvl="8">
      <w:start w:val="1"/>
      <w:numFmt w:val="bullet"/>
      <w:isLgl w:val="false"/>
      <w:suff w:val="tab"/>
      <w:lvlText w:val=""/>
      <w:lvlJc w:val="left"/>
      <w:pPr>
        <w:ind w:left="7189" w:hanging="360"/>
      </w:pPr>
      <w:rPr>
        <w:rFonts w:hint="default" w:ascii="Wingdings" w:hAnsi="Wingdings"/>
      </w:rPr>
    </w:lvl>
  </w:abstractNum>
  <w:abstractNum w:abstractNumId="10">
    <w:multiLevelType w:val="hybridMultilevel"/>
    <w:lvl w:ilvl="0">
      <w:start w:val="1"/>
      <w:numFmt w:val="bullet"/>
      <w:isLgl w:val="false"/>
      <w:suff w:val="tab"/>
      <w:lvlText w:val=""/>
      <w:lvlJc w:val="left"/>
      <w:pPr>
        <w:ind w:left="1429" w:hanging="360"/>
      </w:pPr>
      <w:rPr>
        <w:rFonts w:ascii="Symbol" w:hAnsi="Symbol"/>
      </w:rPr>
    </w:lvl>
    <w:lvl w:ilvl="1">
      <w:start w:val="1"/>
      <w:numFmt w:val="bullet"/>
      <w:isLgl w:val="false"/>
      <w:suff w:val="tab"/>
      <w:lvlText w:val="o"/>
      <w:lvlJc w:val="left"/>
      <w:pPr>
        <w:ind w:left="2149" w:hanging="360"/>
      </w:pPr>
      <w:rPr>
        <w:rFonts w:hint="default" w:ascii="Courier New" w:hAnsi="Courier New" w:cs="Courier New"/>
      </w:rPr>
    </w:lvl>
    <w:lvl w:ilvl="2">
      <w:start w:val="1"/>
      <w:numFmt w:val="bullet"/>
      <w:isLgl w:val="false"/>
      <w:suff w:val="tab"/>
      <w:lvlText w:val=""/>
      <w:lvlJc w:val="left"/>
      <w:pPr>
        <w:ind w:left="2869" w:hanging="360"/>
      </w:pPr>
      <w:rPr>
        <w:rFonts w:hint="default" w:ascii="Wingdings" w:hAnsi="Wingdings"/>
      </w:rPr>
    </w:lvl>
    <w:lvl w:ilvl="3">
      <w:start w:val="1"/>
      <w:numFmt w:val="bullet"/>
      <w:isLgl w:val="false"/>
      <w:suff w:val="tab"/>
      <w:lvlText w:val=""/>
      <w:lvlJc w:val="left"/>
      <w:pPr>
        <w:ind w:left="3589" w:hanging="360"/>
      </w:pPr>
      <w:rPr>
        <w:rFonts w:hint="default" w:ascii="Symbol" w:hAnsi="Symbol"/>
      </w:rPr>
    </w:lvl>
    <w:lvl w:ilvl="4">
      <w:start w:val="1"/>
      <w:numFmt w:val="bullet"/>
      <w:isLgl w:val="false"/>
      <w:suff w:val="tab"/>
      <w:lvlText w:val="o"/>
      <w:lvlJc w:val="left"/>
      <w:pPr>
        <w:ind w:left="4309" w:hanging="360"/>
      </w:pPr>
      <w:rPr>
        <w:rFonts w:hint="default" w:ascii="Courier New" w:hAnsi="Courier New" w:cs="Courier New"/>
      </w:rPr>
    </w:lvl>
    <w:lvl w:ilvl="5">
      <w:start w:val="1"/>
      <w:numFmt w:val="bullet"/>
      <w:isLgl w:val="false"/>
      <w:suff w:val="tab"/>
      <w:lvlText w:val=""/>
      <w:lvlJc w:val="left"/>
      <w:pPr>
        <w:ind w:left="5029" w:hanging="360"/>
      </w:pPr>
      <w:rPr>
        <w:rFonts w:hint="default" w:ascii="Wingdings" w:hAnsi="Wingdings"/>
      </w:rPr>
    </w:lvl>
    <w:lvl w:ilvl="6">
      <w:start w:val="1"/>
      <w:numFmt w:val="bullet"/>
      <w:isLgl w:val="false"/>
      <w:suff w:val="tab"/>
      <w:lvlText w:val=""/>
      <w:lvlJc w:val="left"/>
      <w:pPr>
        <w:ind w:left="5749" w:hanging="360"/>
      </w:pPr>
      <w:rPr>
        <w:rFonts w:hint="default" w:ascii="Symbol" w:hAnsi="Symbol"/>
      </w:rPr>
    </w:lvl>
    <w:lvl w:ilvl="7">
      <w:start w:val="1"/>
      <w:numFmt w:val="bullet"/>
      <w:isLgl w:val="false"/>
      <w:suff w:val="tab"/>
      <w:lvlText w:val="o"/>
      <w:lvlJc w:val="left"/>
      <w:pPr>
        <w:ind w:left="6469" w:hanging="360"/>
      </w:pPr>
      <w:rPr>
        <w:rFonts w:hint="default" w:ascii="Courier New" w:hAnsi="Courier New" w:cs="Courier New"/>
      </w:rPr>
    </w:lvl>
    <w:lvl w:ilvl="8">
      <w:start w:val="1"/>
      <w:numFmt w:val="bullet"/>
      <w:isLgl w:val="false"/>
      <w:suff w:val="tab"/>
      <w:lvlText w:val=""/>
      <w:lvlJc w:val="left"/>
      <w:pPr>
        <w:ind w:left="7189" w:hanging="360"/>
      </w:pPr>
      <w:rPr>
        <w:rFonts w:hint="default" w:ascii="Wingdings" w:hAnsi="Wingdings"/>
      </w:rPr>
    </w:lvl>
  </w:abstractNum>
  <w:abstractNum w:abstractNumId="11">
    <w:multiLevelType w:val="hybridMultilevel"/>
    <w:lvl w:ilvl="0">
      <w:start w:val="1"/>
      <w:numFmt w:val="bullet"/>
      <w:isLgl w:val="false"/>
      <w:suff w:val="tab"/>
      <w:lvlText w:val=""/>
      <w:lvlJc w:val="left"/>
      <w:pPr>
        <w:ind w:left="1287" w:hanging="360"/>
      </w:pPr>
      <w:rPr>
        <w:rFonts w:hint="default" w:ascii="Symbol" w:hAnsi="Symbol"/>
      </w:rPr>
    </w:lvl>
    <w:lvl w:ilvl="1">
      <w:start w:val="1"/>
      <w:numFmt w:val="bullet"/>
      <w:isLgl w:val="false"/>
      <w:suff w:val="tab"/>
      <w:lvlText w:val="o"/>
      <w:lvlJc w:val="left"/>
      <w:pPr>
        <w:ind w:left="2007" w:hanging="360"/>
      </w:pPr>
      <w:rPr>
        <w:rFonts w:hint="default" w:ascii="Courier New" w:hAnsi="Courier New" w:cs="Courier New"/>
      </w:rPr>
    </w:lvl>
    <w:lvl w:ilvl="2">
      <w:start w:val="1"/>
      <w:numFmt w:val="bullet"/>
      <w:isLgl w:val="false"/>
      <w:suff w:val="tab"/>
      <w:lvlText w:val=""/>
      <w:lvlJc w:val="left"/>
      <w:pPr>
        <w:ind w:left="2727" w:hanging="360"/>
      </w:pPr>
      <w:rPr>
        <w:rFonts w:hint="default" w:ascii="Wingdings" w:hAnsi="Wingdings"/>
      </w:rPr>
    </w:lvl>
    <w:lvl w:ilvl="3">
      <w:start w:val="1"/>
      <w:numFmt w:val="bullet"/>
      <w:isLgl w:val="false"/>
      <w:suff w:val="tab"/>
      <w:lvlText w:val=""/>
      <w:lvlJc w:val="left"/>
      <w:pPr>
        <w:ind w:left="3447" w:hanging="360"/>
      </w:pPr>
      <w:rPr>
        <w:rFonts w:hint="default" w:ascii="Symbol" w:hAnsi="Symbol"/>
      </w:rPr>
    </w:lvl>
    <w:lvl w:ilvl="4">
      <w:start w:val="1"/>
      <w:numFmt w:val="bullet"/>
      <w:isLgl w:val="false"/>
      <w:suff w:val="tab"/>
      <w:lvlText w:val="o"/>
      <w:lvlJc w:val="left"/>
      <w:pPr>
        <w:ind w:left="4167" w:hanging="360"/>
      </w:pPr>
      <w:rPr>
        <w:rFonts w:hint="default" w:ascii="Courier New" w:hAnsi="Courier New" w:cs="Courier New"/>
      </w:rPr>
    </w:lvl>
    <w:lvl w:ilvl="5">
      <w:start w:val="1"/>
      <w:numFmt w:val="bullet"/>
      <w:isLgl w:val="false"/>
      <w:suff w:val="tab"/>
      <w:lvlText w:val=""/>
      <w:lvlJc w:val="left"/>
      <w:pPr>
        <w:ind w:left="4887" w:hanging="360"/>
      </w:pPr>
      <w:rPr>
        <w:rFonts w:hint="default" w:ascii="Wingdings" w:hAnsi="Wingdings"/>
      </w:rPr>
    </w:lvl>
    <w:lvl w:ilvl="6">
      <w:start w:val="1"/>
      <w:numFmt w:val="bullet"/>
      <w:isLgl w:val="false"/>
      <w:suff w:val="tab"/>
      <w:lvlText w:val=""/>
      <w:lvlJc w:val="left"/>
      <w:pPr>
        <w:ind w:left="5607" w:hanging="360"/>
      </w:pPr>
      <w:rPr>
        <w:rFonts w:hint="default" w:ascii="Symbol" w:hAnsi="Symbol"/>
      </w:rPr>
    </w:lvl>
    <w:lvl w:ilvl="7">
      <w:start w:val="1"/>
      <w:numFmt w:val="bullet"/>
      <w:isLgl w:val="false"/>
      <w:suff w:val="tab"/>
      <w:lvlText w:val="o"/>
      <w:lvlJc w:val="left"/>
      <w:pPr>
        <w:ind w:left="6327" w:hanging="360"/>
      </w:pPr>
      <w:rPr>
        <w:rFonts w:hint="default" w:ascii="Courier New" w:hAnsi="Courier New" w:cs="Courier New"/>
      </w:rPr>
    </w:lvl>
    <w:lvl w:ilvl="8">
      <w:start w:val="1"/>
      <w:numFmt w:val="bullet"/>
      <w:isLgl w:val="false"/>
      <w:suff w:val="tab"/>
      <w:lvlText w:val=""/>
      <w:lvlJc w:val="left"/>
      <w:pPr>
        <w:ind w:left="7047" w:hanging="360"/>
      </w:pPr>
      <w:rPr>
        <w:rFonts w:hint="default" w:ascii="Wingdings" w:hAnsi="Wingdings"/>
      </w:rPr>
    </w:lvl>
  </w:abstractNum>
  <w:abstractNum w:abstractNumId="12">
    <w:multiLevelType w:val="hybridMultilevel"/>
    <w:lvl w:ilvl="0">
      <w:start w:val="1"/>
      <w:numFmt w:val="bullet"/>
      <w:isLgl w:val="false"/>
      <w:suff w:val="tab"/>
      <w:lvlText w:val="–"/>
      <w:lvlJc w:val="left"/>
      <w:pPr>
        <w:ind w:left="1276" w:hanging="360"/>
      </w:pPr>
      <w:rPr>
        <w:rFonts w:hint="default" w:ascii="Liberation Sans" w:hAnsi="Liberation Sans" w:eastAsia="Liberation Sans" w:cs="Liberation Sans"/>
      </w:rPr>
    </w:lvl>
    <w:lvl w:ilvl="1">
      <w:start w:val="1"/>
      <w:numFmt w:val="bullet"/>
      <w:isLgl w:val="false"/>
      <w:suff w:val="tab"/>
      <w:lvlText w:val="o"/>
      <w:lvlJc w:val="left"/>
      <w:pPr>
        <w:ind w:left="1996" w:hanging="360"/>
      </w:pPr>
      <w:rPr>
        <w:rFonts w:hint="default" w:ascii="Courier New" w:hAnsi="Courier New" w:eastAsia="Courier New" w:cs="Courier New"/>
      </w:rPr>
    </w:lvl>
    <w:lvl w:ilvl="2">
      <w:start w:val="1"/>
      <w:numFmt w:val="bullet"/>
      <w:isLgl w:val="false"/>
      <w:suff w:val="tab"/>
      <w:lvlText w:val="§"/>
      <w:lvlJc w:val="left"/>
      <w:pPr>
        <w:ind w:left="2716" w:hanging="360"/>
      </w:pPr>
      <w:rPr>
        <w:rFonts w:hint="default" w:ascii="Wingdings" w:hAnsi="Wingdings" w:eastAsia="Wingdings" w:cs="Wingdings"/>
      </w:rPr>
    </w:lvl>
    <w:lvl w:ilvl="3">
      <w:start w:val="1"/>
      <w:numFmt w:val="bullet"/>
      <w:isLgl w:val="false"/>
      <w:suff w:val="tab"/>
      <w:lvlText w:val="·"/>
      <w:lvlJc w:val="left"/>
      <w:pPr>
        <w:ind w:left="3436" w:hanging="360"/>
      </w:pPr>
      <w:rPr>
        <w:rFonts w:hint="default" w:ascii="Symbol" w:hAnsi="Symbol" w:eastAsia="Symbol" w:cs="Symbol"/>
      </w:rPr>
    </w:lvl>
    <w:lvl w:ilvl="4">
      <w:start w:val="1"/>
      <w:numFmt w:val="bullet"/>
      <w:isLgl w:val="false"/>
      <w:suff w:val="tab"/>
      <w:lvlText w:val="o"/>
      <w:lvlJc w:val="left"/>
      <w:pPr>
        <w:ind w:left="4156" w:hanging="360"/>
      </w:pPr>
      <w:rPr>
        <w:rFonts w:hint="default" w:ascii="Courier New" w:hAnsi="Courier New" w:eastAsia="Courier New" w:cs="Courier New"/>
      </w:rPr>
    </w:lvl>
    <w:lvl w:ilvl="5">
      <w:start w:val="1"/>
      <w:numFmt w:val="bullet"/>
      <w:isLgl w:val="false"/>
      <w:suff w:val="tab"/>
      <w:lvlText w:val="§"/>
      <w:lvlJc w:val="left"/>
      <w:pPr>
        <w:ind w:left="4876" w:hanging="360"/>
      </w:pPr>
      <w:rPr>
        <w:rFonts w:hint="default" w:ascii="Wingdings" w:hAnsi="Wingdings" w:eastAsia="Wingdings" w:cs="Wingdings"/>
      </w:rPr>
    </w:lvl>
    <w:lvl w:ilvl="6">
      <w:start w:val="1"/>
      <w:numFmt w:val="bullet"/>
      <w:isLgl w:val="false"/>
      <w:suff w:val="tab"/>
      <w:lvlText w:val="·"/>
      <w:lvlJc w:val="left"/>
      <w:pPr>
        <w:ind w:left="5596" w:hanging="360"/>
      </w:pPr>
      <w:rPr>
        <w:rFonts w:hint="default" w:ascii="Symbol" w:hAnsi="Symbol" w:eastAsia="Symbol" w:cs="Symbol"/>
      </w:rPr>
    </w:lvl>
    <w:lvl w:ilvl="7">
      <w:start w:val="1"/>
      <w:numFmt w:val="bullet"/>
      <w:isLgl w:val="false"/>
      <w:suff w:val="tab"/>
      <w:lvlText w:val="o"/>
      <w:lvlJc w:val="left"/>
      <w:pPr>
        <w:ind w:left="6316" w:hanging="360"/>
      </w:pPr>
      <w:rPr>
        <w:rFonts w:hint="default" w:ascii="Courier New" w:hAnsi="Courier New" w:eastAsia="Courier New" w:cs="Courier New"/>
      </w:rPr>
    </w:lvl>
    <w:lvl w:ilvl="8">
      <w:start w:val="1"/>
      <w:numFmt w:val="bullet"/>
      <w:isLgl w:val="false"/>
      <w:suff w:val="tab"/>
      <w:lvlText w:val="§"/>
      <w:lvlJc w:val="left"/>
      <w:pPr>
        <w:ind w:left="7036" w:hanging="360"/>
      </w:pPr>
      <w:rPr>
        <w:rFonts w:hint="default" w:ascii="Wingdings" w:hAnsi="Wingdings" w:eastAsia="Wingdings" w:cs="Wingdings"/>
      </w:rPr>
    </w:lvl>
  </w:abstractNum>
  <w:abstractNum w:abstractNumId="13">
    <w:multiLevelType w:val="hybridMultilevel"/>
    <w:lvl w:ilvl="0">
      <w:start w:val="1"/>
      <w:numFmt w:val="bullet"/>
      <w:isLgl w:val="false"/>
      <w:suff w:val="tab"/>
      <w:lvlText w:val=""/>
      <w:lvlJc w:val="left"/>
      <w:pPr>
        <w:ind w:left="2126" w:hanging="360"/>
      </w:pPr>
      <w:rPr>
        <w:rFonts w:hint="default" w:ascii="Symbol" w:hAnsi="Symbol"/>
      </w:rPr>
    </w:lvl>
    <w:lvl w:ilvl="1">
      <w:start w:val="1"/>
      <w:numFmt w:val="bullet"/>
      <w:isLgl w:val="false"/>
      <w:suff w:val="tab"/>
      <w:lvlText w:val="o"/>
      <w:lvlJc w:val="left"/>
      <w:pPr>
        <w:ind w:left="2846" w:hanging="360"/>
      </w:pPr>
      <w:rPr>
        <w:rFonts w:hint="default" w:ascii="Courier New" w:hAnsi="Courier New" w:eastAsia="Courier New" w:cs="Courier New"/>
      </w:rPr>
    </w:lvl>
    <w:lvl w:ilvl="2">
      <w:start w:val="1"/>
      <w:numFmt w:val="bullet"/>
      <w:isLgl w:val="false"/>
      <w:suff w:val="tab"/>
      <w:lvlText w:val="§"/>
      <w:lvlJc w:val="left"/>
      <w:pPr>
        <w:ind w:left="3566" w:hanging="360"/>
      </w:pPr>
      <w:rPr>
        <w:rFonts w:hint="default" w:ascii="Wingdings" w:hAnsi="Wingdings" w:eastAsia="Wingdings" w:cs="Wingdings"/>
      </w:rPr>
    </w:lvl>
    <w:lvl w:ilvl="3">
      <w:start w:val="1"/>
      <w:numFmt w:val="bullet"/>
      <w:isLgl w:val="false"/>
      <w:suff w:val="tab"/>
      <w:lvlText w:val="·"/>
      <w:lvlJc w:val="left"/>
      <w:pPr>
        <w:ind w:left="4286" w:hanging="360"/>
      </w:pPr>
      <w:rPr>
        <w:rFonts w:hint="default" w:ascii="Symbol" w:hAnsi="Symbol" w:eastAsia="Symbol" w:cs="Symbol"/>
      </w:rPr>
    </w:lvl>
    <w:lvl w:ilvl="4">
      <w:start w:val="1"/>
      <w:numFmt w:val="bullet"/>
      <w:isLgl w:val="false"/>
      <w:suff w:val="tab"/>
      <w:lvlText w:val="o"/>
      <w:lvlJc w:val="left"/>
      <w:pPr>
        <w:ind w:left="5006" w:hanging="360"/>
      </w:pPr>
      <w:rPr>
        <w:rFonts w:hint="default" w:ascii="Courier New" w:hAnsi="Courier New" w:eastAsia="Courier New" w:cs="Courier New"/>
      </w:rPr>
    </w:lvl>
    <w:lvl w:ilvl="5">
      <w:start w:val="1"/>
      <w:numFmt w:val="bullet"/>
      <w:isLgl w:val="false"/>
      <w:suff w:val="tab"/>
      <w:lvlText w:val="§"/>
      <w:lvlJc w:val="left"/>
      <w:pPr>
        <w:ind w:left="5726" w:hanging="360"/>
      </w:pPr>
      <w:rPr>
        <w:rFonts w:hint="default" w:ascii="Wingdings" w:hAnsi="Wingdings" w:eastAsia="Wingdings" w:cs="Wingdings"/>
      </w:rPr>
    </w:lvl>
    <w:lvl w:ilvl="6">
      <w:start w:val="1"/>
      <w:numFmt w:val="bullet"/>
      <w:isLgl w:val="false"/>
      <w:suff w:val="tab"/>
      <w:lvlText w:val="·"/>
      <w:lvlJc w:val="left"/>
      <w:pPr>
        <w:ind w:left="6446" w:hanging="360"/>
      </w:pPr>
      <w:rPr>
        <w:rFonts w:hint="default" w:ascii="Symbol" w:hAnsi="Symbol" w:eastAsia="Symbol" w:cs="Symbol"/>
      </w:rPr>
    </w:lvl>
    <w:lvl w:ilvl="7">
      <w:start w:val="1"/>
      <w:numFmt w:val="bullet"/>
      <w:isLgl w:val="false"/>
      <w:suff w:val="tab"/>
      <w:lvlText w:val="o"/>
      <w:lvlJc w:val="left"/>
      <w:pPr>
        <w:ind w:left="7166" w:hanging="360"/>
      </w:pPr>
      <w:rPr>
        <w:rFonts w:hint="default" w:ascii="Courier New" w:hAnsi="Courier New" w:eastAsia="Courier New" w:cs="Courier New"/>
      </w:rPr>
    </w:lvl>
    <w:lvl w:ilvl="8">
      <w:start w:val="1"/>
      <w:numFmt w:val="bullet"/>
      <w:isLgl w:val="false"/>
      <w:suff w:val="tab"/>
      <w:lvlText w:val="§"/>
      <w:lvlJc w:val="left"/>
      <w:pPr>
        <w:ind w:left="7886" w:hanging="360"/>
      </w:pPr>
      <w:rPr>
        <w:rFonts w:hint="default" w:ascii="Wingdings" w:hAnsi="Wingdings" w:eastAsia="Wingdings" w:cs="Wingdings"/>
      </w:rPr>
    </w:lvl>
  </w:abstractNum>
  <w:abstractNum w:abstractNumId="14">
    <w:multiLevelType w:val="hybridMultilevel"/>
    <w:lvl w:ilvl="0">
      <w:start w:val="1"/>
      <w:numFmt w:val="bullet"/>
      <w:isLgl w:val="false"/>
      <w:suff w:val="tab"/>
      <w:lvlText w:val=""/>
      <w:lvlJc w:val="left"/>
      <w:pPr>
        <w:ind w:left="1287" w:hanging="360"/>
      </w:pPr>
      <w:rPr>
        <w:rFonts w:hint="default" w:ascii="Symbol" w:hAnsi="Symbol"/>
      </w:rPr>
    </w:lvl>
    <w:lvl w:ilvl="1">
      <w:start w:val="1"/>
      <w:numFmt w:val="bullet"/>
      <w:isLgl w:val="false"/>
      <w:suff w:val="tab"/>
      <w:lvlText w:val="o"/>
      <w:lvlJc w:val="left"/>
      <w:pPr>
        <w:ind w:left="2007" w:hanging="360"/>
      </w:pPr>
      <w:rPr>
        <w:rFonts w:hint="default" w:ascii="Courier New" w:hAnsi="Courier New" w:cs="Courier New"/>
      </w:rPr>
    </w:lvl>
    <w:lvl w:ilvl="2">
      <w:start w:val="1"/>
      <w:numFmt w:val="bullet"/>
      <w:isLgl w:val="false"/>
      <w:suff w:val="tab"/>
      <w:lvlText w:val=""/>
      <w:lvlJc w:val="left"/>
      <w:pPr>
        <w:ind w:left="2727" w:hanging="360"/>
      </w:pPr>
      <w:rPr>
        <w:rFonts w:hint="default" w:ascii="Wingdings" w:hAnsi="Wingdings"/>
      </w:rPr>
    </w:lvl>
    <w:lvl w:ilvl="3">
      <w:start w:val="1"/>
      <w:numFmt w:val="bullet"/>
      <w:isLgl w:val="false"/>
      <w:suff w:val="tab"/>
      <w:lvlText w:val=""/>
      <w:lvlJc w:val="left"/>
      <w:pPr>
        <w:ind w:left="3447" w:hanging="360"/>
      </w:pPr>
      <w:rPr>
        <w:rFonts w:hint="default" w:ascii="Symbol" w:hAnsi="Symbol"/>
      </w:rPr>
    </w:lvl>
    <w:lvl w:ilvl="4">
      <w:start w:val="1"/>
      <w:numFmt w:val="bullet"/>
      <w:isLgl w:val="false"/>
      <w:suff w:val="tab"/>
      <w:lvlText w:val="o"/>
      <w:lvlJc w:val="left"/>
      <w:pPr>
        <w:ind w:left="4167" w:hanging="360"/>
      </w:pPr>
      <w:rPr>
        <w:rFonts w:hint="default" w:ascii="Courier New" w:hAnsi="Courier New" w:cs="Courier New"/>
      </w:rPr>
    </w:lvl>
    <w:lvl w:ilvl="5">
      <w:start w:val="1"/>
      <w:numFmt w:val="bullet"/>
      <w:isLgl w:val="false"/>
      <w:suff w:val="tab"/>
      <w:lvlText w:val=""/>
      <w:lvlJc w:val="left"/>
      <w:pPr>
        <w:ind w:left="4887" w:hanging="360"/>
      </w:pPr>
      <w:rPr>
        <w:rFonts w:hint="default" w:ascii="Wingdings" w:hAnsi="Wingdings"/>
      </w:rPr>
    </w:lvl>
    <w:lvl w:ilvl="6">
      <w:start w:val="1"/>
      <w:numFmt w:val="bullet"/>
      <w:isLgl w:val="false"/>
      <w:suff w:val="tab"/>
      <w:lvlText w:val=""/>
      <w:lvlJc w:val="left"/>
      <w:pPr>
        <w:ind w:left="5607" w:hanging="360"/>
      </w:pPr>
      <w:rPr>
        <w:rFonts w:hint="default" w:ascii="Symbol" w:hAnsi="Symbol"/>
      </w:rPr>
    </w:lvl>
    <w:lvl w:ilvl="7">
      <w:start w:val="1"/>
      <w:numFmt w:val="bullet"/>
      <w:isLgl w:val="false"/>
      <w:suff w:val="tab"/>
      <w:lvlText w:val="o"/>
      <w:lvlJc w:val="left"/>
      <w:pPr>
        <w:ind w:left="6327" w:hanging="360"/>
      </w:pPr>
      <w:rPr>
        <w:rFonts w:hint="default" w:ascii="Courier New" w:hAnsi="Courier New" w:cs="Courier New"/>
      </w:rPr>
    </w:lvl>
    <w:lvl w:ilvl="8">
      <w:start w:val="1"/>
      <w:numFmt w:val="bullet"/>
      <w:isLgl w:val="false"/>
      <w:suff w:val="tab"/>
      <w:lvlText w:val=""/>
      <w:lvlJc w:val="left"/>
      <w:pPr>
        <w:ind w:left="7047" w:hanging="360"/>
      </w:pPr>
      <w:rPr>
        <w:rFonts w:hint="default" w:ascii="Wingdings" w:hAnsi="Wingdings"/>
      </w:rPr>
    </w:lvl>
  </w:abstractNum>
  <w:abstractNum w:abstractNumId="15">
    <w:multiLevelType w:val="hybridMultilevel"/>
    <w:lvl w:ilvl="0">
      <w:start w:val="1"/>
      <w:numFmt w:val="bullet"/>
      <w:isLgl w:val="false"/>
      <w:suff w:val="tab"/>
      <w:lvlText w:val="–"/>
      <w:lvlJc w:val="left"/>
      <w:pPr>
        <w:ind w:left="720" w:hanging="360"/>
      </w:pPr>
      <w:rPr>
        <w:rFonts w:ascii="Arial" w:hAnsi="Arial" w:eastAsia="Arial" w:cs="Arial"/>
      </w:rPr>
    </w:lvl>
    <w:lvl w:ilvl="1">
      <w:start w:val="1"/>
      <w:numFmt w:val="bullet"/>
      <w:isLgl w:val="false"/>
      <w:suff w:val="tab"/>
      <w:lvlText w:val="o"/>
      <w:lvlJc w:val="left"/>
      <w:pPr>
        <w:ind w:left="1440" w:hanging="360"/>
      </w:pPr>
      <w:rPr>
        <w:rFonts w:hint="default" w:ascii="Courier New" w:hAnsi="Courier New" w:eastAsia="Courier New" w:cs="Courier New"/>
      </w:rPr>
    </w:lvl>
    <w:lvl w:ilvl="2">
      <w:start w:val="1"/>
      <w:numFmt w:val="bullet"/>
      <w:isLgl w:val="false"/>
      <w:suff w:val="tab"/>
      <w:lvlText w:val="§"/>
      <w:lvlJc w:val="left"/>
      <w:pPr>
        <w:ind w:left="2160" w:hanging="360"/>
      </w:pPr>
      <w:rPr>
        <w:rFonts w:hint="default" w:ascii="Wingdings" w:hAnsi="Wingdings" w:eastAsia="Wingdings" w:cs="Wingdings"/>
      </w:rPr>
    </w:lvl>
    <w:lvl w:ilvl="3">
      <w:start w:val="1"/>
      <w:numFmt w:val="bullet"/>
      <w:isLgl w:val="false"/>
      <w:suff w:val="tab"/>
      <w:lvlText w:val="·"/>
      <w:lvlJc w:val="left"/>
      <w:pPr>
        <w:ind w:left="2880" w:hanging="360"/>
      </w:pPr>
      <w:rPr>
        <w:rFonts w:hint="default" w:ascii="Symbol" w:hAnsi="Symbol" w:eastAsia="Symbol" w:cs="Symbol"/>
      </w:rPr>
    </w:lvl>
    <w:lvl w:ilvl="4">
      <w:start w:val="1"/>
      <w:numFmt w:val="bullet"/>
      <w:isLgl w:val="false"/>
      <w:suff w:val="tab"/>
      <w:lvlText w:val="o"/>
      <w:lvlJc w:val="left"/>
      <w:pPr>
        <w:ind w:left="3600" w:hanging="360"/>
      </w:pPr>
      <w:rPr>
        <w:rFonts w:hint="default" w:ascii="Courier New" w:hAnsi="Courier New" w:eastAsia="Courier New" w:cs="Courier New"/>
      </w:rPr>
    </w:lvl>
    <w:lvl w:ilvl="5">
      <w:start w:val="1"/>
      <w:numFmt w:val="bullet"/>
      <w:isLgl w:val="false"/>
      <w:suff w:val="tab"/>
      <w:lvlText w:val="§"/>
      <w:lvlJc w:val="left"/>
      <w:pPr>
        <w:ind w:left="4320" w:hanging="360"/>
      </w:pPr>
      <w:rPr>
        <w:rFonts w:hint="default" w:ascii="Wingdings" w:hAnsi="Wingdings" w:eastAsia="Wingdings" w:cs="Wingdings"/>
      </w:rPr>
    </w:lvl>
    <w:lvl w:ilvl="6">
      <w:start w:val="1"/>
      <w:numFmt w:val="bullet"/>
      <w:isLgl w:val="false"/>
      <w:suff w:val="tab"/>
      <w:lvlText w:val="·"/>
      <w:lvlJc w:val="left"/>
      <w:pPr>
        <w:ind w:left="5040" w:hanging="360"/>
      </w:pPr>
      <w:rPr>
        <w:rFonts w:hint="default" w:ascii="Symbol" w:hAnsi="Symbol" w:eastAsia="Symbol" w:cs="Symbol"/>
      </w:rPr>
    </w:lvl>
    <w:lvl w:ilvl="7">
      <w:start w:val="1"/>
      <w:numFmt w:val="bullet"/>
      <w:isLgl w:val="false"/>
      <w:suff w:val="tab"/>
      <w:lvlText w:val="o"/>
      <w:lvlJc w:val="left"/>
      <w:pPr>
        <w:ind w:left="5760" w:hanging="360"/>
      </w:pPr>
      <w:rPr>
        <w:rFonts w:hint="default" w:ascii="Courier New" w:hAnsi="Courier New" w:eastAsia="Courier New" w:cs="Courier New"/>
      </w:rPr>
    </w:lvl>
    <w:lvl w:ilvl="8">
      <w:start w:val="1"/>
      <w:numFmt w:val="bullet"/>
      <w:isLgl w:val="false"/>
      <w:suff w:val="tab"/>
      <w:lvlText w:val="§"/>
      <w:lvlJc w:val="left"/>
      <w:pPr>
        <w:ind w:left="6480" w:hanging="360"/>
      </w:pPr>
      <w:rPr>
        <w:rFonts w:hint="default" w:ascii="Wingdings" w:hAnsi="Wingdings" w:eastAsia="Wingdings" w:cs="Wingdings"/>
      </w:rPr>
    </w:lvl>
  </w:abstractNum>
  <w:abstractNum w:abstractNumId="16">
    <w:multiLevelType w:val="hybridMultilevel"/>
    <w:lvl w:ilvl="0">
      <w:start w:val="1"/>
      <w:numFmt w:val="bullet"/>
      <w:isLgl w:val="false"/>
      <w:suff w:val="tab"/>
      <w:lvlText w:val=""/>
      <w:lvlJc w:val="left"/>
      <w:pPr>
        <w:ind w:left="1287" w:hanging="360"/>
      </w:pPr>
      <w:rPr>
        <w:rFonts w:hint="default" w:ascii="Symbol" w:hAnsi="Symbol"/>
      </w:rPr>
    </w:lvl>
    <w:lvl w:ilvl="1">
      <w:start w:val="1"/>
      <w:numFmt w:val="bullet"/>
      <w:isLgl w:val="false"/>
      <w:suff w:val="tab"/>
      <w:lvlText w:val="o"/>
      <w:lvlJc w:val="left"/>
      <w:pPr>
        <w:ind w:left="2007" w:hanging="360"/>
      </w:pPr>
      <w:rPr>
        <w:rFonts w:hint="default" w:ascii="Courier New" w:hAnsi="Courier New" w:cs="Courier New"/>
      </w:rPr>
    </w:lvl>
    <w:lvl w:ilvl="2">
      <w:start w:val="1"/>
      <w:numFmt w:val="bullet"/>
      <w:isLgl w:val="false"/>
      <w:suff w:val="tab"/>
      <w:lvlText w:val=""/>
      <w:lvlJc w:val="left"/>
      <w:pPr>
        <w:ind w:left="2727" w:hanging="360"/>
      </w:pPr>
      <w:rPr>
        <w:rFonts w:hint="default" w:ascii="Wingdings" w:hAnsi="Wingdings"/>
      </w:rPr>
    </w:lvl>
    <w:lvl w:ilvl="3">
      <w:start w:val="1"/>
      <w:numFmt w:val="bullet"/>
      <w:isLgl w:val="false"/>
      <w:suff w:val="tab"/>
      <w:lvlText w:val=""/>
      <w:lvlJc w:val="left"/>
      <w:pPr>
        <w:ind w:left="3447" w:hanging="360"/>
      </w:pPr>
      <w:rPr>
        <w:rFonts w:hint="default" w:ascii="Symbol" w:hAnsi="Symbol"/>
      </w:rPr>
    </w:lvl>
    <w:lvl w:ilvl="4">
      <w:start w:val="1"/>
      <w:numFmt w:val="bullet"/>
      <w:isLgl w:val="false"/>
      <w:suff w:val="tab"/>
      <w:lvlText w:val="o"/>
      <w:lvlJc w:val="left"/>
      <w:pPr>
        <w:ind w:left="4167" w:hanging="360"/>
      </w:pPr>
      <w:rPr>
        <w:rFonts w:hint="default" w:ascii="Courier New" w:hAnsi="Courier New" w:cs="Courier New"/>
      </w:rPr>
    </w:lvl>
    <w:lvl w:ilvl="5">
      <w:start w:val="1"/>
      <w:numFmt w:val="bullet"/>
      <w:isLgl w:val="false"/>
      <w:suff w:val="tab"/>
      <w:lvlText w:val=""/>
      <w:lvlJc w:val="left"/>
      <w:pPr>
        <w:ind w:left="4887" w:hanging="360"/>
      </w:pPr>
      <w:rPr>
        <w:rFonts w:hint="default" w:ascii="Wingdings" w:hAnsi="Wingdings"/>
      </w:rPr>
    </w:lvl>
    <w:lvl w:ilvl="6">
      <w:start w:val="1"/>
      <w:numFmt w:val="bullet"/>
      <w:isLgl w:val="false"/>
      <w:suff w:val="tab"/>
      <w:lvlText w:val=""/>
      <w:lvlJc w:val="left"/>
      <w:pPr>
        <w:ind w:left="5607" w:hanging="360"/>
      </w:pPr>
      <w:rPr>
        <w:rFonts w:hint="default" w:ascii="Symbol" w:hAnsi="Symbol"/>
      </w:rPr>
    </w:lvl>
    <w:lvl w:ilvl="7">
      <w:start w:val="1"/>
      <w:numFmt w:val="bullet"/>
      <w:isLgl w:val="false"/>
      <w:suff w:val="tab"/>
      <w:lvlText w:val="o"/>
      <w:lvlJc w:val="left"/>
      <w:pPr>
        <w:ind w:left="6327" w:hanging="360"/>
      </w:pPr>
      <w:rPr>
        <w:rFonts w:hint="default" w:ascii="Courier New" w:hAnsi="Courier New" w:cs="Courier New"/>
      </w:rPr>
    </w:lvl>
    <w:lvl w:ilvl="8">
      <w:start w:val="1"/>
      <w:numFmt w:val="bullet"/>
      <w:isLgl w:val="false"/>
      <w:suff w:val="tab"/>
      <w:lvlText w:val=""/>
      <w:lvlJc w:val="left"/>
      <w:pPr>
        <w:ind w:left="7047" w:hanging="360"/>
      </w:pPr>
      <w:rPr>
        <w:rFonts w:hint="default" w:ascii="Wingdings" w:hAnsi="Wingdings"/>
      </w:rPr>
    </w:lvl>
  </w:abstractNum>
  <w:abstractNum w:abstractNumId="17">
    <w:multiLevelType w:val="hybridMultilevel"/>
    <w:lvl w:ilvl="0">
      <w:start w:val="1"/>
      <w:numFmt w:val="bullet"/>
      <w:isLgl w:val="false"/>
      <w:suff w:val="tab"/>
      <w:lvlText w:val="–"/>
      <w:lvlJc w:val="left"/>
      <w:pPr>
        <w:ind w:left="1418" w:hanging="360"/>
      </w:pPr>
      <w:rPr>
        <w:rFonts w:ascii="Arial" w:hAnsi="Arial" w:eastAsia="Arial" w:cs="Arial"/>
      </w:rPr>
    </w:lvl>
    <w:lvl w:ilvl="1">
      <w:start w:val="1"/>
      <w:numFmt w:val="bullet"/>
      <w:isLgl w:val="false"/>
      <w:suff w:val="tab"/>
      <w:lvlText w:val="o"/>
      <w:lvlJc w:val="left"/>
      <w:pPr>
        <w:ind w:left="2138" w:hanging="360"/>
      </w:pPr>
      <w:rPr>
        <w:rFonts w:hint="default" w:ascii="Courier New" w:hAnsi="Courier New" w:eastAsia="Courier New" w:cs="Courier New"/>
      </w:rPr>
    </w:lvl>
    <w:lvl w:ilvl="2">
      <w:start w:val="1"/>
      <w:numFmt w:val="bullet"/>
      <w:isLgl w:val="false"/>
      <w:suff w:val="tab"/>
      <w:lvlText w:val="§"/>
      <w:lvlJc w:val="left"/>
      <w:pPr>
        <w:ind w:left="2858" w:hanging="360"/>
      </w:pPr>
      <w:rPr>
        <w:rFonts w:hint="default" w:ascii="Wingdings" w:hAnsi="Wingdings" w:eastAsia="Wingdings" w:cs="Wingdings"/>
      </w:rPr>
    </w:lvl>
    <w:lvl w:ilvl="3">
      <w:start w:val="1"/>
      <w:numFmt w:val="bullet"/>
      <w:isLgl w:val="false"/>
      <w:suff w:val="tab"/>
      <w:lvlText w:val="·"/>
      <w:lvlJc w:val="left"/>
      <w:pPr>
        <w:ind w:left="3578" w:hanging="360"/>
      </w:pPr>
      <w:rPr>
        <w:rFonts w:hint="default" w:ascii="Symbol" w:hAnsi="Symbol" w:eastAsia="Symbol" w:cs="Symbol"/>
      </w:rPr>
    </w:lvl>
    <w:lvl w:ilvl="4">
      <w:start w:val="1"/>
      <w:numFmt w:val="bullet"/>
      <w:isLgl w:val="false"/>
      <w:suff w:val="tab"/>
      <w:lvlText w:val="o"/>
      <w:lvlJc w:val="left"/>
      <w:pPr>
        <w:ind w:left="4298" w:hanging="360"/>
      </w:pPr>
      <w:rPr>
        <w:rFonts w:hint="default" w:ascii="Courier New" w:hAnsi="Courier New" w:eastAsia="Courier New" w:cs="Courier New"/>
      </w:rPr>
    </w:lvl>
    <w:lvl w:ilvl="5">
      <w:start w:val="1"/>
      <w:numFmt w:val="bullet"/>
      <w:isLgl w:val="false"/>
      <w:suff w:val="tab"/>
      <w:lvlText w:val="§"/>
      <w:lvlJc w:val="left"/>
      <w:pPr>
        <w:ind w:left="5018" w:hanging="360"/>
      </w:pPr>
      <w:rPr>
        <w:rFonts w:hint="default" w:ascii="Wingdings" w:hAnsi="Wingdings" w:eastAsia="Wingdings" w:cs="Wingdings"/>
      </w:rPr>
    </w:lvl>
    <w:lvl w:ilvl="6">
      <w:start w:val="1"/>
      <w:numFmt w:val="bullet"/>
      <w:isLgl w:val="false"/>
      <w:suff w:val="tab"/>
      <w:lvlText w:val="·"/>
      <w:lvlJc w:val="left"/>
      <w:pPr>
        <w:ind w:left="5738" w:hanging="360"/>
      </w:pPr>
      <w:rPr>
        <w:rFonts w:hint="default" w:ascii="Symbol" w:hAnsi="Symbol" w:eastAsia="Symbol" w:cs="Symbol"/>
      </w:rPr>
    </w:lvl>
    <w:lvl w:ilvl="7">
      <w:start w:val="1"/>
      <w:numFmt w:val="bullet"/>
      <w:isLgl w:val="false"/>
      <w:suff w:val="tab"/>
      <w:lvlText w:val="o"/>
      <w:lvlJc w:val="left"/>
      <w:pPr>
        <w:ind w:left="6458" w:hanging="360"/>
      </w:pPr>
      <w:rPr>
        <w:rFonts w:hint="default" w:ascii="Courier New" w:hAnsi="Courier New" w:eastAsia="Courier New" w:cs="Courier New"/>
      </w:rPr>
    </w:lvl>
    <w:lvl w:ilvl="8">
      <w:start w:val="1"/>
      <w:numFmt w:val="bullet"/>
      <w:isLgl w:val="false"/>
      <w:suff w:val="tab"/>
      <w:lvlText w:val="§"/>
      <w:lvlJc w:val="left"/>
      <w:pPr>
        <w:ind w:left="7178" w:hanging="360"/>
      </w:pPr>
      <w:rPr>
        <w:rFonts w:hint="default" w:ascii="Wingdings" w:hAnsi="Wingdings" w:eastAsia="Wingdings" w:cs="Wingdings"/>
      </w:rPr>
    </w:lvl>
  </w:abstractNum>
  <w:abstractNum w:abstractNumId="18">
    <w:multiLevelType w:val="hybridMultilevel"/>
    <w:lvl w:ilvl="0">
      <w:start w:val="1"/>
      <w:numFmt w:val="bullet"/>
      <w:isLgl w:val="false"/>
      <w:suff w:val="tab"/>
      <w:lvlText w:val=""/>
      <w:lvlJc w:val="left"/>
      <w:pPr>
        <w:ind w:left="720" w:hanging="360"/>
      </w:pPr>
      <w:rPr>
        <w:rFonts w:ascii="Symbol" w:hAnsi="Symbol"/>
      </w:rPr>
    </w:lvl>
    <w:lvl w:ilvl="1">
      <w:start w:val="1"/>
      <w:numFmt w:val="bullet"/>
      <w:isLgl w:val="false"/>
      <w:suff w:val="tab"/>
      <w:lvlText w:val="o"/>
      <w:lvlJc w:val="left"/>
      <w:pPr>
        <w:ind w:left="1440" w:hanging="360"/>
      </w:pPr>
      <w:rPr>
        <w:rFonts w:hint="default" w:ascii="Courier New" w:hAnsi="Courier New" w:cs="Courier New"/>
      </w:rPr>
    </w:lvl>
    <w:lvl w:ilvl="2">
      <w:start w:val="1"/>
      <w:numFmt w:val="bullet"/>
      <w:isLgl w:val="false"/>
      <w:suff w:val="tab"/>
      <w:lvlText w:val=""/>
      <w:lvlJc w:val="left"/>
      <w:pPr>
        <w:ind w:left="2160" w:hanging="360"/>
      </w:pPr>
      <w:rPr>
        <w:rFonts w:hint="default" w:ascii="Wingdings" w:hAnsi="Wingdings"/>
      </w:rPr>
    </w:lvl>
    <w:lvl w:ilvl="3">
      <w:start w:val="1"/>
      <w:numFmt w:val="bullet"/>
      <w:isLgl w:val="false"/>
      <w:suff w:val="tab"/>
      <w:lvlText w:val=""/>
      <w:lvlJc w:val="left"/>
      <w:pPr>
        <w:ind w:left="2880" w:hanging="360"/>
      </w:pPr>
      <w:rPr>
        <w:rFonts w:hint="default" w:ascii="Symbol" w:hAnsi="Symbol"/>
      </w:rPr>
    </w:lvl>
    <w:lvl w:ilvl="4">
      <w:start w:val="1"/>
      <w:numFmt w:val="bullet"/>
      <w:isLgl w:val="false"/>
      <w:suff w:val="tab"/>
      <w:lvlText w:val="o"/>
      <w:lvlJc w:val="left"/>
      <w:pPr>
        <w:ind w:left="3600" w:hanging="360"/>
      </w:pPr>
      <w:rPr>
        <w:rFonts w:hint="default" w:ascii="Courier New" w:hAnsi="Courier New" w:cs="Courier New"/>
      </w:rPr>
    </w:lvl>
    <w:lvl w:ilvl="5">
      <w:start w:val="1"/>
      <w:numFmt w:val="bullet"/>
      <w:isLgl w:val="false"/>
      <w:suff w:val="tab"/>
      <w:lvlText w:val=""/>
      <w:lvlJc w:val="left"/>
      <w:pPr>
        <w:ind w:left="4320" w:hanging="360"/>
      </w:pPr>
      <w:rPr>
        <w:rFonts w:hint="default" w:ascii="Wingdings" w:hAnsi="Wingdings"/>
      </w:rPr>
    </w:lvl>
    <w:lvl w:ilvl="6">
      <w:start w:val="1"/>
      <w:numFmt w:val="bullet"/>
      <w:isLgl w:val="false"/>
      <w:suff w:val="tab"/>
      <w:lvlText w:val=""/>
      <w:lvlJc w:val="left"/>
      <w:pPr>
        <w:ind w:left="5040" w:hanging="360"/>
      </w:pPr>
      <w:rPr>
        <w:rFonts w:hint="default" w:ascii="Symbol" w:hAnsi="Symbol"/>
      </w:rPr>
    </w:lvl>
    <w:lvl w:ilvl="7">
      <w:start w:val="1"/>
      <w:numFmt w:val="bullet"/>
      <w:isLgl w:val="false"/>
      <w:suff w:val="tab"/>
      <w:lvlText w:val="o"/>
      <w:lvlJc w:val="left"/>
      <w:pPr>
        <w:ind w:left="5760" w:hanging="360"/>
      </w:pPr>
      <w:rPr>
        <w:rFonts w:hint="default" w:ascii="Courier New" w:hAnsi="Courier New" w:cs="Courier New"/>
      </w:rPr>
    </w:lvl>
    <w:lvl w:ilvl="8">
      <w:start w:val="1"/>
      <w:numFmt w:val="bullet"/>
      <w:isLgl w:val="false"/>
      <w:suff w:val="tab"/>
      <w:lvlText w:val=""/>
      <w:lvlJc w:val="left"/>
      <w:pPr>
        <w:ind w:left="6480" w:hanging="360"/>
      </w:pPr>
      <w:rPr>
        <w:rFonts w:hint="default" w:ascii="Wingdings" w:hAnsi="Wingdings"/>
      </w:rPr>
    </w:lvl>
  </w:abstractNum>
  <w:abstractNum w:abstractNumId="19">
    <w:multiLevelType w:val="hybridMultilevel"/>
    <w:lvl w:ilvl="0">
      <w:start w:val="1"/>
      <w:numFmt w:val="bullet"/>
      <w:isLgl w:val="false"/>
      <w:suff w:val="tab"/>
      <w:lvlText w:val=""/>
      <w:lvlJc w:val="left"/>
      <w:pPr>
        <w:ind w:left="0"/>
      </w:pPr>
      <w:rPr>
        <w:rFonts w:hint="default" w:ascii="Symbol" w:hAnsi="Symbol"/>
        <w:b w:val="0"/>
        <w:i w:val="0"/>
        <w:strike w:val="0"/>
        <w:color w:val="000000"/>
        <w:sz w:val="28"/>
        <w:szCs w:val="28"/>
        <w:u w:val="none"/>
        <w:vertAlign w:val="baseline"/>
      </w:rPr>
    </w:lvl>
    <w:lvl w:ilvl="1">
      <w:start w:val="1"/>
      <w:numFmt w:val="bullet"/>
      <w:isLgl w:val="false"/>
      <w:suff w:val="tab"/>
      <w:lvlText w:val="o"/>
      <w:lvlJc w:val="left"/>
      <w:pPr>
        <w:ind w:left="1788"/>
      </w:pPr>
      <w:rPr>
        <w:rFonts w:ascii="Times New Roman" w:hAnsi="Times New Roman" w:eastAsia="Times New Roman" w:cs="Times New Roman"/>
        <w:b w:val="0"/>
        <w:i w:val="0"/>
        <w:strike w:val="0"/>
        <w:color w:val="000000"/>
        <w:sz w:val="28"/>
        <w:szCs w:val="28"/>
        <w:u w:val="none"/>
        <w:vertAlign w:val="baseline"/>
      </w:rPr>
    </w:lvl>
    <w:lvl w:ilvl="2">
      <w:start w:val="1"/>
      <w:numFmt w:val="bullet"/>
      <w:isLgl w:val="false"/>
      <w:suff w:val="tab"/>
      <w:lvlText w:val="▪"/>
      <w:lvlJc w:val="left"/>
      <w:pPr>
        <w:ind w:left="2508"/>
      </w:pPr>
      <w:rPr>
        <w:rFonts w:ascii="Times New Roman" w:hAnsi="Times New Roman" w:eastAsia="Times New Roman" w:cs="Times New Roman"/>
        <w:b w:val="0"/>
        <w:i w:val="0"/>
        <w:strike w:val="0"/>
        <w:color w:val="000000"/>
        <w:sz w:val="28"/>
        <w:szCs w:val="28"/>
        <w:u w:val="none"/>
        <w:vertAlign w:val="baseline"/>
      </w:rPr>
    </w:lvl>
    <w:lvl w:ilvl="3">
      <w:start w:val="1"/>
      <w:numFmt w:val="bullet"/>
      <w:isLgl w:val="false"/>
      <w:suff w:val="tab"/>
      <w:lvlText w:val="•"/>
      <w:lvlJc w:val="left"/>
      <w:pPr>
        <w:ind w:left="3228"/>
      </w:pPr>
      <w:rPr>
        <w:rFonts w:ascii="Times New Roman" w:hAnsi="Times New Roman" w:eastAsia="Times New Roman" w:cs="Times New Roman"/>
        <w:b w:val="0"/>
        <w:i w:val="0"/>
        <w:strike w:val="0"/>
        <w:color w:val="000000"/>
        <w:sz w:val="28"/>
        <w:szCs w:val="28"/>
        <w:u w:val="none"/>
        <w:vertAlign w:val="baseline"/>
      </w:rPr>
    </w:lvl>
    <w:lvl w:ilvl="4">
      <w:start w:val="1"/>
      <w:numFmt w:val="bullet"/>
      <w:isLgl w:val="false"/>
      <w:suff w:val="tab"/>
      <w:lvlText w:val="o"/>
      <w:lvlJc w:val="left"/>
      <w:pPr>
        <w:ind w:left="3948"/>
      </w:pPr>
      <w:rPr>
        <w:rFonts w:ascii="Times New Roman" w:hAnsi="Times New Roman" w:eastAsia="Times New Roman" w:cs="Times New Roman"/>
        <w:b w:val="0"/>
        <w:i w:val="0"/>
        <w:strike w:val="0"/>
        <w:color w:val="000000"/>
        <w:sz w:val="28"/>
        <w:szCs w:val="28"/>
        <w:u w:val="none"/>
        <w:vertAlign w:val="baseline"/>
      </w:rPr>
    </w:lvl>
    <w:lvl w:ilvl="5">
      <w:start w:val="1"/>
      <w:numFmt w:val="bullet"/>
      <w:isLgl w:val="false"/>
      <w:suff w:val="tab"/>
      <w:lvlText w:val="▪"/>
      <w:lvlJc w:val="left"/>
      <w:pPr>
        <w:ind w:left="4668"/>
      </w:pPr>
      <w:rPr>
        <w:rFonts w:ascii="Times New Roman" w:hAnsi="Times New Roman" w:eastAsia="Times New Roman" w:cs="Times New Roman"/>
        <w:b w:val="0"/>
        <w:i w:val="0"/>
        <w:strike w:val="0"/>
        <w:color w:val="000000"/>
        <w:sz w:val="28"/>
        <w:szCs w:val="28"/>
        <w:u w:val="none"/>
        <w:vertAlign w:val="baseline"/>
      </w:rPr>
    </w:lvl>
    <w:lvl w:ilvl="6">
      <w:start w:val="1"/>
      <w:numFmt w:val="bullet"/>
      <w:isLgl w:val="false"/>
      <w:suff w:val="tab"/>
      <w:lvlText w:val="•"/>
      <w:lvlJc w:val="left"/>
      <w:pPr>
        <w:ind w:left="5388"/>
      </w:pPr>
      <w:rPr>
        <w:rFonts w:ascii="Times New Roman" w:hAnsi="Times New Roman" w:eastAsia="Times New Roman" w:cs="Times New Roman"/>
        <w:b w:val="0"/>
        <w:i w:val="0"/>
        <w:strike w:val="0"/>
        <w:color w:val="000000"/>
        <w:sz w:val="28"/>
        <w:szCs w:val="28"/>
        <w:u w:val="none"/>
        <w:vertAlign w:val="baseline"/>
      </w:rPr>
    </w:lvl>
    <w:lvl w:ilvl="7">
      <w:start w:val="1"/>
      <w:numFmt w:val="bullet"/>
      <w:isLgl w:val="false"/>
      <w:suff w:val="tab"/>
      <w:lvlText w:val="o"/>
      <w:lvlJc w:val="left"/>
      <w:pPr>
        <w:ind w:left="6108"/>
      </w:pPr>
      <w:rPr>
        <w:rFonts w:ascii="Times New Roman" w:hAnsi="Times New Roman" w:eastAsia="Times New Roman" w:cs="Times New Roman"/>
        <w:b w:val="0"/>
        <w:i w:val="0"/>
        <w:strike w:val="0"/>
        <w:color w:val="000000"/>
        <w:sz w:val="28"/>
        <w:szCs w:val="28"/>
        <w:u w:val="none"/>
        <w:vertAlign w:val="baseline"/>
      </w:rPr>
    </w:lvl>
    <w:lvl w:ilvl="8">
      <w:start w:val="1"/>
      <w:numFmt w:val="bullet"/>
      <w:isLgl w:val="false"/>
      <w:suff w:val="tab"/>
      <w:lvlText w:val="▪"/>
      <w:lvlJc w:val="left"/>
      <w:pPr>
        <w:ind w:left="6828"/>
      </w:pPr>
      <w:rPr>
        <w:rFonts w:ascii="Times New Roman" w:hAnsi="Times New Roman" w:eastAsia="Times New Roman" w:cs="Times New Roman"/>
        <w:b w:val="0"/>
        <w:i w:val="0"/>
        <w:strike w:val="0"/>
        <w:color w:val="000000"/>
        <w:sz w:val="28"/>
        <w:szCs w:val="28"/>
        <w:u w:val="none"/>
        <w:vertAlign w:val="baseline"/>
      </w:rPr>
    </w:lvl>
  </w:abstractNum>
  <w:abstractNum w:abstractNumId="20">
    <w:multiLevelType w:val="hybridMultilevel"/>
    <w:lvl w:ilvl="0">
      <w:start w:val="1"/>
      <w:numFmt w:val="bullet"/>
      <w:isLgl w:val="false"/>
      <w:suff w:val="tab"/>
      <w:lvlText w:val=""/>
      <w:lvlJc w:val="left"/>
      <w:pPr>
        <w:ind w:left="720" w:hanging="360"/>
      </w:pPr>
      <w:rPr>
        <w:rFonts w:hint="default" w:ascii="Symbol" w:hAnsi="Symbol"/>
      </w:rPr>
    </w:lvl>
    <w:lvl w:ilvl="1">
      <w:start w:val="1"/>
      <w:numFmt w:val="bullet"/>
      <w:isLgl w:val="false"/>
      <w:suff w:val="tab"/>
      <w:lvlText w:val="o"/>
      <w:lvlJc w:val="left"/>
      <w:pPr>
        <w:ind w:left="1440" w:hanging="360"/>
      </w:pPr>
      <w:rPr>
        <w:rFonts w:hint="default" w:ascii="Courier New" w:hAnsi="Courier New" w:cs="Courier New"/>
      </w:rPr>
    </w:lvl>
    <w:lvl w:ilvl="2">
      <w:start w:val="1"/>
      <w:numFmt w:val="bullet"/>
      <w:isLgl w:val="false"/>
      <w:suff w:val="tab"/>
      <w:lvlText w:val=""/>
      <w:lvlJc w:val="left"/>
      <w:pPr>
        <w:ind w:left="2160" w:hanging="360"/>
      </w:pPr>
      <w:rPr>
        <w:rFonts w:hint="default" w:ascii="Wingdings" w:hAnsi="Wingdings"/>
      </w:rPr>
    </w:lvl>
    <w:lvl w:ilvl="3">
      <w:start w:val="1"/>
      <w:numFmt w:val="bullet"/>
      <w:isLgl w:val="false"/>
      <w:suff w:val="tab"/>
      <w:lvlText w:val=""/>
      <w:lvlJc w:val="left"/>
      <w:pPr>
        <w:ind w:left="2880" w:hanging="360"/>
      </w:pPr>
      <w:rPr>
        <w:rFonts w:hint="default" w:ascii="Symbol" w:hAnsi="Symbol"/>
      </w:rPr>
    </w:lvl>
    <w:lvl w:ilvl="4">
      <w:start w:val="1"/>
      <w:numFmt w:val="bullet"/>
      <w:isLgl w:val="false"/>
      <w:suff w:val="tab"/>
      <w:lvlText w:val="o"/>
      <w:lvlJc w:val="left"/>
      <w:pPr>
        <w:ind w:left="3600" w:hanging="360"/>
      </w:pPr>
      <w:rPr>
        <w:rFonts w:hint="default" w:ascii="Courier New" w:hAnsi="Courier New" w:cs="Courier New"/>
      </w:rPr>
    </w:lvl>
    <w:lvl w:ilvl="5">
      <w:start w:val="1"/>
      <w:numFmt w:val="bullet"/>
      <w:isLgl w:val="false"/>
      <w:suff w:val="tab"/>
      <w:lvlText w:val=""/>
      <w:lvlJc w:val="left"/>
      <w:pPr>
        <w:ind w:left="4320" w:hanging="360"/>
      </w:pPr>
      <w:rPr>
        <w:rFonts w:hint="default" w:ascii="Wingdings" w:hAnsi="Wingdings"/>
      </w:rPr>
    </w:lvl>
    <w:lvl w:ilvl="6">
      <w:start w:val="1"/>
      <w:numFmt w:val="bullet"/>
      <w:isLgl w:val="false"/>
      <w:suff w:val="tab"/>
      <w:lvlText w:val=""/>
      <w:lvlJc w:val="left"/>
      <w:pPr>
        <w:ind w:left="5040" w:hanging="360"/>
      </w:pPr>
      <w:rPr>
        <w:rFonts w:hint="default" w:ascii="Symbol" w:hAnsi="Symbol"/>
      </w:rPr>
    </w:lvl>
    <w:lvl w:ilvl="7">
      <w:start w:val="1"/>
      <w:numFmt w:val="bullet"/>
      <w:isLgl w:val="false"/>
      <w:suff w:val="tab"/>
      <w:lvlText w:val="o"/>
      <w:lvlJc w:val="left"/>
      <w:pPr>
        <w:ind w:left="5760" w:hanging="360"/>
      </w:pPr>
      <w:rPr>
        <w:rFonts w:hint="default" w:ascii="Courier New" w:hAnsi="Courier New" w:cs="Courier New"/>
      </w:rPr>
    </w:lvl>
    <w:lvl w:ilvl="8">
      <w:start w:val="1"/>
      <w:numFmt w:val="bullet"/>
      <w:isLgl w:val="false"/>
      <w:suff w:val="tab"/>
      <w:lvlText w:val=""/>
      <w:lvlJc w:val="left"/>
      <w:pPr>
        <w:ind w:left="6480" w:hanging="360"/>
      </w:pPr>
      <w:rPr>
        <w:rFonts w:hint="default" w:ascii="Wingdings" w:hAnsi="Wingdings"/>
      </w:rPr>
    </w:lvl>
  </w:abstractNum>
  <w:abstractNum w:abstractNumId="21">
    <w:multiLevelType w:val="hybridMultilevel"/>
    <w:lvl w:ilvl="0">
      <w:start w:val="1"/>
      <w:numFmt w:val="bullet"/>
      <w:isLgl w:val="false"/>
      <w:suff w:val="tab"/>
      <w:lvlText w:val=""/>
      <w:lvlJc w:val="left"/>
      <w:pPr>
        <w:ind w:left="1428" w:hanging="360"/>
      </w:pPr>
      <w:rPr>
        <w:rFonts w:hint="default" w:ascii="Symbol" w:hAnsi="Symbol"/>
      </w:rPr>
    </w:lvl>
    <w:lvl w:ilvl="1">
      <w:start w:val="1"/>
      <w:numFmt w:val="bullet"/>
      <w:isLgl w:val="false"/>
      <w:suff w:val="tab"/>
      <w:lvlText w:val="o"/>
      <w:lvlJc w:val="left"/>
      <w:pPr>
        <w:ind w:left="2148" w:hanging="360"/>
      </w:pPr>
      <w:rPr>
        <w:rFonts w:hint="default" w:ascii="Courier New" w:hAnsi="Courier New" w:cs="Courier New"/>
      </w:rPr>
    </w:lvl>
    <w:lvl w:ilvl="2">
      <w:start w:val="1"/>
      <w:numFmt w:val="bullet"/>
      <w:isLgl w:val="false"/>
      <w:suff w:val="tab"/>
      <w:lvlText w:val=""/>
      <w:lvlJc w:val="left"/>
      <w:pPr>
        <w:ind w:left="2868" w:hanging="360"/>
      </w:pPr>
      <w:rPr>
        <w:rFonts w:hint="default" w:ascii="Wingdings" w:hAnsi="Wingdings"/>
      </w:rPr>
    </w:lvl>
    <w:lvl w:ilvl="3">
      <w:start w:val="1"/>
      <w:numFmt w:val="bullet"/>
      <w:isLgl w:val="false"/>
      <w:suff w:val="tab"/>
      <w:lvlText w:val=""/>
      <w:lvlJc w:val="left"/>
      <w:pPr>
        <w:ind w:left="3588" w:hanging="360"/>
      </w:pPr>
      <w:rPr>
        <w:rFonts w:hint="default" w:ascii="Symbol" w:hAnsi="Symbol"/>
      </w:rPr>
    </w:lvl>
    <w:lvl w:ilvl="4">
      <w:start w:val="1"/>
      <w:numFmt w:val="bullet"/>
      <w:isLgl w:val="false"/>
      <w:suff w:val="tab"/>
      <w:lvlText w:val="o"/>
      <w:lvlJc w:val="left"/>
      <w:pPr>
        <w:ind w:left="4308" w:hanging="360"/>
      </w:pPr>
      <w:rPr>
        <w:rFonts w:hint="default" w:ascii="Courier New" w:hAnsi="Courier New" w:cs="Courier New"/>
      </w:rPr>
    </w:lvl>
    <w:lvl w:ilvl="5">
      <w:start w:val="1"/>
      <w:numFmt w:val="bullet"/>
      <w:isLgl w:val="false"/>
      <w:suff w:val="tab"/>
      <w:lvlText w:val=""/>
      <w:lvlJc w:val="left"/>
      <w:pPr>
        <w:ind w:left="5028" w:hanging="360"/>
      </w:pPr>
      <w:rPr>
        <w:rFonts w:hint="default" w:ascii="Wingdings" w:hAnsi="Wingdings"/>
      </w:rPr>
    </w:lvl>
    <w:lvl w:ilvl="6">
      <w:start w:val="1"/>
      <w:numFmt w:val="bullet"/>
      <w:isLgl w:val="false"/>
      <w:suff w:val="tab"/>
      <w:lvlText w:val=""/>
      <w:lvlJc w:val="left"/>
      <w:pPr>
        <w:ind w:left="5748" w:hanging="360"/>
      </w:pPr>
      <w:rPr>
        <w:rFonts w:hint="default" w:ascii="Symbol" w:hAnsi="Symbol"/>
      </w:rPr>
    </w:lvl>
    <w:lvl w:ilvl="7">
      <w:start w:val="1"/>
      <w:numFmt w:val="bullet"/>
      <w:isLgl w:val="false"/>
      <w:suff w:val="tab"/>
      <w:lvlText w:val="o"/>
      <w:lvlJc w:val="left"/>
      <w:pPr>
        <w:ind w:left="6468" w:hanging="360"/>
      </w:pPr>
      <w:rPr>
        <w:rFonts w:hint="default" w:ascii="Courier New" w:hAnsi="Courier New" w:cs="Courier New"/>
      </w:rPr>
    </w:lvl>
    <w:lvl w:ilvl="8">
      <w:start w:val="1"/>
      <w:numFmt w:val="bullet"/>
      <w:isLgl w:val="false"/>
      <w:suff w:val="tab"/>
      <w:lvlText w:val=""/>
      <w:lvlJc w:val="left"/>
      <w:pPr>
        <w:ind w:left="7188" w:hanging="360"/>
      </w:pPr>
      <w:rPr>
        <w:rFonts w:hint="default" w:ascii="Wingdings" w:hAnsi="Wingdings"/>
      </w:rPr>
    </w:lvl>
  </w:abstractNum>
  <w:abstractNum w:abstractNumId="22">
    <w:multiLevelType w:val="hybridMultilevel"/>
    <w:lvl w:ilvl="0">
      <w:start w:val="1"/>
      <w:numFmt w:val="bullet"/>
      <w:isLgl w:val="false"/>
      <w:suff w:val="tab"/>
      <w:lvlText w:val=""/>
      <w:lvlJc w:val="left"/>
      <w:pPr>
        <w:ind w:left="0"/>
      </w:pPr>
      <w:rPr>
        <w:rFonts w:hint="default" w:ascii="Symbol" w:hAnsi="Symbol"/>
        <w:b w:val="0"/>
        <w:i w:val="0"/>
        <w:strike w:val="0"/>
        <w:color w:val="000000"/>
        <w:sz w:val="28"/>
        <w:szCs w:val="28"/>
        <w:u w:val="none"/>
        <w:vertAlign w:val="baseline"/>
      </w:rPr>
    </w:lvl>
    <w:lvl w:ilvl="1">
      <w:start w:val="1"/>
      <w:numFmt w:val="bullet"/>
      <w:isLgl w:val="false"/>
      <w:suff w:val="tab"/>
      <w:lvlText w:val="o"/>
      <w:lvlJc w:val="left"/>
      <w:pPr>
        <w:ind w:left="1788"/>
      </w:pPr>
      <w:rPr>
        <w:rFonts w:ascii="Times New Roman" w:hAnsi="Times New Roman" w:eastAsia="Times New Roman" w:cs="Times New Roman"/>
        <w:b w:val="0"/>
        <w:i w:val="0"/>
        <w:strike w:val="0"/>
        <w:color w:val="000000"/>
        <w:sz w:val="28"/>
        <w:szCs w:val="28"/>
        <w:u w:val="none"/>
        <w:vertAlign w:val="baseline"/>
      </w:rPr>
    </w:lvl>
    <w:lvl w:ilvl="2">
      <w:start w:val="1"/>
      <w:numFmt w:val="bullet"/>
      <w:isLgl w:val="false"/>
      <w:suff w:val="tab"/>
      <w:lvlText w:val="▪"/>
      <w:lvlJc w:val="left"/>
      <w:pPr>
        <w:ind w:left="2508"/>
      </w:pPr>
      <w:rPr>
        <w:rFonts w:ascii="Times New Roman" w:hAnsi="Times New Roman" w:eastAsia="Times New Roman" w:cs="Times New Roman"/>
        <w:b w:val="0"/>
        <w:i w:val="0"/>
        <w:strike w:val="0"/>
        <w:color w:val="000000"/>
        <w:sz w:val="28"/>
        <w:szCs w:val="28"/>
        <w:u w:val="none"/>
        <w:vertAlign w:val="baseline"/>
      </w:rPr>
    </w:lvl>
    <w:lvl w:ilvl="3">
      <w:start w:val="1"/>
      <w:numFmt w:val="bullet"/>
      <w:isLgl w:val="false"/>
      <w:suff w:val="tab"/>
      <w:lvlText w:val="•"/>
      <w:lvlJc w:val="left"/>
      <w:pPr>
        <w:ind w:left="3228"/>
      </w:pPr>
      <w:rPr>
        <w:rFonts w:ascii="Times New Roman" w:hAnsi="Times New Roman" w:eastAsia="Times New Roman" w:cs="Times New Roman"/>
        <w:b w:val="0"/>
        <w:i w:val="0"/>
        <w:strike w:val="0"/>
        <w:color w:val="000000"/>
        <w:sz w:val="28"/>
        <w:szCs w:val="28"/>
        <w:u w:val="none"/>
        <w:vertAlign w:val="baseline"/>
      </w:rPr>
    </w:lvl>
    <w:lvl w:ilvl="4">
      <w:start w:val="1"/>
      <w:numFmt w:val="bullet"/>
      <w:isLgl w:val="false"/>
      <w:suff w:val="tab"/>
      <w:lvlText w:val="o"/>
      <w:lvlJc w:val="left"/>
      <w:pPr>
        <w:ind w:left="3948"/>
      </w:pPr>
      <w:rPr>
        <w:rFonts w:ascii="Times New Roman" w:hAnsi="Times New Roman" w:eastAsia="Times New Roman" w:cs="Times New Roman"/>
        <w:b w:val="0"/>
        <w:i w:val="0"/>
        <w:strike w:val="0"/>
        <w:color w:val="000000"/>
        <w:sz w:val="28"/>
        <w:szCs w:val="28"/>
        <w:u w:val="none"/>
        <w:vertAlign w:val="baseline"/>
      </w:rPr>
    </w:lvl>
    <w:lvl w:ilvl="5">
      <w:start w:val="1"/>
      <w:numFmt w:val="bullet"/>
      <w:isLgl w:val="false"/>
      <w:suff w:val="tab"/>
      <w:lvlText w:val="▪"/>
      <w:lvlJc w:val="left"/>
      <w:pPr>
        <w:ind w:left="4668"/>
      </w:pPr>
      <w:rPr>
        <w:rFonts w:ascii="Times New Roman" w:hAnsi="Times New Roman" w:eastAsia="Times New Roman" w:cs="Times New Roman"/>
        <w:b w:val="0"/>
        <w:i w:val="0"/>
        <w:strike w:val="0"/>
        <w:color w:val="000000"/>
        <w:sz w:val="28"/>
        <w:szCs w:val="28"/>
        <w:u w:val="none"/>
        <w:vertAlign w:val="baseline"/>
      </w:rPr>
    </w:lvl>
    <w:lvl w:ilvl="6">
      <w:start w:val="1"/>
      <w:numFmt w:val="bullet"/>
      <w:isLgl w:val="false"/>
      <w:suff w:val="tab"/>
      <w:lvlText w:val="•"/>
      <w:lvlJc w:val="left"/>
      <w:pPr>
        <w:ind w:left="5388"/>
      </w:pPr>
      <w:rPr>
        <w:rFonts w:ascii="Times New Roman" w:hAnsi="Times New Roman" w:eastAsia="Times New Roman" w:cs="Times New Roman"/>
        <w:b w:val="0"/>
        <w:i w:val="0"/>
        <w:strike w:val="0"/>
        <w:color w:val="000000"/>
        <w:sz w:val="28"/>
        <w:szCs w:val="28"/>
        <w:u w:val="none"/>
        <w:vertAlign w:val="baseline"/>
      </w:rPr>
    </w:lvl>
    <w:lvl w:ilvl="7">
      <w:start w:val="1"/>
      <w:numFmt w:val="bullet"/>
      <w:isLgl w:val="false"/>
      <w:suff w:val="tab"/>
      <w:lvlText w:val="o"/>
      <w:lvlJc w:val="left"/>
      <w:pPr>
        <w:ind w:left="6108"/>
      </w:pPr>
      <w:rPr>
        <w:rFonts w:ascii="Times New Roman" w:hAnsi="Times New Roman" w:eastAsia="Times New Roman" w:cs="Times New Roman"/>
        <w:b w:val="0"/>
        <w:i w:val="0"/>
        <w:strike w:val="0"/>
        <w:color w:val="000000"/>
        <w:sz w:val="28"/>
        <w:szCs w:val="28"/>
        <w:u w:val="none"/>
        <w:vertAlign w:val="baseline"/>
      </w:rPr>
    </w:lvl>
    <w:lvl w:ilvl="8">
      <w:start w:val="1"/>
      <w:numFmt w:val="bullet"/>
      <w:isLgl w:val="false"/>
      <w:suff w:val="tab"/>
      <w:lvlText w:val="▪"/>
      <w:lvlJc w:val="left"/>
      <w:pPr>
        <w:ind w:left="6828"/>
      </w:pPr>
      <w:rPr>
        <w:rFonts w:ascii="Times New Roman" w:hAnsi="Times New Roman" w:eastAsia="Times New Roman" w:cs="Times New Roman"/>
        <w:b w:val="0"/>
        <w:i w:val="0"/>
        <w:strike w:val="0"/>
        <w:color w:val="000000"/>
        <w:sz w:val="28"/>
        <w:szCs w:val="28"/>
        <w:u w:val="none"/>
        <w:vertAlign w:val="baseline"/>
      </w:rPr>
    </w:lvl>
  </w:abstractNum>
  <w:abstractNum w:abstractNumId="23">
    <w:multiLevelType w:val="hybridMultilevel"/>
    <w:lvl w:ilvl="0">
      <w:start w:val="1"/>
      <w:numFmt w:val="bullet"/>
      <w:isLgl w:val="false"/>
      <w:suff w:val="tab"/>
      <w:lvlText w:val=""/>
      <w:lvlJc w:val="left"/>
      <w:pPr>
        <w:ind w:left="1429" w:hanging="360"/>
      </w:pPr>
      <w:rPr>
        <w:rFonts w:hint="default" w:ascii="Symbol" w:hAnsi="Symbol"/>
      </w:rPr>
    </w:lvl>
    <w:lvl w:ilvl="1">
      <w:start w:val="1"/>
      <w:numFmt w:val="bullet"/>
      <w:isLgl w:val="false"/>
      <w:suff w:val="tab"/>
      <w:lvlText w:val="o"/>
      <w:lvlJc w:val="left"/>
      <w:pPr>
        <w:ind w:left="2149" w:hanging="360"/>
      </w:pPr>
      <w:rPr>
        <w:rFonts w:hint="default" w:ascii="Courier New" w:hAnsi="Courier New" w:cs="Courier New"/>
      </w:rPr>
    </w:lvl>
    <w:lvl w:ilvl="2">
      <w:start w:val="1"/>
      <w:numFmt w:val="bullet"/>
      <w:isLgl w:val="false"/>
      <w:suff w:val="tab"/>
      <w:lvlText w:val=""/>
      <w:lvlJc w:val="left"/>
      <w:pPr>
        <w:ind w:left="2869" w:hanging="360"/>
      </w:pPr>
      <w:rPr>
        <w:rFonts w:hint="default" w:ascii="Wingdings" w:hAnsi="Wingdings"/>
      </w:rPr>
    </w:lvl>
    <w:lvl w:ilvl="3">
      <w:start w:val="1"/>
      <w:numFmt w:val="bullet"/>
      <w:isLgl w:val="false"/>
      <w:suff w:val="tab"/>
      <w:lvlText w:val=""/>
      <w:lvlJc w:val="left"/>
      <w:pPr>
        <w:ind w:left="3589" w:hanging="360"/>
      </w:pPr>
      <w:rPr>
        <w:rFonts w:hint="default" w:ascii="Symbol" w:hAnsi="Symbol"/>
      </w:rPr>
    </w:lvl>
    <w:lvl w:ilvl="4">
      <w:start w:val="1"/>
      <w:numFmt w:val="bullet"/>
      <w:isLgl w:val="false"/>
      <w:suff w:val="tab"/>
      <w:lvlText w:val="o"/>
      <w:lvlJc w:val="left"/>
      <w:pPr>
        <w:ind w:left="4309" w:hanging="360"/>
      </w:pPr>
      <w:rPr>
        <w:rFonts w:hint="default" w:ascii="Courier New" w:hAnsi="Courier New" w:cs="Courier New"/>
      </w:rPr>
    </w:lvl>
    <w:lvl w:ilvl="5">
      <w:start w:val="1"/>
      <w:numFmt w:val="bullet"/>
      <w:isLgl w:val="false"/>
      <w:suff w:val="tab"/>
      <w:lvlText w:val=""/>
      <w:lvlJc w:val="left"/>
      <w:pPr>
        <w:ind w:left="5029" w:hanging="360"/>
      </w:pPr>
      <w:rPr>
        <w:rFonts w:hint="default" w:ascii="Wingdings" w:hAnsi="Wingdings"/>
      </w:rPr>
    </w:lvl>
    <w:lvl w:ilvl="6">
      <w:start w:val="1"/>
      <w:numFmt w:val="bullet"/>
      <w:isLgl w:val="false"/>
      <w:suff w:val="tab"/>
      <w:lvlText w:val=""/>
      <w:lvlJc w:val="left"/>
      <w:pPr>
        <w:ind w:left="5749" w:hanging="360"/>
      </w:pPr>
      <w:rPr>
        <w:rFonts w:hint="default" w:ascii="Symbol" w:hAnsi="Symbol"/>
      </w:rPr>
    </w:lvl>
    <w:lvl w:ilvl="7">
      <w:start w:val="1"/>
      <w:numFmt w:val="bullet"/>
      <w:isLgl w:val="false"/>
      <w:suff w:val="tab"/>
      <w:lvlText w:val="o"/>
      <w:lvlJc w:val="left"/>
      <w:pPr>
        <w:ind w:left="6469" w:hanging="360"/>
      </w:pPr>
      <w:rPr>
        <w:rFonts w:hint="default" w:ascii="Courier New" w:hAnsi="Courier New" w:cs="Courier New"/>
      </w:rPr>
    </w:lvl>
    <w:lvl w:ilvl="8">
      <w:start w:val="1"/>
      <w:numFmt w:val="bullet"/>
      <w:isLgl w:val="false"/>
      <w:suff w:val="tab"/>
      <w:lvlText w:val=""/>
      <w:lvlJc w:val="left"/>
      <w:pPr>
        <w:ind w:left="7189" w:hanging="360"/>
      </w:pPr>
      <w:rPr>
        <w:rFonts w:hint="default" w:ascii="Wingdings" w:hAnsi="Wingdings"/>
      </w:rPr>
    </w:lvl>
  </w:abstractNum>
  <w:abstractNum w:abstractNumId="24">
    <w:multiLevelType w:val="hybridMultilevel"/>
    <w:lvl w:ilvl="0">
      <w:start w:val="1"/>
      <w:numFmt w:val="bullet"/>
      <w:isLgl w:val="false"/>
      <w:suff w:val="tab"/>
      <w:lvlText w:val=""/>
      <w:lvlJc w:val="left"/>
      <w:pPr>
        <w:ind w:left="1429" w:hanging="360"/>
      </w:pPr>
      <w:rPr>
        <w:rFonts w:hint="default" w:ascii="Symbol" w:hAnsi="Symbol"/>
      </w:rPr>
    </w:lvl>
    <w:lvl w:ilvl="1">
      <w:start w:val="1"/>
      <w:numFmt w:val="bullet"/>
      <w:isLgl w:val="false"/>
      <w:suff w:val="tab"/>
      <w:lvlText w:val="o"/>
      <w:lvlJc w:val="left"/>
      <w:pPr>
        <w:ind w:left="2149" w:hanging="360"/>
      </w:pPr>
      <w:rPr>
        <w:rFonts w:hint="default" w:ascii="Courier New" w:hAnsi="Courier New" w:cs="Courier New"/>
      </w:rPr>
    </w:lvl>
    <w:lvl w:ilvl="2">
      <w:start w:val="1"/>
      <w:numFmt w:val="bullet"/>
      <w:isLgl w:val="false"/>
      <w:suff w:val="tab"/>
      <w:lvlText w:val=""/>
      <w:lvlJc w:val="left"/>
      <w:pPr>
        <w:ind w:left="2869" w:hanging="360"/>
      </w:pPr>
      <w:rPr>
        <w:rFonts w:hint="default" w:ascii="Wingdings" w:hAnsi="Wingdings"/>
      </w:rPr>
    </w:lvl>
    <w:lvl w:ilvl="3">
      <w:start w:val="1"/>
      <w:numFmt w:val="bullet"/>
      <w:isLgl w:val="false"/>
      <w:suff w:val="tab"/>
      <w:lvlText w:val=""/>
      <w:lvlJc w:val="left"/>
      <w:pPr>
        <w:ind w:left="3589" w:hanging="360"/>
      </w:pPr>
      <w:rPr>
        <w:rFonts w:hint="default" w:ascii="Symbol" w:hAnsi="Symbol"/>
      </w:rPr>
    </w:lvl>
    <w:lvl w:ilvl="4">
      <w:start w:val="1"/>
      <w:numFmt w:val="bullet"/>
      <w:isLgl w:val="false"/>
      <w:suff w:val="tab"/>
      <w:lvlText w:val="o"/>
      <w:lvlJc w:val="left"/>
      <w:pPr>
        <w:ind w:left="4309" w:hanging="360"/>
      </w:pPr>
      <w:rPr>
        <w:rFonts w:hint="default" w:ascii="Courier New" w:hAnsi="Courier New" w:cs="Courier New"/>
      </w:rPr>
    </w:lvl>
    <w:lvl w:ilvl="5">
      <w:start w:val="1"/>
      <w:numFmt w:val="bullet"/>
      <w:isLgl w:val="false"/>
      <w:suff w:val="tab"/>
      <w:lvlText w:val=""/>
      <w:lvlJc w:val="left"/>
      <w:pPr>
        <w:ind w:left="5029" w:hanging="360"/>
      </w:pPr>
      <w:rPr>
        <w:rFonts w:hint="default" w:ascii="Wingdings" w:hAnsi="Wingdings"/>
      </w:rPr>
    </w:lvl>
    <w:lvl w:ilvl="6">
      <w:start w:val="1"/>
      <w:numFmt w:val="bullet"/>
      <w:isLgl w:val="false"/>
      <w:suff w:val="tab"/>
      <w:lvlText w:val=""/>
      <w:lvlJc w:val="left"/>
      <w:pPr>
        <w:ind w:left="5749" w:hanging="360"/>
      </w:pPr>
      <w:rPr>
        <w:rFonts w:hint="default" w:ascii="Symbol" w:hAnsi="Symbol"/>
      </w:rPr>
    </w:lvl>
    <w:lvl w:ilvl="7">
      <w:start w:val="1"/>
      <w:numFmt w:val="bullet"/>
      <w:isLgl w:val="false"/>
      <w:suff w:val="tab"/>
      <w:lvlText w:val="o"/>
      <w:lvlJc w:val="left"/>
      <w:pPr>
        <w:ind w:left="6469" w:hanging="360"/>
      </w:pPr>
      <w:rPr>
        <w:rFonts w:hint="default" w:ascii="Courier New" w:hAnsi="Courier New" w:cs="Courier New"/>
      </w:rPr>
    </w:lvl>
    <w:lvl w:ilvl="8">
      <w:start w:val="1"/>
      <w:numFmt w:val="bullet"/>
      <w:isLgl w:val="false"/>
      <w:suff w:val="tab"/>
      <w:lvlText w:val=""/>
      <w:lvlJc w:val="left"/>
      <w:pPr>
        <w:ind w:left="7189" w:hanging="360"/>
      </w:pPr>
      <w:rPr>
        <w:rFonts w:hint="default" w:ascii="Wingdings" w:hAnsi="Wingdings"/>
      </w:rPr>
    </w:lvl>
  </w:abstractNum>
  <w:abstractNum w:abstractNumId="25">
    <w:multiLevelType w:val="hybridMultilevel"/>
    <w:lvl w:ilvl="0">
      <w:start w:val="1"/>
      <w:numFmt w:val="bullet"/>
      <w:isLgl w:val="false"/>
      <w:suff w:val="tab"/>
      <w:lvlText w:val=""/>
      <w:lvlJc w:val="left"/>
      <w:pPr>
        <w:ind w:left="2126" w:hanging="360"/>
      </w:pPr>
      <w:rPr>
        <w:rFonts w:hint="default" w:ascii="Symbol" w:hAnsi="Symbol"/>
      </w:rPr>
    </w:lvl>
    <w:lvl w:ilvl="1">
      <w:start w:val="1"/>
      <w:numFmt w:val="bullet"/>
      <w:isLgl w:val="false"/>
      <w:suff w:val="tab"/>
      <w:lvlText w:val="o"/>
      <w:lvlJc w:val="left"/>
      <w:pPr>
        <w:ind w:left="2846" w:hanging="360"/>
      </w:pPr>
      <w:rPr>
        <w:rFonts w:hint="default" w:ascii="Courier New" w:hAnsi="Courier New" w:eastAsia="Courier New" w:cs="Courier New"/>
      </w:rPr>
    </w:lvl>
    <w:lvl w:ilvl="2">
      <w:start w:val="1"/>
      <w:numFmt w:val="bullet"/>
      <w:isLgl w:val="false"/>
      <w:suff w:val="tab"/>
      <w:lvlText w:val="§"/>
      <w:lvlJc w:val="left"/>
      <w:pPr>
        <w:ind w:left="3566" w:hanging="360"/>
      </w:pPr>
      <w:rPr>
        <w:rFonts w:hint="default" w:ascii="Wingdings" w:hAnsi="Wingdings" w:eastAsia="Wingdings" w:cs="Wingdings"/>
      </w:rPr>
    </w:lvl>
    <w:lvl w:ilvl="3">
      <w:start w:val="1"/>
      <w:numFmt w:val="bullet"/>
      <w:isLgl w:val="false"/>
      <w:suff w:val="tab"/>
      <w:lvlText w:val="·"/>
      <w:lvlJc w:val="left"/>
      <w:pPr>
        <w:ind w:left="4286" w:hanging="360"/>
      </w:pPr>
      <w:rPr>
        <w:rFonts w:hint="default" w:ascii="Symbol" w:hAnsi="Symbol" w:eastAsia="Symbol" w:cs="Symbol"/>
      </w:rPr>
    </w:lvl>
    <w:lvl w:ilvl="4">
      <w:start w:val="1"/>
      <w:numFmt w:val="bullet"/>
      <w:isLgl w:val="false"/>
      <w:suff w:val="tab"/>
      <w:lvlText w:val="o"/>
      <w:lvlJc w:val="left"/>
      <w:pPr>
        <w:ind w:left="5006" w:hanging="360"/>
      </w:pPr>
      <w:rPr>
        <w:rFonts w:hint="default" w:ascii="Courier New" w:hAnsi="Courier New" w:eastAsia="Courier New" w:cs="Courier New"/>
      </w:rPr>
    </w:lvl>
    <w:lvl w:ilvl="5">
      <w:start w:val="1"/>
      <w:numFmt w:val="bullet"/>
      <w:isLgl w:val="false"/>
      <w:suff w:val="tab"/>
      <w:lvlText w:val="§"/>
      <w:lvlJc w:val="left"/>
      <w:pPr>
        <w:ind w:left="5726" w:hanging="360"/>
      </w:pPr>
      <w:rPr>
        <w:rFonts w:hint="default" w:ascii="Wingdings" w:hAnsi="Wingdings" w:eastAsia="Wingdings" w:cs="Wingdings"/>
      </w:rPr>
    </w:lvl>
    <w:lvl w:ilvl="6">
      <w:start w:val="1"/>
      <w:numFmt w:val="bullet"/>
      <w:isLgl w:val="false"/>
      <w:suff w:val="tab"/>
      <w:lvlText w:val="·"/>
      <w:lvlJc w:val="left"/>
      <w:pPr>
        <w:ind w:left="6446" w:hanging="360"/>
      </w:pPr>
      <w:rPr>
        <w:rFonts w:hint="default" w:ascii="Symbol" w:hAnsi="Symbol" w:eastAsia="Symbol" w:cs="Symbol"/>
      </w:rPr>
    </w:lvl>
    <w:lvl w:ilvl="7">
      <w:start w:val="1"/>
      <w:numFmt w:val="bullet"/>
      <w:isLgl w:val="false"/>
      <w:suff w:val="tab"/>
      <w:lvlText w:val="o"/>
      <w:lvlJc w:val="left"/>
      <w:pPr>
        <w:ind w:left="7166" w:hanging="360"/>
      </w:pPr>
      <w:rPr>
        <w:rFonts w:hint="default" w:ascii="Courier New" w:hAnsi="Courier New" w:eastAsia="Courier New" w:cs="Courier New"/>
      </w:rPr>
    </w:lvl>
    <w:lvl w:ilvl="8">
      <w:start w:val="1"/>
      <w:numFmt w:val="bullet"/>
      <w:isLgl w:val="false"/>
      <w:suff w:val="tab"/>
      <w:lvlText w:val="§"/>
      <w:lvlJc w:val="left"/>
      <w:pPr>
        <w:ind w:left="7886" w:hanging="360"/>
      </w:pPr>
      <w:rPr>
        <w:rFonts w:hint="default" w:ascii="Wingdings" w:hAnsi="Wingdings" w:eastAsia="Wingdings" w:cs="Wingdings"/>
      </w:rPr>
    </w:lvl>
  </w:abstractNum>
  <w:abstractNum w:abstractNumId="26">
    <w:multiLevelType w:val="hybridMultilevel"/>
    <w:lvl w:ilvl="0">
      <w:start w:val="1"/>
      <w:numFmt w:val="bullet"/>
      <w:isLgl w:val="false"/>
      <w:suff w:val="tab"/>
      <w:lvlText w:val=""/>
      <w:lvlJc w:val="left"/>
      <w:pPr>
        <w:ind w:left="1287" w:hanging="360"/>
      </w:pPr>
      <w:rPr>
        <w:rFonts w:hint="default" w:ascii="Symbol" w:hAnsi="Symbol"/>
      </w:rPr>
    </w:lvl>
    <w:lvl w:ilvl="1">
      <w:start w:val="1"/>
      <w:numFmt w:val="bullet"/>
      <w:isLgl w:val="false"/>
      <w:suff w:val="tab"/>
      <w:lvlText w:val="o"/>
      <w:lvlJc w:val="left"/>
      <w:pPr>
        <w:ind w:left="2007" w:hanging="360"/>
      </w:pPr>
      <w:rPr>
        <w:rFonts w:hint="default" w:ascii="Courier New" w:hAnsi="Courier New" w:cs="Courier New"/>
      </w:rPr>
    </w:lvl>
    <w:lvl w:ilvl="2">
      <w:start w:val="1"/>
      <w:numFmt w:val="bullet"/>
      <w:isLgl w:val="false"/>
      <w:suff w:val="tab"/>
      <w:lvlText w:val=""/>
      <w:lvlJc w:val="left"/>
      <w:pPr>
        <w:ind w:left="2727" w:hanging="360"/>
      </w:pPr>
      <w:rPr>
        <w:rFonts w:hint="default" w:ascii="Wingdings" w:hAnsi="Wingdings"/>
      </w:rPr>
    </w:lvl>
    <w:lvl w:ilvl="3">
      <w:start w:val="1"/>
      <w:numFmt w:val="bullet"/>
      <w:isLgl w:val="false"/>
      <w:suff w:val="tab"/>
      <w:lvlText w:val=""/>
      <w:lvlJc w:val="left"/>
      <w:pPr>
        <w:ind w:left="3447" w:hanging="360"/>
      </w:pPr>
      <w:rPr>
        <w:rFonts w:hint="default" w:ascii="Symbol" w:hAnsi="Symbol"/>
      </w:rPr>
    </w:lvl>
    <w:lvl w:ilvl="4">
      <w:start w:val="1"/>
      <w:numFmt w:val="bullet"/>
      <w:isLgl w:val="false"/>
      <w:suff w:val="tab"/>
      <w:lvlText w:val="o"/>
      <w:lvlJc w:val="left"/>
      <w:pPr>
        <w:ind w:left="4167" w:hanging="360"/>
      </w:pPr>
      <w:rPr>
        <w:rFonts w:hint="default" w:ascii="Courier New" w:hAnsi="Courier New" w:cs="Courier New"/>
      </w:rPr>
    </w:lvl>
    <w:lvl w:ilvl="5">
      <w:start w:val="1"/>
      <w:numFmt w:val="bullet"/>
      <w:isLgl w:val="false"/>
      <w:suff w:val="tab"/>
      <w:lvlText w:val=""/>
      <w:lvlJc w:val="left"/>
      <w:pPr>
        <w:ind w:left="4887" w:hanging="360"/>
      </w:pPr>
      <w:rPr>
        <w:rFonts w:hint="default" w:ascii="Wingdings" w:hAnsi="Wingdings"/>
      </w:rPr>
    </w:lvl>
    <w:lvl w:ilvl="6">
      <w:start w:val="1"/>
      <w:numFmt w:val="bullet"/>
      <w:isLgl w:val="false"/>
      <w:suff w:val="tab"/>
      <w:lvlText w:val=""/>
      <w:lvlJc w:val="left"/>
      <w:pPr>
        <w:ind w:left="5607" w:hanging="360"/>
      </w:pPr>
      <w:rPr>
        <w:rFonts w:hint="default" w:ascii="Symbol" w:hAnsi="Symbol"/>
      </w:rPr>
    </w:lvl>
    <w:lvl w:ilvl="7">
      <w:start w:val="1"/>
      <w:numFmt w:val="bullet"/>
      <w:isLgl w:val="false"/>
      <w:suff w:val="tab"/>
      <w:lvlText w:val="o"/>
      <w:lvlJc w:val="left"/>
      <w:pPr>
        <w:ind w:left="6327" w:hanging="360"/>
      </w:pPr>
      <w:rPr>
        <w:rFonts w:hint="default" w:ascii="Courier New" w:hAnsi="Courier New" w:cs="Courier New"/>
      </w:rPr>
    </w:lvl>
    <w:lvl w:ilvl="8">
      <w:start w:val="1"/>
      <w:numFmt w:val="bullet"/>
      <w:isLgl w:val="false"/>
      <w:suff w:val="tab"/>
      <w:lvlText w:val=""/>
      <w:lvlJc w:val="left"/>
      <w:pPr>
        <w:ind w:left="7047" w:hanging="360"/>
      </w:pPr>
      <w:rPr>
        <w:rFonts w:hint="default" w:ascii="Wingdings" w:hAnsi="Wingdings"/>
      </w:rPr>
    </w:lvl>
  </w:abstractNum>
  <w:abstractNum w:abstractNumId="27">
    <w:multiLevelType w:val="hybridMultilevel"/>
    <w:lvl w:ilvl="0">
      <w:start w:val="1"/>
      <w:numFmt w:val="bullet"/>
      <w:isLgl w:val="false"/>
      <w:suff w:val="tab"/>
      <w:lvlText w:val=""/>
      <w:lvlJc w:val="left"/>
      <w:pPr>
        <w:ind w:left="1428" w:hanging="360"/>
      </w:pPr>
      <w:rPr>
        <w:rFonts w:hint="default" w:ascii="Symbol" w:hAnsi="Symbol"/>
      </w:rPr>
    </w:lvl>
    <w:lvl w:ilvl="1">
      <w:start w:val="1"/>
      <w:numFmt w:val="bullet"/>
      <w:isLgl w:val="false"/>
      <w:suff w:val="tab"/>
      <w:lvlText w:val="o"/>
      <w:lvlJc w:val="left"/>
      <w:pPr>
        <w:ind w:left="2148" w:hanging="360"/>
      </w:pPr>
      <w:rPr>
        <w:rFonts w:hint="default" w:ascii="Courier New" w:hAnsi="Courier New" w:cs="Courier New"/>
      </w:rPr>
    </w:lvl>
    <w:lvl w:ilvl="2">
      <w:start w:val="1"/>
      <w:numFmt w:val="bullet"/>
      <w:isLgl w:val="false"/>
      <w:suff w:val="tab"/>
      <w:lvlText w:val=""/>
      <w:lvlJc w:val="left"/>
      <w:pPr>
        <w:ind w:left="2868" w:hanging="360"/>
      </w:pPr>
      <w:rPr>
        <w:rFonts w:hint="default" w:ascii="Wingdings" w:hAnsi="Wingdings"/>
      </w:rPr>
    </w:lvl>
    <w:lvl w:ilvl="3">
      <w:start w:val="1"/>
      <w:numFmt w:val="bullet"/>
      <w:isLgl w:val="false"/>
      <w:suff w:val="tab"/>
      <w:lvlText w:val=""/>
      <w:lvlJc w:val="left"/>
      <w:pPr>
        <w:ind w:left="3588" w:hanging="360"/>
      </w:pPr>
      <w:rPr>
        <w:rFonts w:hint="default" w:ascii="Symbol" w:hAnsi="Symbol"/>
      </w:rPr>
    </w:lvl>
    <w:lvl w:ilvl="4">
      <w:start w:val="1"/>
      <w:numFmt w:val="bullet"/>
      <w:isLgl w:val="false"/>
      <w:suff w:val="tab"/>
      <w:lvlText w:val="o"/>
      <w:lvlJc w:val="left"/>
      <w:pPr>
        <w:ind w:left="4308" w:hanging="360"/>
      </w:pPr>
      <w:rPr>
        <w:rFonts w:hint="default" w:ascii="Courier New" w:hAnsi="Courier New" w:cs="Courier New"/>
      </w:rPr>
    </w:lvl>
    <w:lvl w:ilvl="5">
      <w:start w:val="1"/>
      <w:numFmt w:val="bullet"/>
      <w:isLgl w:val="false"/>
      <w:suff w:val="tab"/>
      <w:lvlText w:val=""/>
      <w:lvlJc w:val="left"/>
      <w:pPr>
        <w:ind w:left="5028" w:hanging="360"/>
      </w:pPr>
      <w:rPr>
        <w:rFonts w:hint="default" w:ascii="Wingdings" w:hAnsi="Wingdings"/>
      </w:rPr>
    </w:lvl>
    <w:lvl w:ilvl="6">
      <w:start w:val="1"/>
      <w:numFmt w:val="bullet"/>
      <w:isLgl w:val="false"/>
      <w:suff w:val="tab"/>
      <w:lvlText w:val=""/>
      <w:lvlJc w:val="left"/>
      <w:pPr>
        <w:ind w:left="5748" w:hanging="360"/>
      </w:pPr>
      <w:rPr>
        <w:rFonts w:hint="default" w:ascii="Symbol" w:hAnsi="Symbol"/>
      </w:rPr>
    </w:lvl>
    <w:lvl w:ilvl="7">
      <w:start w:val="1"/>
      <w:numFmt w:val="bullet"/>
      <w:isLgl w:val="false"/>
      <w:suff w:val="tab"/>
      <w:lvlText w:val="o"/>
      <w:lvlJc w:val="left"/>
      <w:pPr>
        <w:ind w:left="6468" w:hanging="360"/>
      </w:pPr>
      <w:rPr>
        <w:rFonts w:hint="default" w:ascii="Courier New" w:hAnsi="Courier New" w:cs="Courier New"/>
      </w:rPr>
    </w:lvl>
    <w:lvl w:ilvl="8">
      <w:start w:val="1"/>
      <w:numFmt w:val="bullet"/>
      <w:isLgl w:val="false"/>
      <w:suff w:val="tab"/>
      <w:lvlText w:val=""/>
      <w:lvlJc w:val="left"/>
      <w:pPr>
        <w:ind w:left="7188" w:hanging="360"/>
      </w:pPr>
      <w:rPr>
        <w:rFonts w:hint="default" w:ascii="Wingdings" w:hAnsi="Wingdings"/>
      </w:rPr>
    </w:lvl>
  </w:abstractNum>
  <w:abstractNum w:abstractNumId="28">
    <w:multiLevelType w:val="hybridMultilevel"/>
    <w:lvl w:ilvl="0">
      <w:start w:val="1"/>
      <w:numFmt w:val="bullet"/>
      <w:isLgl w:val="false"/>
      <w:suff w:val="tab"/>
      <w:lvlText w:val=""/>
      <w:lvlJc w:val="left"/>
      <w:pPr>
        <w:ind w:left="1429" w:hanging="360"/>
      </w:pPr>
      <w:rPr>
        <w:rFonts w:hint="default" w:ascii="Symbol" w:hAnsi="Symbol"/>
      </w:rPr>
    </w:lvl>
    <w:lvl w:ilvl="1">
      <w:start w:val="1"/>
      <w:numFmt w:val="bullet"/>
      <w:isLgl w:val="false"/>
      <w:suff w:val="tab"/>
      <w:lvlText w:val="o"/>
      <w:lvlJc w:val="left"/>
      <w:pPr>
        <w:ind w:left="2149" w:hanging="360"/>
      </w:pPr>
      <w:rPr>
        <w:rFonts w:hint="default" w:ascii="Courier New" w:hAnsi="Courier New" w:cs="Courier New"/>
      </w:rPr>
    </w:lvl>
    <w:lvl w:ilvl="2">
      <w:start w:val="1"/>
      <w:numFmt w:val="bullet"/>
      <w:isLgl w:val="false"/>
      <w:suff w:val="tab"/>
      <w:lvlText w:val=""/>
      <w:lvlJc w:val="left"/>
      <w:pPr>
        <w:ind w:left="2869" w:hanging="360"/>
      </w:pPr>
      <w:rPr>
        <w:rFonts w:hint="default" w:ascii="Wingdings" w:hAnsi="Wingdings"/>
      </w:rPr>
    </w:lvl>
    <w:lvl w:ilvl="3">
      <w:start w:val="1"/>
      <w:numFmt w:val="bullet"/>
      <w:isLgl w:val="false"/>
      <w:suff w:val="tab"/>
      <w:lvlText w:val=""/>
      <w:lvlJc w:val="left"/>
      <w:pPr>
        <w:ind w:left="3589" w:hanging="360"/>
      </w:pPr>
      <w:rPr>
        <w:rFonts w:hint="default" w:ascii="Symbol" w:hAnsi="Symbol"/>
      </w:rPr>
    </w:lvl>
    <w:lvl w:ilvl="4">
      <w:start w:val="1"/>
      <w:numFmt w:val="bullet"/>
      <w:isLgl w:val="false"/>
      <w:suff w:val="tab"/>
      <w:lvlText w:val="o"/>
      <w:lvlJc w:val="left"/>
      <w:pPr>
        <w:ind w:left="4309" w:hanging="360"/>
      </w:pPr>
      <w:rPr>
        <w:rFonts w:hint="default" w:ascii="Courier New" w:hAnsi="Courier New" w:cs="Courier New"/>
      </w:rPr>
    </w:lvl>
    <w:lvl w:ilvl="5">
      <w:start w:val="1"/>
      <w:numFmt w:val="bullet"/>
      <w:isLgl w:val="false"/>
      <w:suff w:val="tab"/>
      <w:lvlText w:val=""/>
      <w:lvlJc w:val="left"/>
      <w:pPr>
        <w:ind w:left="5029" w:hanging="360"/>
      </w:pPr>
      <w:rPr>
        <w:rFonts w:hint="default" w:ascii="Wingdings" w:hAnsi="Wingdings"/>
      </w:rPr>
    </w:lvl>
    <w:lvl w:ilvl="6">
      <w:start w:val="1"/>
      <w:numFmt w:val="bullet"/>
      <w:isLgl w:val="false"/>
      <w:suff w:val="tab"/>
      <w:lvlText w:val=""/>
      <w:lvlJc w:val="left"/>
      <w:pPr>
        <w:ind w:left="5749" w:hanging="360"/>
      </w:pPr>
      <w:rPr>
        <w:rFonts w:hint="default" w:ascii="Symbol" w:hAnsi="Symbol"/>
      </w:rPr>
    </w:lvl>
    <w:lvl w:ilvl="7">
      <w:start w:val="1"/>
      <w:numFmt w:val="bullet"/>
      <w:isLgl w:val="false"/>
      <w:suff w:val="tab"/>
      <w:lvlText w:val="o"/>
      <w:lvlJc w:val="left"/>
      <w:pPr>
        <w:ind w:left="6469" w:hanging="360"/>
      </w:pPr>
      <w:rPr>
        <w:rFonts w:hint="default" w:ascii="Courier New" w:hAnsi="Courier New" w:cs="Courier New"/>
      </w:rPr>
    </w:lvl>
    <w:lvl w:ilvl="8">
      <w:start w:val="1"/>
      <w:numFmt w:val="bullet"/>
      <w:isLgl w:val="false"/>
      <w:suff w:val="tab"/>
      <w:lvlText w:val=""/>
      <w:lvlJc w:val="left"/>
      <w:pPr>
        <w:ind w:left="7189" w:hanging="360"/>
      </w:pPr>
      <w:rPr>
        <w:rFonts w:hint="default" w:ascii="Wingdings" w:hAnsi="Wingdings"/>
      </w:rPr>
    </w:lvl>
  </w:abstractNum>
  <w:abstractNum w:abstractNumId="29">
    <w:multiLevelType w:val="hybridMultilevel"/>
    <w:lvl w:ilvl="0">
      <w:start w:val="1"/>
      <w:numFmt w:val="bullet"/>
      <w:isLgl w:val="false"/>
      <w:suff w:val="tab"/>
      <w:lvlText w:val=""/>
      <w:lvlJc w:val="left"/>
      <w:pPr>
        <w:ind w:left="1429" w:hanging="360"/>
      </w:pPr>
      <w:rPr>
        <w:rFonts w:hint="default" w:ascii="Symbol" w:hAnsi="Symbol"/>
      </w:rPr>
    </w:lvl>
    <w:lvl w:ilvl="1">
      <w:start w:val="1"/>
      <w:numFmt w:val="bullet"/>
      <w:isLgl w:val="false"/>
      <w:suff w:val="tab"/>
      <w:lvlText w:val="o"/>
      <w:lvlJc w:val="left"/>
      <w:pPr>
        <w:ind w:left="2149" w:hanging="360"/>
      </w:pPr>
      <w:rPr>
        <w:rFonts w:hint="default" w:ascii="Courier New" w:hAnsi="Courier New" w:cs="Courier New"/>
      </w:rPr>
    </w:lvl>
    <w:lvl w:ilvl="2">
      <w:start w:val="1"/>
      <w:numFmt w:val="bullet"/>
      <w:isLgl w:val="false"/>
      <w:suff w:val="tab"/>
      <w:lvlText w:val=""/>
      <w:lvlJc w:val="left"/>
      <w:pPr>
        <w:ind w:left="2869" w:hanging="360"/>
      </w:pPr>
      <w:rPr>
        <w:rFonts w:hint="default" w:ascii="Wingdings" w:hAnsi="Wingdings"/>
      </w:rPr>
    </w:lvl>
    <w:lvl w:ilvl="3">
      <w:start w:val="1"/>
      <w:numFmt w:val="bullet"/>
      <w:isLgl w:val="false"/>
      <w:suff w:val="tab"/>
      <w:lvlText w:val=""/>
      <w:lvlJc w:val="left"/>
      <w:pPr>
        <w:ind w:left="3589" w:hanging="360"/>
      </w:pPr>
      <w:rPr>
        <w:rFonts w:hint="default" w:ascii="Symbol" w:hAnsi="Symbol"/>
      </w:rPr>
    </w:lvl>
    <w:lvl w:ilvl="4">
      <w:start w:val="1"/>
      <w:numFmt w:val="bullet"/>
      <w:isLgl w:val="false"/>
      <w:suff w:val="tab"/>
      <w:lvlText w:val="o"/>
      <w:lvlJc w:val="left"/>
      <w:pPr>
        <w:ind w:left="4309" w:hanging="360"/>
      </w:pPr>
      <w:rPr>
        <w:rFonts w:hint="default" w:ascii="Courier New" w:hAnsi="Courier New" w:cs="Courier New"/>
      </w:rPr>
    </w:lvl>
    <w:lvl w:ilvl="5">
      <w:start w:val="1"/>
      <w:numFmt w:val="bullet"/>
      <w:isLgl w:val="false"/>
      <w:suff w:val="tab"/>
      <w:lvlText w:val=""/>
      <w:lvlJc w:val="left"/>
      <w:pPr>
        <w:ind w:left="5029" w:hanging="360"/>
      </w:pPr>
      <w:rPr>
        <w:rFonts w:hint="default" w:ascii="Wingdings" w:hAnsi="Wingdings"/>
      </w:rPr>
    </w:lvl>
    <w:lvl w:ilvl="6">
      <w:start w:val="1"/>
      <w:numFmt w:val="bullet"/>
      <w:isLgl w:val="false"/>
      <w:suff w:val="tab"/>
      <w:lvlText w:val=""/>
      <w:lvlJc w:val="left"/>
      <w:pPr>
        <w:ind w:left="5749" w:hanging="360"/>
      </w:pPr>
      <w:rPr>
        <w:rFonts w:hint="default" w:ascii="Symbol" w:hAnsi="Symbol"/>
      </w:rPr>
    </w:lvl>
    <w:lvl w:ilvl="7">
      <w:start w:val="1"/>
      <w:numFmt w:val="bullet"/>
      <w:isLgl w:val="false"/>
      <w:suff w:val="tab"/>
      <w:lvlText w:val="o"/>
      <w:lvlJc w:val="left"/>
      <w:pPr>
        <w:ind w:left="6469" w:hanging="360"/>
      </w:pPr>
      <w:rPr>
        <w:rFonts w:hint="default" w:ascii="Courier New" w:hAnsi="Courier New" w:cs="Courier New"/>
      </w:rPr>
    </w:lvl>
    <w:lvl w:ilvl="8">
      <w:start w:val="1"/>
      <w:numFmt w:val="bullet"/>
      <w:isLgl w:val="false"/>
      <w:suff w:val="tab"/>
      <w:lvlText w:val=""/>
      <w:lvlJc w:val="left"/>
      <w:pPr>
        <w:ind w:left="7189" w:hanging="360"/>
      </w:pPr>
      <w:rPr>
        <w:rFonts w:hint="default" w:ascii="Wingdings" w:hAnsi="Wingdings"/>
      </w:rPr>
    </w:lvl>
  </w:abstractNum>
  <w:abstractNum w:abstractNumId="30">
    <w:multiLevelType w:val="hybridMultilevel"/>
    <w:lvl w:ilvl="0">
      <w:start w:val="1"/>
      <w:numFmt w:val="bullet"/>
      <w:isLgl w:val="false"/>
      <w:suff w:val="tab"/>
      <w:lvlText w:val=""/>
      <w:lvlJc w:val="left"/>
      <w:pPr>
        <w:ind w:left="1428" w:hanging="360"/>
      </w:pPr>
      <w:rPr>
        <w:rFonts w:hint="default" w:ascii="Symbol" w:hAnsi="Symbol"/>
      </w:rPr>
    </w:lvl>
    <w:lvl w:ilvl="1">
      <w:start w:val="1"/>
      <w:numFmt w:val="bullet"/>
      <w:isLgl w:val="false"/>
      <w:suff w:val="tab"/>
      <w:lvlText w:val="o"/>
      <w:lvlJc w:val="left"/>
      <w:pPr>
        <w:ind w:left="2148" w:hanging="360"/>
      </w:pPr>
      <w:rPr>
        <w:rFonts w:hint="default" w:ascii="Courier New" w:hAnsi="Courier New" w:cs="Courier New"/>
      </w:rPr>
    </w:lvl>
    <w:lvl w:ilvl="2">
      <w:start w:val="1"/>
      <w:numFmt w:val="bullet"/>
      <w:isLgl w:val="false"/>
      <w:suff w:val="tab"/>
      <w:lvlText w:val=""/>
      <w:lvlJc w:val="left"/>
      <w:pPr>
        <w:ind w:left="2868" w:hanging="360"/>
      </w:pPr>
      <w:rPr>
        <w:rFonts w:hint="default" w:ascii="Wingdings" w:hAnsi="Wingdings"/>
      </w:rPr>
    </w:lvl>
    <w:lvl w:ilvl="3">
      <w:start w:val="1"/>
      <w:numFmt w:val="bullet"/>
      <w:isLgl w:val="false"/>
      <w:suff w:val="tab"/>
      <w:lvlText w:val=""/>
      <w:lvlJc w:val="left"/>
      <w:pPr>
        <w:ind w:left="3588" w:hanging="360"/>
      </w:pPr>
      <w:rPr>
        <w:rFonts w:hint="default" w:ascii="Symbol" w:hAnsi="Symbol"/>
      </w:rPr>
    </w:lvl>
    <w:lvl w:ilvl="4">
      <w:start w:val="1"/>
      <w:numFmt w:val="bullet"/>
      <w:isLgl w:val="false"/>
      <w:suff w:val="tab"/>
      <w:lvlText w:val="o"/>
      <w:lvlJc w:val="left"/>
      <w:pPr>
        <w:ind w:left="4308" w:hanging="360"/>
      </w:pPr>
      <w:rPr>
        <w:rFonts w:hint="default" w:ascii="Courier New" w:hAnsi="Courier New" w:cs="Courier New"/>
      </w:rPr>
    </w:lvl>
    <w:lvl w:ilvl="5">
      <w:start w:val="1"/>
      <w:numFmt w:val="bullet"/>
      <w:isLgl w:val="false"/>
      <w:suff w:val="tab"/>
      <w:lvlText w:val=""/>
      <w:lvlJc w:val="left"/>
      <w:pPr>
        <w:ind w:left="5028" w:hanging="360"/>
      </w:pPr>
      <w:rPr>
        <w:rFonts w:hint="default" w:ascii="Wingdings" w:hAnsi="Wingdings"/>
      </w:rPr>
    </w:lvl>
    <w:lvl w:ilvl="6">
      <w:start w:val="1"/>
      <w:numFmt w:val="bullet"/>
      <w:isLgl w:val="false"/>
      <w:suff w:val="tab"/>
      <w:lvlText w:val=""/>
      <w:lvlJc w:val="left"/>
      <w:pPr>
        <w:ind w:left="5748" w:hanging="360"/>
      </w:pPr>
      <w:rPr>
        <w:rFonts w:hint="default" w:ascii="Symbol" w:hAnsi="Symbol"/>
      </w:rPr>
    </w:lvl>
    <w:lvl w:ilvl="7">
      <w:start w:val="1"/>
      <w:numFmt w:val="bullet"/>
      <w:isLgl w:val="false"/>
      <w:suff w:val="tab"/>
      <w:lvlText w:val="o"/>
      <w:lvlJc w:val="left"/>
      <w:pPr>
        <w:ind w:left="6468" w:hanging="360"/>
      </w:pPr>
      <w:rPr>
        <w:rFonts w:hint="default" w:ascii="Courier New" w:hAnsi="Courier New" w:cs="Courier New"/>
      </w:rPr>
    </w:lvl>
    <w:lvl w:ilvl="8">
      <w:start w:val="1"/>
      <w:numFmt w:val="bullet"/>
      <w:isLgl w:val="false"/>
      <w:suff w:val="tab"/>
      <w:lvlText w:val=""/>
      <w:lvlJc w:val="left"/>
      <w:pPr>
        <w:ind w:left="7188" w:hanging="360"/>
      </w:pPr>
      <w:rPr>
        <w:rFonts w:hint="default" w:ascii="Wingdings" w:hAnsi="Wingdings"/>
      </w:rPr>
    </w:lvl>
  </w:abstractNum>
  <w:abstractNum w:abstractNumId="31">
    <w:multiLevelType w:val="hybridMultilevel"/>
    <w:lvl w:ilvl="0">
      <w:start w:val="1"/>
      <w:numFmt w:val="bullet"/>
      <w:isLgl w:val="false"/>
      <w:suff w:val="tab"/>
      <w:lvlText w:val=""/>
      <w:lvlJc w:val="left"/>
      <w:pPr>
        <w:ind w:left="2126" w:hanging="360"/>
      </w:pPr>
      <w:rPr>
        <w:rFonts w:hint="default" w:ascii="Symbol" w:hAnsi="Symbol"/>
      </w:rPr>
    </w:lvl>
    <w:lvl w:ilvl="1">
      <w:start w:val="1"/>
      <w:numFmt w:val="bullet"/>
      <w:isLgl w:val="false"/>
      <w:suff w:val="tab"/>
      <w:lvlText w:val="o"/>
      <w:lvlJc w:val="left"/>
      <w:pPr>
        <w:ind w:left="2846" w:hanging="360"/>
      </w:pPr>
      <w:rPr>
        <w:rFonts w:hint="default" w:ascii="Courier New" w:hAnsi="Courier New" w:eastAsia="Courier New" w:cs="Courier New"/>
      </w:rPr>
    </w:lvl>
    <w:lvl w:ilvl="2">
      <w:start w:val="1"/>
      <w:numFmt w:val="bullet"/>
      <w:isLgl w:val="false"/>
      <w:suff w:val="tab"/>
      <w:lvlText w:val="§"/>
      <w:lvlJc w:val="left"/>
      <w:pPr>
        <w:ind w:left="3566" w:hanging="360"/>
      </w:pPr>
      <w:rPr>
        <w:rFonts w:hint="default" w:ascii="Wingdings" w:hAnsi="Wingdings" w:eastAsia="Wingdings" w:cs="Wingdings"/>
      </w:rPr>
    </w:lvl>
    <w:lvl w:ilvl="3">
      <w:start w:val="1"/>
      <w:numFmt w:val="bullet"/>
      <w:isLgl w:val="false"/>
      <w:suff w:val="tab"/>
      <w:lvlText w:val="·"/>
      <w:lvlJc w:val="left"/>
      <w:pPr>
        <w:ind w:left="4286" w:hanging="360"/>
      </w:pPr>
      <w:rPr>
        <w:rFonts w:hint="default" w:ascii="Symbol" w:hAnsi="Symbol" w:eastAsia="Symbol" w:cs="Symbol"/>
      </w:rPr>
    </w:lvl>
    <w:lvl w:ilvl="4">
      <w:start w:val="1"/>
      <w:numFmt w:val="bullet"/>
      <w:isLgl w:val="false"/>
      <w:suff w:val="tab"/>
      <w:lvlText w:val="o"/>
      <w:lvlJc w:val="left"/>
      <w:pPr>
        <w:ind w:left="5006" w:hanging="360"/>
      </w:pPr>
      <w:rPr>
        <w:rFonts w:hint="default" w:ascii="Courier New" w:hAnsi="Courier New" w:eastAsia="Courier New" w:cs="Courier New"/>
      </w:rPr>
    </w:lvl>
    <w:lvl w:ilvl="5">
      <w:start w:val="1"/>
      <w:numFmt w:val="bullet"/>
      <w:isLgl w:val="false"/>
      <w:suff w:val="tab"/>
      <w:lvlText w:val="§"/>
      <w:lvlJc w:val="left"/>
      <w:pPr>
        <w:ind w:left="5726" w:hanging="360"/>
      </w:pPr>
      <w:rPr>
        <w:rFonts w:hint="default" w:ascii="Wingdings" w:hAnsi="Wingdings" w:eastAsia="Wingdings" w:cs="Wingdings"/>
      </w:rPr>
    </w:lvl>
    <w:lvl w:ilvl="6">
      <w:start w:val="1"/>
      <w:numFmt w:val="bullet"/>
      <w:isLgl w:val="false"/>
      <w:suff w:val="tab"/>
      <w:lvlText w:val="·"/>
      <w:lvlJc w:val="left"/>
      <w:pPr>
        <w:ind w:left="6446" w:hanging="360"/>
      </w:pPr>
      <w:rPr>
        <w:rFonts w:hint="default" w:ascii="Symbol" w:hAnsi="Symbol" w:eastAsia="Symbol" w:cs="Symbol"/>
      </w:rPr>
    </w:lvl>
    <w:lvl w:ilvl="7">
      <w:start w:val="1"/>
      <w:numFmt w:val="bullet"/>
      <w:isLgl w:val="false"/>
      <w:suff w:val="tab"/>
      <w:lvlText w:val="o"/>
      <w:lvlJc w:val="left"/>
      <w:pPr>
        <w:ind w:left="7166" w:hanging="360"/>
      </w:pPr>
      <w:rPr>
        <w:rFonts w:hint="default" w:ascii="Courier New" w:hAnsi="Courier New" w:eastAsia="Courier New" w:cs="Courier New"/>
      </w:rPr>
    </w:lvl>
    <w:lvl w:ilvl="8">
      <w:start w:val="1"/>
      <w:numFmt w:val="bullet"/>
      <w:isLgl w:val="false"/>
      <w:suff w:val="tab"/>
      <w:lvlText w:val="§"/>
      <w:lvlJc w:val="left"/>
      <w:pPr>
        <w:ind w:left="7886" w:hanging="360"/>
      </w:pPr>
      <w:rPr>
        <w:rFonts w:hint="default" w:ascii="Wingdings" w:hAnsi="Wingdings" w:eastAsia="Wingdings" w:cs="Wingdings"/>
      </w:rPr>
    </w:lvl>
  </w:abstractNum>
  <w:abstractNum w:abstractNumId="32">
    <w:multiLevelType w:val="hybridMultilevel"/>
    <w:lvl w:ilvl="0">
      <w:start w:val="1"/>
      <w:numFmt w:val="bullet"/>
      <w:isLgl w:val="false"/>
      <w:suff w:val="tab"/>
      <w:lvlText w:val=""/>
      <w:lvlJc w:val="left"/>
      <w:pPr>
        <w:ind w:left="1287" w:hanging="360"/>
      </w:pPr>
      <w:rPr>
        <w:rFonts w:hint="default" w:ascii="Symbol" w:hAnsi="Symbol"/>
      </w:rPr>
    </w:lvl>
    <w:lvl w:ilvl="1">
      <w:start w:val="1"/>
      <w:numFmt w:val="bullet"/>
      <w:isLgl w:val="false"/>
      <w:suff w:val="tab"/>
      <w:lvlText w:val="o"/>
      <w:lvlJc w:val="left"/>
      <w:pPr>
        <w:ind w:left="2007" w:hanging="360"/>
      </w:pPr>
      <w:rPr>
        <w:rFonts w:hint="default" w:ascii="Courier New" w:hAnsi="Courier New" w:cs="Courier New"/>
      </w:rPr>
    </w:lvl>
    <w:lvl w:ilvl="2">
      <w:start w:val="1"/>
      <w:numFmt w:val="bullet"/>
      <w:isLgl w:val="false"/>
      <w:suff w:val="tab"/>
      <w:lvlText w:val=""/>
      <w:lvlJc w:val="left"/>
      <w:pPr>
        <w:ind w:left="2727" w:hanging="360"/>
      </w:pPr>
      <w:rPr>
        <w:rFonts w:hint="default" w:ascii="Wingdings" w:hAnsi="Wingdings"/>
      </w:rPr>
    </w:lvl>
    <w:lvl w:ilvl="3">
      <w:start w:val="1"/>
      <w:numFmt w:val="bullet"/>
      <w:isLgl w:val="false"/>
      <w:suff w:val="tab"/>
      <w:lvlText w:val=""/>
      <w:lvlJc w:val="left"/>
      <w:pPr>
        <w:ind w:left="3447" w:hanging="360"/>
      </w:pPr>
      <w:rPr>
        <w:rFonts w:hint="default" w:ascii="Symbol" w:hAnsi="Symbol"/>
      </w:rPr>
    </w:lvl>
    <w:lvl w:ilvl="4">
      <w:start w:val="1"/>
      <w:numFmt w:val="bullet"/>
      <w:isLgl w:val="false"/>
      <w:suff w:val="tab"/>
      <w:lvlText w:val="o"/>
      <w:lvlJc w:val="left"/>
      <w:pPr>
        <w:ind w:left="4167" w:hanging="360"/>
      </w:pPr>
      <w:rPr>
        <w:rFonts w:hint="default" w:ascii="Courier New" w:hAnsi="Courier New" w:cs="Courier New"/>
      </w:rPr>
    </w:lvl>
    <w:lvl w:ilvl="5">
      <w:start w:val="1"/>
      <w:numFmt w:val="bullet"/>
      <w:isLgl w:val="false"/>
      <w:suff w:val="tab"/>
      <w:lvlText w:val=""/>
      <w:lvlJc w:val="left"/>
      <w:pPr>
        <w:ind w:left="4887" w:hanging="360"/>
      </w:pPr>
      <w:rPr>
        <w:rFonts w:hint="default" w:ascii="Wingdings" w:hAnsi="Wingdings"/>
      </w:rPr>
    </w:lvl>
    <w:lvl w:ilvl="6">
      <w:start w:val="1"/>
      <w:numFmt w:val="bullet"/>
      <w:isLgl w:val="false"/>
      <w:suff w:val="tab"/>
      <w:lvlText w:val=""/>
      <w:lvlJc w:val="left"/>
      <w:pPr>
        <w:ind w:left="5607" w:hanging="360"/>
      </w:pPr>
      <w:rPr>
        <w:rFonts w:hint="default" w:ascii="Symbol" w:hAnsi="Symbol"/>
      </w:rPr>
    </w:lvl>
    <w:lvl w:ilvl="7">
      <w:start w:val="1"/>
      <w:numFmt w:val="bullet"/>
      <w:isLgl w:val="false"/>
      <w:suff w:val="tab"/>
      <w:lvlText w:val="o"/>
      <w:lvlJc w:val="left"/>
      <w:pPr>
        <w:ind w:left="6327" w:hanging="360"/>
      </w:pPr>
      <w:rPr>
        <w:rFonts w:hint="default" w:ascii="Courier New" w:hAnsi="Courier New" w:cs="Courier New"/>
      </w:rPr>
    </w:lvl>
    <w:lvl w:ilvl="8">
      <w:start w:val="1"/>
      <w:numFmt w:val="bullet"/>
      <w:isLgl w:val="false"/>
      <w:suff w:val="tab"/>
      <w:lvlText w:val=""/>
      <w:lvlJc w:val="left"/>
      <w:pPr>
        <w:ind w:left="7047" w:hanging="360"/>
      </w:pPr>
      <w:rPr>
        <w:rFonts w:hint="default" w:ascii="Wingdings" w:hAnsi="Wingdings"/>
      </w:rPr>
    </w:lvl>
  </w:abstractNum>
  <w:abstractNum w:abstractNumId="33">
    <w:multiLevelType w:val="hybridMultilevel"/>
    <w:lvl w:ilvl="0">
      <w:start w:val="1"/>
      <w:numFmt w:val="bullet"/>
      <w:isLgl w:val="false"/>
      <w:suff w:val="tab"/>
      <w:lvlText w:val=""/>
      <w:lvlJc w:val="left"/>
      <w:pPr>
        <w:ind w:left="1287" w:hanging="360"/>
      </w:pPr>
      <w:rPr>
        <w:rFonts w:hint="default" w:ascii="Symbol" w:hAnsi="Symbol"/>
      </w:rPr>
    </w:lvl>
    <w:lvl w:ilvl="1">
      <w:start w:val="1"/>
      <w:numFmt w:val="bullet"/>
      <w:isLgl w:val="false"/>
      <w:suff w:val="tab"/>
      <w:lvlText w:val="o"/>
      <w:lvlJc w:val="left"/>
      <w:pPr>
        <w:ind w:left="2007" w:hanging="360"/>
      </w:pPr>
      <w:rPr>
        <w:rFonts w:hint="default" w:ascii="Courier New" w:hAnsi="Courier New" w:cs="Courier New"/>
      </w:rPr>
    </w:lvl>
    <w:lvl w:ilvl="2">
      <w:start w:val="1"/>
      <w:numFmt w:val="bullet"/>
      <w:isLgl w:val="false"/>
      <w:suff w:val="tab"/>
      <w:lvlText w:val=""/>
      <w:lvlJc w:val="left"/>
      <w:pPr>
        <w:ind w:left="2727" w:hanging="360"/>
      </w:pPr>
      <w:rPr>
        <w:rFonts w:hint="default" w:ascii="Wingdings" w:hAnsi="Wingdings"/>
      </w:rPr>
    </w:lvl>
    <w:lvl w:ilvl="3">
      <w:start w:val="1"/>
      <w:numFmt w:val="bullet"/>
      <w:isLgl w:val="false"/>
      <w:suff w:val="tab"/>
      <w:lvlText w:val=""/>
      <w:lvlJc w:val="left"/>
      <w:pPr>
        <w:ind w:left="3447" w:hanging="360"/>
      </w:pPr>
      <w:rPr>
        <w:rFonts w:hint="default" w:ascii="Symbol" w:hAnsi="Symbol"/>
      </w:rPr>
    </w:lvl>
    <w:lvl w:ilvl="4">
      <w:start w:val="1"/>
      <w:numFmt w:val="bullet"/>
      <w:isLgl w:val="false"/>
      <w:suff w:val="tab"/>
      <w:lvlText w:val="o"/>
      <w:lvlJc w:val="left"/>
      <w:pPr>
        <w:ind w:left="4167" w:hanging="360"/>
      </w:pPr>
      <w:rPr>
        <w:rFonts w:hint="default" w:ascii="Courier New" w:hAnsi="Courier New" w:cs="Courier New"/>
      </w:rPr>
    </w:lvl>
    <w:lvl w:ilvl="5">
      <w:start w:val="1"/>
      <w:numFmt w:val="bullet"/>
      <w:isLgl w:val="false"/>
      <w:suff w:val="tab"/>
      <w:lvlText w:val=""/>
      <w:lvlJc w:val="left"/>
      <w:pPr>
        <w:ind w:left="4887" w:hanging="360"/>
      </w:pPr>
      <w:rPr>
        <w:rFonts w:hint="default" w:ascii="Wingdings" w:hAnsi="Wingdings"/>
      </w:rPr>
    </w:lvl>
    <w:lvl w:ilvl="6">
      <w:start w:val="1"/>
      <w:numFmt w:val="bullet"/>
      <w:isLgl w:val="false"/>
      <w:suff w:val="tab"/>
      <w:lvlText w:val=""/>
      <w:lvlJc w:val="left"/>
      <w:pPr>
        <w:ind w:left="5607" w:hanging="360"/>
      </w:pPr>
      <w:rPr>
        <w:rFonts w:hint="default" w:ascii="Symbol" w:hAnsi="Symbol"/>
      </w:rPr>
    </w:lvl>
    <w:lvl w:ilvl="7">
      <w:start w:val="1"/>
      <w:numFmt w:val="bullet"/>
      <w:isLgl w:val="false"/>
      <w:suff w:val="tab"/>
      <w:lvlText w:val="o"/>
      <w:lvlJc w:val="left"/>
      <w:pPr>
        <w:ind w:left="6327" w:hanging="360"/>
      </w:pPr>
      <w:rPr>
        <w:rFonts w:hint="default" w:ascii="Courier New" w:hAnsi="Courier New" w:cs="Courier New"/>
      </w:rPr>
    </w:lvl>
    <w:lvl w:ilvl="8">
      <w:start w:val="1"/>
      <w:numFmt w:val="bullet"/>
      <w:isLgl w:val="false"/>
      <w:suff w:val="tab"/>
      <w:lvlText w:val=""/>
      <w:lvlJc w:val="left"/>
      <w:pPr>
        <w:ind w:left="7047" w:hanging="360"/>
      </w:pPr>
      <w:rPr>
        <w:rFonts w:hint="default" w:ascii="Wingdings" w:hAnsi="Wingdings"/>
      </w:rPr>
    </w:lvl>
  </w:abstractNum>
  <w:abstractNum w:abstractNumId="34">
    <w:multiLevelType w:val="hybridMultilevel"/>
    <w:lvl w:ilvl="0">
      <w:start w:val="1"/>
      <w:numFmt w:val="bullet"/>
      <w:isLgl w:val="false"/>
      <w:suff w:val="tab"/>
      <w:lvlText w:val=""/>
      <w:lvlJc w:val="left"/>
      <w:pPr>
        <w:ind w:left="1428" w:hanging="360"/>
      </w:pPr>
      <w:rPr>
        <w:rFonts w:hint="default" w:ascii="Symbol" w:hAnsi="Symbol"/>
      </w:rPr>
    </w:lvl>
    <w:lvl w:ilvl="1">
      <w:start w:val="1"/>
      <w:numFmt w:val="bullet"/>
      <w:isLgl w:val="false"/>
      <w:suff w:val="tab"/>
      <w:lvlText w:val="o"/>
      <w:lvlJc w:val="left"/>
      <w:pPr>
        <w:ind w:left="2148" w:hanging="360"/>
      </w:pPr>
      <w:rPr>
        <w:rFonts w:hint="default" w:ascii="Courier New" w:hAnsi="Courier New" w:cs="Courier New"/>
      </w:rPr>
    </w:lvl>
    <w:lvl w:ilvl="2">
      <w:start w:val="1"/>
      <w:numFmt w:val="bullet"/>
      <w:isLgl w:val="false"/>
      <w:suff w:val="tab"/>
      <w:lvlText w:val=""/>
      <w:lvlJc w:val="left"/>
      <w:pPr>
        <w:ind w:left="2868" w:hanging="360"/>
      </w:pPr>
      <w:rPr>
        <w:rFonts w:hint="default" w:ascii="Wingdings" w:hAnsi="Wingdings"/>
      </w:rPr>
    </w:lvl>
    <w:lvl w:ilvl="3">
      <w:start w:val="1"/>
      <w:numFmt w:val="bullet"/>
      <w:isLgl w:val="false"/>
      <w:suff w:val="tab"/>
      <w:lvlText w:val=""/>
      <w:lvlJc w:val="left"/>
      <w:pPr>
        <w:ind w:left="3588" w:hanging="360"/>
      </w:pPr>
      <w:rPr>
        <w:rFonts w:hint="default" w:ascii="Symbol" w:hAnsi="Symbol"/>
      </w:rPr>
    </w:lvl>
    <w:lvl w:ilvl="4">
      <w:start w:val="1"/>
      <w:numFmt w:val="bullet"/>
      <w:isLgl w:val="false"/>
      <w:suff w:val="tab"/>
      <w:lvlText w:val="o"/>
      <w:lvlJc w:val="left"/>
      <w:pPr>
        <w:ind w:left="4308" w:hanging="360"/>
      </w:pPr>
      <w:rPr>
        <w:rFonts w:hint="default" w:ascii="Courier New" w:hAnsi="Courier New" w:cs="Courier New"/>
      </w:rPr>
    </w:lvl>
    <w:lvl w:ilvl="5">
      <w:start w:val="1"/>
      <w:numFmt w:val="bullet"/>
      <w:isLgl w:val="false"/>
      <w:suff w:val="tab"/>
      <w:lvlText w:val=""/>
      <w:lvlJc w:val="left"/>
      <w:pPr>
        <w:ind w:left="5028" w:hanging="360"/>
      </w:pPr>
      <w:rPr>
        <w:rFonts w:hint="default" w:ascii="Wingdings" w:hAnsi="Wingdings"/>
      </w:rPr>
    </w:lvl>
    <w:lvl w:ilvl="6">
      <w:start w:val="1"/>
      <w:numFmt w:val="bullet"/>
      <w:isLgl w:val="false"/>
      <w:suff w:val="tab"/>
      <w:lvlText w:val=""/>
      <w:lvlJc w:val="left"/>
      <w:pPr>
        <w:ind w:left="5748" w:hanging="360"/>
      </w:pPr>
      <w:rPr>
        <w:rFonts w:hint="default" w:ascii="Symbol" w:hAnsi="Symbol"/>
      </w:rPr>
    </w:lvl>
    <w:lvl w:ilvl="7">
      <w:start w:val="1"/>
      <w:numFmt w:val="bullet"/>
      <w:isLgl w:val="false"/>
      <w:suff w:val="tab"/>
      <w:lvlText w:val="o"/>
      <w:lvlJc w:val="left"/>
      <w:pPr>
        <w:ind w:left="6468" w:hanging="360"/>
      </w:pPr>
      <w:rPr>
        <w:rFonts w:hint="default" w:ascii="Courier New" w:hAnsi="Courier New" w:cs="Courier New"/>
      </w:rPr>
    </w:lvl>
    <w:lvl w:ilvl="8">
      <w:start w:val="1"/>
      <w:numFmt w:val="bullet"/>
      <w:isLgl w:val="false"/>
      <w:suff w:val="tab"/>
      <w:lvlText w:val=""/>
      <w:lvlJc w:val="left"/>
      <w:pPr>
        <w:ind w:left="7188" w:hanging="360"/>
      </w:pPr>
      <w:rPr>
        <w:rFonts w:hint="default" w:ascii="Wingdings" w:hAnsi="Wingdings"/>
      </w:rPr>
    </w:lvl>
  </w:abstractNum>
  <w:abstractNum w:abstractNumId="35">
    <w:multiLevelType w:val="hybridMultilevel"/>
    <w:lvl w:ilvl="0">
      <w:start w:val="1"/>
      <w:numFmt w:val="bullet"/>
      <w:isLgl w:val="false"/>
      <w:suff w:val="tab"/>
      <w:lvlText w:val=""/>
      <w:lvlJc w:val="left"/>
      <w:pPr>
        <w:ind w:left="1287" w:hanging="360"/>
      </w:pPr>
      <w:rPr>
        <w:rFonts w:hint="default" w:ascii="Symbol" w:hAnsi="Symbol"/>
      </w:rPr>
    </w:lvl>
    <w:lvl w:ilvl="1">
      <w:start w:val="1"/>
      <w:numFmt w:val="bullet"/>
      <w:isLgl w:val="false"/>
      <w:suff w:val="tab"/>
      <w:lvlText w:val="o"/>
      <w:lvlJc w:val="left"/>
      <w:pPr>
        <w:ind w:left="2007" w:hanging="360"/>
      </w:pPr>
      <w:rPr>
        <w:rFonts w:hint="default" w:ascii="Courier New" w:hAnsi="Courier New" w:cs="Courier New"/>
      </w:rPr>
    </w:lvl>
    <w:lvl w:ilvl="2">
      <w:start w:val="1"/>
      <w:numFmt w:val="bullet"/>
      <w:isLgl w:val="false"/>
      <w:suff w:val="tab"/>
      <w:lvlText w:val=""/>
      <w:lvlJc w:val="left"/>
      <w:pPr>
        <w:ind w:left="2727" w:hanging="360"/>
      </w:pPr>
      <w:rPr>
        <w:rFonts w:hint="default" w:ascii="Wingdings" w:hAnsi="Wingdings"/>
      </w:rPr>
    </w:lvl>
    <w:lvl w:ilvl="3">
      <w:start w:val="1"/>
      <w:numFmt w:val="bullet"/>
      <w:isLgl w:val="false"/>
      <w:suff w:val="tab"/>
      <w:lvlText w:val=""/>
      <w:lvlJc w:val="left"/>
      <w:pPr>
        <w:ind w:left="3447" w:hanging="360"/>
      </w:pPr>
      <w:rPr>
        <w:rFonts w:hint="default" w:ascii="Symbol" w:hAnsi="Symbol"/>
      </w:rPr>
    </w:lvl>
    <w:lvl w:ilvl="4">
      <w:start w:val="1"/>
      <w:numFmt w:val="bullet"/>
      <w:isLgl w:val="false"/>
      <w:suff w:val="tab"/>
      <w:lvlText w:val="o"/>
      <w:lvlJc w:val="left"/>
      <w:pPr>
        <w:ind w:left="4167" w:hanging="360"/>
      </w:pPr>
      <w:rPr>
        <w:rFonts w:hint="default" w:ascii="Courier New" w:hAnsi="Courier New" w:cs="Courier New"/>
      </w:rPr>
    </w:lvl>
    <w:lvl w:ilvl="5">
      <w:start w:val="1"/>
      <w:numFmt w:val="bullet"/>
      <w:isLgl w:val="false"/>
      <w:suff w:val="tab"/>
      <w:lvlText w:val=""/>
      <w:lvlJc w:val="left"/>
      <w:pPr>
        <w:ind w:left="4887" w:hanging="360"/>
      </w:pPr>
      <w:rPr>
        <w:rFonts w:hint="default" w:ascii="Wingdings" w:hAnsi="Wingdings"/>
      </w:rPr>
    </w:lvl>
    <w:lvl w:ilvl="6">
      <w:start w:val="1"/>
      <w:numFmt w:val="bullet"/>
      <w:isLgl w:val="false"/>
      <w:suff w:val="tab"/>
      <w:lvlText w:val=""/>
      <w:lvlJc w:val="left"/>
      <w:pPr>
        <w:ind w:left="5607" w:hanging="360"/>
      </w:pPr>
      <w:rPr>
        <w:rFonts w:hint="default" w:ascii="Symbol" w:hAnsi="Symbol"/>
      </w:rPr>
    </w:lvl>
    <w:lvl w:ilvl="7">
      <w:start w:val="1"/>
      <w:numFmt w:val="bullet"/>
      <w:isLgl w:val="false"/>
      <w:suff w:val="tab"/>
      <w:lvlText w:val="o"/>
      <w:lvlJc w:val="left"/>
      <w:pPr>
        <w:ind w:left="6327" w:hanging="360"/>
      </w:pPr>
      <w:rPr>
        <w:rFonts w:hint="default" w:ascii="Courier New" w:hAnsi="Courier New" w:cs="Courier New"/>
      </w:rPr>
    </w:lvl>
    <w:lvl w:ilvl="8">
      <w:start w:val="1"/>
      <w:numFmt w:val="bullet"/>
      <w:isLgl w:val="false"/>
      <w:suff w:val="tab"/>
      <w:lvlText w:val=""/>
      <w:lvlJc w:val="left"/>
      <w:pPr>
        <w:ind w:left="7047" w:hanging="360"/>
      </w:pPr>
      <w:rPr>
        <w:rFonts w:hint="default" w:ascii="Wingdings" w:hAnsi="Wingdings"/>
      </w:rPr>
    </w:lvl>
  </w:abstractNum>
  <w:abstractNum w:abstractNumId="36">
    <w:multiLevelType w:val="hybridMultilevel"/>
    <w:lvl w:ilvl="0">
      <w:start w:val="1"/>
      <w:numFmt w:val="bullet"/>
      <w:isLgl w:val="false"/>
      <w:suff w:val="tab"/>
      <w:lvlText w:val="–"/>
      <w:lvlJc w:val="left"/>
      <w:pPr>
        <w:ind w:left="720" w:hanging="360"/>
      </w:pPr>
      <w:rPr>
        <w:rFonts w:ascii="Arial" w:hAnsi="Arial" w:eastAsia="Arial" w:cs="Arial"/>
      </w:rPr>
    </w:lvl>
    <w:lvl w:ilvl="1">
      <w:start w:val="1"/>
      <w:numFmt w:val="bullet"/>
      <w:isLgl w:val="false"/>
      <w:suff w:val="tab"/>
      <w:lvlText w:val="o"/>
      <w:lvlJc w:val="left"/>
      <w:pPr>
        <w:ind w:left="1440" w:hanging="360"/>
      </w:pPr>
      <w:rPr>
        <w:rFonts w:hint="default" w:ascii="Courier New" w:hAnsi="Courier New" w:eastAsia="Courier New" w:cs="Courier New"/>
      </w:rPr>
    </w:lvl>
    <w:lvl w:ilvl="2">
      <w:start w:val="1"/>
      <w:numFmt w:val="bullet"/>
      <w:isLgl w:val="false"/>
      <w:suff w:val="tab"/>
      <w:lvlText w:val="§"/>
      <w:lvlJc w:val="left"/>
      <w:pPr>
        <w:ind w:left="2160" w:hanging="360"/>
      </w:pPr>
      <w:rPr>
        <w:rFonts w:hint="default" w:ascii="Wingdings" w:hAnsi="Wingdings" w:eastAsia="Wingdings" w:cs="Wingdings"/>
      </w:rPr>
    </w:lvl>
    <w:lvl w:ilvl="3">
      <w:start w:val="1"/>
      <w:numFmt w:val="bullet"/>
      <w:isLgl w:val="false"/>
      <w:suff w:val="tab"/>
      <w:lvlText w:val="·"/>
      <w:lvlJc w:val="left"/>
      <w:pPr>
        <w:ind w:left="2880" w:hanging="360"/>
      </w:pPr>
      <w:rPr>
        <w:rFonts w:hint="default" w:ascii="Symbol" w:hAnsi="Symbol" w:eastAsia="Symbol" w:cs="Symbol"/>
      </w:rPr>
    </w:lvl>
    <w:lvl w:ilvl="4">
      <w:start w:val="1"/>
      <w:numFmt w:val="bullet"/>
      <w:isLgl w:val="false"/>
      <w:suff w:val="tab"/>
      <w:lvlText w:val="o"/>
      <w:lvlJc w:val="left"/>
      <w:pPr>
        <w:ind w:left="3600" w:hanging="360"/>
      </w:pPr>
      <w:rPr>
        <w:rFonts w:hint="default" w:ascii="Courier New" w:hAnsi="Courier New" w:eastAsia="Courier New" w:cs="Courier New"/>
      </w:rPr>
    </w:lvl>
    <w:lvl w:ilvl="5">
      <w:start w:val="1"/>
      <w:numFmt w:val="bullet"/>
      <w:isLgl w:val="false"/>
      <w:suff w:val="tab"/>
      <w:lvlText w:val="§"/>
      <w:lvlJc w:val="left"/>
      <w:pPr>
        <w:ind w:left="4320" w:hanging="360"/>
      </w:pPr>
      <w:rPr>
        <w:rFonts w:hint="default" w:ascii="Wingdings" w:hAnsi="Wingdings" w:eastAsia="Wingdings" w:cs="Wingdings"/>
      </w:rPr>
    </w:lvl>
    <w:lvl w:ilvl="6">
      <w:start w:val="1"/>
      <w:numFmt w:val="bullet"/>
      <w:isLgl w:val="false"/>
      <w:suff w:val="tab"/>
      <w:lvlText w:val="·"/>
      <w:lvlJc w:val="left"/>
      <w:pPr>
        <w:ind w:left="5040" w:hanging="360"/>
      </w:pPr>
      <w:rPr>
        <w:rFonts w:hint="default" w:ascii="Symbol" w:hAnsi="Symbol" w:eastAsia="Symbol" w:cs="Symbol"/>
      </w:rPr>
    </w:lvl>
    <w:lvl w:ilvl="7">
      <w:start w:val="1"/>
      <w:numFmt w:val="bullet"/>
      <w:isLgl w:val="false"/>
      <w:suff w:val="tab"/>
      <w:lvlText w:val="o"/>
      <w:lvlJc w:val="left"/>
      <w:pPr>
        <w:ind w:left="5760" w:hanging="360"/>
      </w:pPr>
      <w:rPr>
        <w:rFonts w:hint="default" w:ascii="Courier New" w:hAnsi="Courier New" w:eastAsia="Courier New" w:cs="Courier New"/>
      </w:rPr>
    </w:lvl>
    <w:lvl w:ilvl="8">
      <w:start w:val="1"/>
      <w:numFmt w:val="bullet"/>
      <w:isLgl w:val="false"/>
      <w:suff w:val="tab"/>
      <w:lvlText w:val="§"/>
      <w:lvlJc w:val="left"/>
      <w:pPr>
        <w:ind w:left="6480" w:hanging="360"/>
      </w:pPr>
      <w:rPr>
        <w:rFonts w:hint="default" w:ascii="Wingdings" w:hAnsi="Wingdings" w:eastAsia="Wingdings" w:cs="Wingdings"/>
      </w:rPr>
    </w:lvl>
  </w:abstractNum>
  <w:abstractNum w:abstractNumId="37">
    <w:multiLevelType w:val="hybridMultilevel"/>
    <w:lvl w:ilvl="0">
      <w:start w:val="1"/>
      <w:numFmt w:val="bullet"/>
      <w:isLgl w:val="false"/>
      <w:suff w:val="tab"/>
      <w:lvlText w:val=""/>
      <w:lvlJc w:val="left"/>
      <w:pPr>
        <w:ind w:left="0"/>
      </w:pPr>
      <w:rPr>
        <w:rFonts w:hint="default" w:ascii="Symbol" w:hAnsi="Symbol"/>
        <w:b w:val="0"/>
        <w:i w:val="0"/>
        <w:strike w:val="0"/>
        <w:color w:val="000000"/>
        <w:sz w:val="28"/>
        <w:szCs w:val="28"/>
        <w:u w:val="none"/>
        <w:vertAlign w:val="baseline"/>
      </w:rPr>
    </w:lvl>
    <w:lvl w:ilvl="1">
      <w:start w:val="1"/>
      <w:numFmt w:val="bullet"/>
      <w:isLgl w:val="false"/>
      <w:suff w:val="tab"/>
      <w:lvlText w:val="o"/>
      <w:lvlJc w:val="left"/>
      <w:pPr>
        <w:ind w:left="1788"/>
      </w:pPr>
      <w:rPr>
        <w:rFonts w:ascii="Times New Roman" w:hAnsi="Times New Roman" w:eastAsia="Times New Roman" w:cs="Times New Roman"/>
        <w:b w:val="0"/>
        <w:i w:val="0"/>
        <w:strike w:val="0"/>
        <w:color w:val="000000"/>
        <w:sz w:val="28"/>
        <w:szCs w:val="28"/>
        <w:u w:val="none"/>
        <w:vertAlign w:val="baseline"/>
      </w:rPr>
    </w:lvl>
    <w:lvl w:ilvl="2">
      <w:start w:val="1"/>
      <w:numFmt w:val="bullet"/>
      <w:isLgl w:val="false"/>
      <w:suff w:val="tab"/>
      <w:lvlText w:val="▪"/>
      <w:lvlJc w:val="left"/>
      <w:pPr>
        <w:ind w:left="2508"/>
      </w:pPr>
      <w:rPr>
        <w:rFonts w:ascii="Times New Roman" w:hAnsi="Times New Roman" w:eastAsia="Times New Roman" w:cs="Times New Roman"/>
        <w:b w:val="0"/>
        <w:i w:val="0"/>
        <w:strike w:val="0"/>
        <w:color w:val="000000"/>
        <w:sz w:val="28"/>
        <w:szCs w:val="28"/>
        <w:u w:val="none"/>
        <w:vertAlign w:val="baseline"/>
      </w:rPr>
    </w:lvl>
    <w:lvl w:ilvl="3">
      <w:start w:val="1"/>
      <w:numFmt w:val="bullet"/>
      <w:isLgl w:val="false"/>
      <w:suff w:val="tab"/>
      <w:lvlText w:val="•"/>
      <w:lvlJc w:val="left"/>
      <w:pPr>
        <w:ind w:left="3228"/>
      </w:pPr>
      <w:rPr>
        <w:rFonts w:ascii="Times New Roman" w:hAnsi="Times New Roman" w:eastAsia="Times New Roman" w:cs="Times New Roman"/>
        <w:b w:val="0"/>
        <w:i w:val="0"/>
        <w:strike w:val="0"/>
        <w:color w:val="000000"/>
        <w:sz w:val="28"/>
        <w:szCs w:val="28"/>
        <w:u w:val="none"/>
        <w:vertAlign w:val="baseline"/>
      </w:rPr>
    </w:lvl>
    <w:lvl w:ilvl="4">
      <w:start w:val="1"/>
      <w:numFmt w:val="bullet"/>
      <w:isLgl w:val="false"/>
      <w:suff w:val="tab"/>
      <w:lvlText w:val="o"/>
      <w:lvlJc w:val="left"/>
      <w:pPr>
        <w:ind w:left="3948"/>
      </w:pPr>
      <w:rPr>
        <w:rFonts w:ascii="Times New Roman" w:hAnsi="Times New Roman" w:eastAsia="Times New Roman" w:cs="Times New Roman"/>
        <w:b w:val="0"/>
        <w:i w:val="0"/>
        <w:strike w:val="0"/>
        <w:color w:val="000000"/>
        <w:sz w:val="28"/>
        <w:szCs w:val="28"/>
        <w:u w:val="none"/>
        <w:vertAlign w:val="baseline"/>
      </w:rPr>
    </w:lvl>
    <w:lvl w:ilvl="5">
      <w:start w:val="1"/>
      <w:numFmt w:val="bullet"/>
      <w:isLgl w:val="false"/>
      <w:suff w:val="tab"/>
      <w:lvlText w:val="▪"/>
      <w:lvlJc w:val="left"/>
      <w:pPr>
        <w:ind w:left="4668"/>
      </w:pPr>
      <w:rPr>
        <w:rFonts w:ascii="Times New Roman" w:hAnsi="Times New Roman" w:eastAsia="Times New Roman" w:cs="Times New Roman"/>
        <w:b w:val="0"/>
        <w:i w:val="0"/>
        <w:strike w:val="0"/>
        <w:color w:val="000000"/>
        <w:sz w:val="28"/>
        <w:szCs w:val="28"/>
        <w:u w:val="none"/>
        <w:vertAlign w:val="baseline"/>
      </w:rPr>
    </w:lvl>
    <w:lvl w:ilvl="6">
      <w:start w:val="1"/>
      <w:numFmt w:val="bullet"/>
      <w:isLgl w:val="false"/>
      <w:suff w:val="tab"/>
      <w:lvlText w:val="•"/>
      <w:lvlJc w:val="left"/>
      <w:pPr>
        <w:ind w:left="5388"/>
      </w:pPr>
      <w:rPr>
        <w:rFonts w:ascii="Times New Roman" w:hAnsi="Times New Roman" w:eastAsia="Times New Roman" w:cs="Times New Roman"/>
        <w:b w:val="0"/>
        <w:i w:val="0"/>
        <w:strike w:val="0"/>
        <w:color w:val="000000"/>
        <w:sz w:val="28"/>
        <w:szCs w:val="28"/>
        <w:u w:val="none"/>
        <w:vertAlign w:val="baseline"/>
      </w:rPr>
    </w:lvl>
    <w:lvl w:ilvl="7">
      <w:start w:val="1"/>
      <w:numFmt w:val="bullet"/>
      <w:isLgl w:val="false"/>
      <w:suff w:val="tab"/>
      <w:lvlText w:val="o"/>
      <w:lvlJc w:val="left"/>
      <w:pPr>
        <w:ind w:left="6108"/>
      </w:pPr>
      <w:rPr>
        <w:rFonts w:ascii="Times New Roman" w:hAnsi="Times New Roman" w:eastAsia="Times New Roman" w:cs="Times New Roman"/>
        <w:b w:val="0"/>
        <w:i w:val="0"/>
        <w:strike w:val="0"/>
        <w:color w:val="000000"/>
        <w:sz w:val="28"/>
        <w:szCs w:val="28"/>
        <w:u w:val="none"/>
        <w:vertAlign w:val="baseline"/>
      </w:rPr>
    </w:lvl>
    <w:lvl w:ilvl="8">
      <w:start w:val="1"/>
      <w:numFmt w:val="bullet"/>
      <w:isLgl w:val="false"/>
      <w:suff w:val="tab"/>
      <w:lvlText w:val="▪"/>
      <w:lvlJc w:val="left"/>
      <w:pPr>
        <w:ind w:left="6828"/>
      </w:pPr>
      <w:rPr>
        <w:rFonts w:ascii="Times New Roman" w:hAnsi="Times New Roman" w:eastAsia="Times New Roman" w:cs="Times New Roman"/>
        <w:b w:val="0"/>
        <w:i w:val="0"/>
        <w:strike w:val="0"/>
        <w:color w:val="000000"/>
        <w:sz w:val="28"/>
        <w:szCs w:val="28"/>
        <w:u w:val="none"/>
        <w:vertAlign w:val="baseline"/>
      </w:rPr>
    </w:lvl>
  </w:abstractNum>
  <w:abstractNum w:abstractNumId="38">
    <w:multiLevelType w:val="hybridMultilevel"/>
    <w:lvl w:ilvl="0">
      <w:start w:val="1"/>
      <w:numFmt w:val="bullet"/>
      <w:isLgl w:val="false"/>
      <w:suff w:val="tab"/>
      <w:lvlText w:val=""/>
      <w:lvlJc w:val="left"/>
      <w:pPr>
        <w:ind w:left="1287" w:hanging="360"/>
      </w:pPr>
      <w:rPr>
        <w:rFonts w:hint="default" w:ascii="Symbol" w:hAnsi="Symbol"/>
      </w:rPr>
    </w:lvl>
    <w:lvl w:ilvl="1">
      <w:start w:val="1"/>
      <w:numFmt w:val="bullet"/>
      <w:isLgl w:val="false"/>
      <w:suff w:val="tab"/>
      <w:lvlText w:val="o"/>
      <w:lvlJc w:val="left"/>
      <w:pPr>
        <w:ind w:left="2007" w:hanging="360"/>
      </w:pPr>
      <w:rPr>
        <w:rFonts w:hint="default" w:ascii="Courier New" w:hAnsi="Courier New" w:cs="Courier New"/>
      </w:rPr>
    </w:lvl>
    <w:lvl w:ilvl="2">
      <w:start w:val="1"/>
      <w:numFmt w:val="bullet"/>
      <w:isLgl w:val="false"/>
      <w:suff w:val="tab"/>
      <w:lvlText w:val=""/>
      <w:lvlJc w:val="left"/>
      <w:pPr>
        <w:ind w:left="2727" w:hanging="360"/>
      </w:pPr>
      <w:rPr>
        <w:rFonts w:hint="default" w:ascii="Wingdings" w:hAnsi="Wingdings"/>
      </w:rPr>
    </w:lvl>
    <w:lvl w:ilvl="3">
      <w:start w:val="1"/>
      <w:numFmt w:val="bullet"/>
      <w:isLgl w:val="false"/>
      <w:suff w:val="tab"/>
      <w:lvlText w:val=""/>
      <w:lvlJc w:val="left"/>
      <w:pPr>
        <w:ind w:left="3447" w:hanging="360"/>
      </w:pPr>
      <w:rPr>
        <w:rFonts w:hint="default" w:ascii="Symbol" w:hAnsi="Symbol"/>
      </w:rPr>
    </w:lvl>
    <w:lvl w:ilvl="4">
      <w:start w:val="1"/>
      <w:numFmt w:val="bullet"/>
      <w:isLgl w:val="false"/>
      <w:suff w:val="tab"/>
      <w:lvlText w:val="o"/>
      <w:lvlJc w:val="left"/>
      <w:pPr>
        <w:ind w:left="4167" w:hanging="360"/>
      </w:pPr>
      <w:rPr>
        <w:rFonts w:hint="default" w:ascii="Courier New" w:hAnsi="Courier New" w:cs="Courier New"/>
      </w:rPr>
    </w:lvl>
    <w:lvl w:ilvl="5">
      <w:start w:val="1"/>
      <w:numFmt w:val="bullet"/>
      <w:isLgl w:val="false"/>
      <w:suff w:val="tab"/>
      <w:lvlText w:val=""/>
      <w:lvlJc w:val="left"/>
      <w:pPr>
        <w:ind w:left="4887" w:hanging="360"/>
      </w:pPr>
      <w:rPr>
        <w:rFonts w:hint="default" w:ascii="Wingdings" w:hAnsi="Wingdings"/>
      </w:rPr>
    </w:lvl>
    <w:lvl w:ilvl="6">
      <w:start w:val="1"/>
      <w:numFmt w:val="bullet"/>
      <w:isLgl w:val="false"/>
      <w:suff w:val="tab"/>
      <w:lvlText w:val=""/>
      <w:lvlJc w:val="left"/>
      <w:pPr>
        <w:ind w:left="5607" w:hanging="360"/>
      </w:pPr>
      <w:rPr>
        <w:rFonts w:hint="default" w:ascii="Symbol" w:hAnsi="Symbol"/>
      </w:rPr>
    </w:lvl>
    <w:lvl w:ilvl="7">
      <w:start w:val="1"/>
      <w:numFmt w:val="bullet"/>
      <w:isLgl w:val="false"/>
      <w:suff w:val="tab"/>
      <w:lvlText w:val="o"/>
      <w:lvlJc w:val="left"/>
      <w:pPr>
        <w:ind w:left="6327" w:hanging="360"/>
      </w:pPr>
      <w:rPr>
        <w:rFonts w:hint="default" w:ascii="Courier New" w:hAnsi="Courier New" w:cs="Courier New"/>
      </w:rPr>
    </w:lvl>
    <w:lvl w:ilvl="8">
      <w:start w:val="1"/>
      <w:numFmt w:val="bullet"/>
      <w:isLgl w:val="false"/>
      <w:suff w:val="tab"/>
      <w:lvlText w:val=""/>
      <w:lvlJc w:val="left"/>
      <w:pPr>
        <w:ind w:left="7047" w:hanging="360"/>
      </w:pPr>
      <w:rPr>
        <w:rFonts w:hint="default" w:ascii="Wingdings" w:hAnsi="Wingdings"/>
      </w:rPr>
    </w:lvl>
  </w:abstractNum>
  <w:abstractNum w:abstractNumId="39">
    <w:multiLevelType w:val="hybridMultilevel"/>
    <w:lvl w:ilvl="0">
      <w:start w:val="1"/>
      <w:numFmt w:val="bullet"/>
      <w:isLgl w:val="false"/>
      <w:suff w:val="tab"/>
      <w:lvlText w:val=""/>
      <w:lvlJc w:val="left"/>
      <w:pPr>
        <w:ind w:left="0"/>
      </w:pPr>
      <w:rPr>
        <w:rFonts w:hint="default" w:ascii="Symbol" w:hAnsi="Symbol"/>
        <w:b w:val="0"/>
        <w:i w:val="0"/>
        <w:strike w:val="0"/>
        <w:color w:val="000000"/>
        <w:sz w:val="28"/>
        <w:szCs w:val="28"/>
        <w:u w:val="none"/>
        <w:vertAlign w:val="baseline"/>
      </w:rPr>
    </w:lvl>
    <w:lvl w:ilvl="1">
      <w:start w:val="1"/>
      <w:numFmt w:val="bullet"/>
      <w:isLgl w:val="false"/>
      <w:suff w:val="tab"/>
      <w:lvlText w:val="o"/>
      <w:lvlJc w:val="left"/>
      <w:pPr>
        <w:ind w:left="1788"/>
      </w:pPr>
      <w:rPr>
        <w:rFonts w:ascii="Times New Roman" w:hAnsi="Times New Roman" w:eastAsia="Times New Roman" w:cs="Times New Roman"/>
        <w:b w:val="0"/>
        <w:i w:val="0"/>
        <w:strike w:val="0"/>
        <w:color w:val="000000"/>
        <w:sz w:val="28"/>
        <w:szCs w:val="28"/>
        <w:u w:val="none"/>
        <w:vertAlign w:val="baseline"/>
      </w:rPr>
    </w:lvl>
    <w:lvl w:ilvl="2">
      <w:start w:val="1"/>
      <w:numFmt w:val="bullet"/>
      <w:isLgl w:val="false"/>
      <w:suff w:val="tab"/>
      <w:lvlText w:val="▪"/>
      <w:lvlJc w:val="left"/>
      <w:pPr>
        <w:ind w:left="2508"/>
      </w:pPr>
      <w:rPr>
        <w:rFonts w:ascii="Times New Roman" w:hAnsi="Times New Roman" w:eastAsia="Times New Roman" w:cs="Times New Roman"/>
        <w:b w:val="0"/>
        <w:i w:val="0"/>
        <w:strike w:val="0"/>
        <w:color w:val="000000"/>
        <w:sz w:val="28"/>
        <w:szCs w:val="28"/>
        <w:u w:val="none"/>
        <w:vertAlign w:val="baseline"/>
      </w:rPr>
    </w:lvl>
    <w:lvl w:ilvl="3">
      <w:start w:val="1"/>
      <w:numFmt w:val="bullet"/>
      <w:isLgl w:val="false"/>
      <w:suff w:val="tab"/>
      <w:lvlText w:val="•"/>
      <w:lvlJc w:val="left"/>
      <w:pPr>
        <w:ind w:left="3228"/>
      </w:pPr>
      <w:rPr>
        <w:rFonts w:ascii="Times New Roman" w:hAnsi="Times New Roman" w:eastAsia="Times New Roman" w:cs="Times New Roman"/>
        <w:b w:val="0"/>
        <w:i w:val="0"/>
        <w:strike w:val="0"/>
        <w:color w:val="000000"/>
        <w:sz w:val="28"/>
        <w:szCs w:val="28"/>
        <w:u w:val="none"/>
        <w:vertAlign w:val="baseline"/>
      </w:rPr>
    </w:lvl>
    <w:lvl w:ilvl="4">
      <w:start w:val="1"/>
      <w:numFmt w:val="bullet"/>
      <w:isLgl w:val="false"/>
      <w:suff w:val="tab"/>
      <w:lvlText w:val="o"/>
      <w:lvlJc w:val="left"/>
      <w:pPr>
        <w:ind w:left="3948"/>
      </w:pPr>
      <w:rPr>
        <w:rFonts w:ascii="Times New Roman" w:hAnsi="Times New Roman" w:eastAsia="Times New Roman" w:cs="Times New Roman"/>
        <w:b w:val="0"/>
        <w:i w:val="0"/>
        <w:strike w:val="0"/>
        <w:color w:val="000000"/>
        <w:sz w:val="28"/>
        <w:szCs w:val="28"/>
        <w:u w:val="none"/>
        <w:vertAlign w:val="baseline"/>
      </w:rPr>
    </w:lvl>
    <w:lvl w:ilvl="5">
      <w:start w:val="1"/>
      <w:numFmt w:val="bullet"/>
      <w:isLgl w:val="false"/>
      <w:suff w:val="tab"/>
      <w:lvlText w:val="▪"/>
      <w:lvlJc w:val="left"/>
      <w:pPr>
        <w:ind w:left="4668"/>
      </w:pPr>
      <w:rPr>
        <w:rFonts w:ascii="Times New Roman" w:hAnsi="Times New Roman" w:eastAsia="Times New Roman" w:cs="Times New Roman"/>
        <w:b w:val="0"/>
        <w:i w:val="0"/>
        <w:strike w:val="0"/>
        <w:color w:val="000000"/>
        <w:sz w:val="28"/>
        <w:szCs w:val="28"/>
        <w:u w:val="none"/>
        <w:vertAlign w:val="baseline"/>
      </w:rPr>
    </w:lvl>
    <w:lvl w:ilvl="6">
      <w:start w:val="1"/>
      <w:numFmt w:val="bullet"/>
      <w:isLgl w:val="false"/>
      <w:suff w:val="tab"/>
      <w:lvlText w:val="•"/>
      <w:lvlJc w:val="left"/>
      <w:pPr>
        <w:ind w:left="5388"/>
      </w:pPr>
      <w:rPr>
        <w:rFonts w:ascii="Times New Roman" w:hAnsi="Times New Roman" w:eastAsia="Times New Roman" w:cs="Times New Roman"/>
        <w:b w:val="0"/>
        <w:i w:val="0"/>
        <w:strike w:val="0"/>
        <w:color w:val="000000"/>
        <w:sz w:val="28"/>
        <w:szCs w:val="28"/>
        <w:u w:val="none"/>
        <w:vertAlign w:val="baseline"/>
      </w:rPr>
    </w:lvl>
    <w:lvl w:ilvl="7">
      <w:start w:val="1"/>
      <w:numFmt w:val="bullet"/>
      <w:isLgl w:val="false"/>
      <w:suff w:val="tab"/>
      <w:lvlText w:val="o"/>
      <w:lvlJc w:val="left"/>
      <w:pPr>
        <w:ind w:left="6108"/>
      </w:pPr>
      <w:rPr>
        <w:rFonts w:ascii="Times New Roman" w:hAnsi="Times New Roman" w:eastAsia="Times New Roman" w:cs="Times New Roman"/>
        <w:b w:val="0"/>
        <w:i w:val="0"/>
        <w:strike w:val="0"/>
        <w:color w:val="000000"/>
        <w:sz w:val="28"/>
        <w:szCs w:val="28"/>
        <w:u w:val="none"/>
        <w:vertAlign w:val="baseline"/>
      </w:rPr>
    </w:lvl>
    <w:lvl w:ilvl="8">
      <w:start w:val="1"/>
      <w:numFmt w:val="bullet"/>
      <w:isLgl w:val="false"/>
      <w:suff w:val="tab"/>
      <w:lvlText w:val="▪"/>
      <w:lvlJc w:val="left"/>
      <w:pPr>
        <w:ind w:left="6828"/>
      </w:pPr>
      <w:rPr>
        <w:rFonts w:ascii="Times New Roman" w:hAnsi="Times New Roman" w:eastAsia="Times New Roman" w:cs="Times New Roman"/>
        <w:b w:val="0"/>
        <w:i w:val="0"/>
        <w:strike w:val="0"/>
        <w:color w:val="000000"/>
        <w:sz w:val="28"/>
        <w:szCs w:val="28"/>
        <w:u w:val="none"/>
        <w:vertAlign w:val="baseline"/>
      </w:rPr>
    </w:lvl>
  </w:abstractNum>
  <w:abstractNum w:abstractNumId="40">
    <w:multiLevelType w:val="hybridMultilevel"/>
    <w:lvl w:ilvl="0">
      <w:start w:val="1"/>
      <w:numFmt w:val="bullet"/>
      <w:isLgl w:val="false"/>
      <w:suff w:val="tab"/>
      <w:lvlText w:val="–"/>
      <w:lvlJc w:val="left"/>
      <w:pPr>
        <w:ind w:left="720" w:hanging="360"/>
      </w:pPr>
      <w:rPr>
        <w:rFonts w:ascii="Arial" w:hAnsi="Arial" w:eastAsia="Arial" w:cs="Arial"/>
      </w:rPr>
    </w:lvl>
    <w:lvl w:ilvl="1">
      <w:start w:val="1"/>
      <w:numFmt w:val="bullet"/>
      <w:isLgl w:val="false"/>
      <w:suff w:val="tab"/>
      <w:lvlText w:val="o"/>
      <w:lvlJc w:val="left"/>
      <w:pPr>
        <w:ind w:left="1440" w:hanging="360"/>
      </w:pPr>
      <w:rPr>
        <w:rFonts w:hint="default" w:ascii="Courier New" w:hAnsi="Courier New" w:eastAsia="Courier New" w:cs="Courier New"/>
      </w:rPr>
    </w:lvl>
    <w:lvl w:ilvl="2">
      <w:start w:val="1"/>
      <w:numFmt w:val="bullet"/>
      <w:isLgl w:val="false"/>
      <w:suff w:val="tab"/>
      <w:lvlText w:val="§"/>
      <w:lvlJc w:val="left"/>
      <w:pPr>
        <w:ind w:left="2160" w:hanging="360"/>
      </w:pPr>
      <w:rPr>
        <w:rFonts w:hint="default" w:ascii="Wingdings" w:hAnsi="Wingdings" w:eastAsia="Wingdings" w:cs="Wingdings"/>
      </w:rPr>
    </w:lvl>
    <w:lvl w:ilvl="3">
      <w:start w:val="1"/>
      <w:numFmt w:val="bullet"/>
      <w:isLgl w:val="false"/>
      <w:suff w:val="tab"/>
      <w:lvlText w:val="·"/>
      <w:lvlJc w:val="left"/>
      <w:pPr>
        <w:ind w:left="2880" w:hanging="360"/>
      </w:pPr>
      <w:rPr>
        <w:rFonts w:hint="default" w:ascii="Symbol" w:hAnsi="Symbol" w:eastAsia="Symbol" w:cs="Symbol"/>
      </w:rPr>
    </w:lvl>
    <w:lvl w:ilvl="4">
      <w:start w:val="1"/>
      <w:numFmt w:val="bullet"/>
      <w:isLgl w:val="false"/>
      <w:suff w:val="tab"/>
      <w:lvlText w:val="o"/>
      <w:lvlJc w:val="left"/>
      <w:pPr>
        <w:ind w:left="3600" w:hanging="360"/>
      </w:pPr>
      <w:rPr>
        <w:rFonts w:hint="default" w:ascii="Courier New" w:hAnsi="Courier New" w:eastAsia="Courier New" w:cs="Courier New"/>
      </w:rPr>
    </w:lvl>
    <w:lvl w:ilvl="5">
      <w:start w:val="1"/>
      <w:numFmt w:val="bullet"/>
      <w:isLgl w:val="false"/>
      <w:suff w:val="tab"/>
      <w:lvlText w:val="§"/>
      <w:lvlJc w:val="left"/>
      <w:pPr>
        <w:ind w:left="4320" w:hanging="360"/>
      </w:pPr>
      <w:rPr>
        <w:rFonts w:hint="default" w:ascii="Wingdings" w:hAnsi="Wingdings" w:eastAsia="Wingdings" w:cs="Wingdings"/>
      </w:rPr>
    </w:lvl>
    <w:lvl w:ilvl="6">
      <w:start w:val="1"/>
      <w:numFmt w:val="bullet"/>
      <w:isLgl w:val="false"/>
      <w:suff w:val="tab"/>
      <w:lvlText w:val="·"/>
      <w:lvlJc w:val="left"/>
      <w:pPr>
        <w:ind w:left="5040" w:hanging="360"/>
      </w:pPr>
      <w:rPr>
        <w:rFonts w:hint="default" w:ascii="Symbol" w:hAnsi="Symbol" w:eastAsia="Symbol" w:cs="Symbol"/>
      </w:rPr>
    </w:lvl>
    <w:lvl w:ilvl="7">
      <w:start w:val="1"/>
      <w:numFmt w:val="bullet"/>
      <w:isLgl w:val="false"/>
      <w:suff w:val="tab"/>
      <w:lvlText w:val="o"/>
      <w:lvlJc w:val="left"/>
      <w:pPr>
        <w:ind w:left="5760" w:hanging="360"/>
      </w:pPr>
      <w:rPr>
        <w:rFonts w:hint="default" w:ascii="Courier New" w:hAnsi="Courier New" w:eastAsia="Courier New" w:cs="Courier New"/>
      </w:rPr>
    </w:lvl>
    <w:lvl w:ilvl="8">
      <w:start w:val="1"/>
      <w:numFmt w:val="bullet"/>
      <w:isLgl w:val="false"/>
      <w:suff w:val="tab"/>
      <w:lvlText w:val="§"/>
      <w:lvlJc w:val="left"/>
      <w:pPr>
        <w:ind w:left="6480" w:hanging="360"/>
      </w:pPr>
      <w:rPr>
        <w:rFonts w:hint="default" w:ascii="Wingdings" w:hAnsi="Wingdings" w:eastAsia="Wingdings" w:cs="Wingdings"/>
      </w:rPr>
    </w:lvl>
  </w:abstractNum>
  <w:abstractNum w:abstractNumId="41">
    <w:multiLevelType w:val="hybridMultilevel"/>
    <w:lvl w:ilvl="0">
      <w:start w:val="1"/>
      <w:numFmt w:val="bullet"/>
      <w:isLgl w:val="false"/>
      <w:suff w:val="tab"/>
      <w:lvlText w:val=""/>
      <w:lvlJc w:val="left"/>
      <w:pPr>
        <w:ind w:left="0"/>
      </w:pPr>
      <w:rPr>
        <w:rFonts w:hint="default" w:ascii="Symbol" w:hAnsi="Symbol"/>
        <w:b w:val="0"/>
        <w:i w:val="0"/>
        <w:strike w:val="0"/>
        <w:color w:val="000000"/>
        <w:sz w:val="28"/>
        <w:szCs w:val="28"/>
        <w:u w:val="none"/>
        <w:vertAlign w:val="baseline"/>
      </w:rPr>
    </w:lvl>
    <w:lvl w:ilvl="1">
      <w:start w:val="1"/>
      <w:numFmt w:val="bullet"/>
      <w:isLgl w:val="false"/>
      <w:suff w:val="tab"/>
      <w:lvlText w:val="o"/>
      <w:lvlJc w:val="left"/>
      <w:pPr>
        <w:ind w:left="1788"/>
      </w:pPr>
      <w:rPr>
        <w:rFonts w:ascii="Times New Roman" w:hAnsi="Times New Roman" w:eastAsia="Times New Roman" w:cs="Times New Roman"/>
        <w:b w:val="0"/>
        <w:i w:val="0"/>
        <w:strike w:val="0"/>
        <w:color w:val="000000"/>
        <w:sz w:val="28"/>
        <w:szCs w:val="28"/>
        <w:u w:val="none"/>
        <w:vertAlign w:val="baseline"/>
      </w:rPr>
    </w:lvl>
    <w:lvl w:ilvl="2">
      <w:start w:val="1"/>
      <w:numFmt w:val="bullet"/>
      <w:isLgl w:val="false"/>
      <w:suff w:val="tab"/>
      <w:lvlText w:val="▪"/>
      <w:lvlJc w:val="left"/>
      <w:pPr>
        <w:ind w:left="2508"/>
      </w:pPr>
      <w:rPr>
        <w:rFonts w:ascii="Times New Roman" w:hAnsi="Times New Roman" w:eastAsia="Times New Roman" w:cs="Times New Roman"/>
        <w:b w:val="0"/>
        <w:i w:val="0"/>
        <w:strike w:val="0"/>
        <w:color w:val="000000"/>
        <w:sz w:val="28"/>
        <w:szCs w:val="28"/>
        <w:u w:val="none"/>
        <w:vertAlign w:val="baseline"/>
      </w:rPr>
    </w:lvl>
    <w:lvl w:ilvl="3">
      <w:start w:val="1"/>
      <w:numFmt w:val="bullet"/>
      <w:isLgl w:val="false"/>
      <w:suff w:val="tab"/>
      <w:lvlText w:val="•"/>
      <w:lvlJc w:val="left"/>
      <w:pPr>
        <w:ind w:left="3228"/>
      </w:pPr>
      <w:rPr>
        <w:rFonts w:ascii="Times New Roman" w:hAnsi="Times New Roman" w:eastAsia="Times New Roman" w:cs="Times New Roman"/>
        <w:b w:val="0"/>
        <w:i w:val="0"/>
        <w:strike w:val="0"/>
        <w:color w:val="000000"/>
        <w:sz w:val="28"/>
        <w:szCs w:val="28"/>
        <w:u w:val="none"/>
        <w:vertAlign w:val="baseline"/>
      </w:rPr>
    </w:lvl>
    <w:lvl w:ilvl="4">
      <w:start w:val="1"/>
      <w:numFmt w:val="bullet"/>
      <w:isLgl w:val="false"/>
      <w:suff w:val="tab"/>
      <w:lvlText w:val="o"/>
      <w:lvlJc w:val="left"/>
      <w:pPr>
        <w:ind w:left="3948"/>
      </w:pPr>
      <w:rPr>
        <w:rFonts w:ascii="Times New Roman" w:hAnsi="Times New Roman" w:eastAsia="Times New Roman" w:cs="Times New Roman"/>
        <w:b w:val="0"/>
        <w:i w:val="0"/>
        <w:strike w:val="0"/>
        <w:color w:val="000000"/>
        <w:sz w:val="28"/>
        <w:szCs w:val="28"/>
        <w:u w:val="none"/>
        <w:vertAlign w:val="baseline"/>
      </w:rPr>
    </w:lvl>
    <w:lvl w:ilvl="5">
      <w:start w:val="1"/>
      <w:numFmt w:val="bullet"/>
      <w:isLgl w:val="false"/>
      <w:suff w:val="tab"/>
      <w:lvlText w:val="▪"/>
      <w:lvlJc w:val="left"/>
      <w:pPr>
        <w:ind w:left="4668"/>
      </w:pPr>
      <w:rPr>
        <w:rFonts w:ascii="Times New Roman" w:hAnsi="Times New Roman" w:eastAsia="Times New Roman" w:cs="Times New Roman"/>
        <w:b w:val="0"/>
        <w:i w:val="0"/>
        <w:strike w:val="0"/>
        <w:color w:val="000000"/>
        <w:sz w:val="28"/>
        <w:szCs w:val="28"/>
        <w:u w:val="none"/>
        <w:vertAlign w:val="baseline"/>
      </w:rPr>
    </w:lvl>
    <w:lvl w:ilvl="6">
      <w:start w:val="1"/>
      <w:numFmt w:val="bullet"/>
      <w:isLgl w:val="false"/>
      <w:suff w:val="tab"/>
      <w:lvlText w:val="•"/>
      <w:lvlJc w:val="left"/>
      <w:pPr>
        <w:ind w:left="5388"/>
      </w:pPr>
      <w:rPr>
        <w:rFonts w:ascii="Times New Roman" w:hAnsi="Times New Roman" w:eastAsia="Times New Roman" w:cs="Times New Roman"/>
        <w:b w:val="0"/>
        <w:i w:val="0"/>
        <w:strike w:val="0"/>
        <w:color w:val="000000"/>
        <w:sz w:val="28"/>
        <w:szCs w:val="28"/>
        <w:u w:val="none"/>
        <w:vertAlign w:val="baseline"/>
      </w:rPr>
    </w:lvl>
    <w:lvl w:ilvl="7">
      <w:start w:val="1"/>
      <w:numFmt w:val="bullet"/>
      <w:isLgl w:val="false"/>
      <w:suff w:val="tab"/>
      <w:lvlText w:val="o"/>
      <w:lvlJc w:val="left"/>
      <w:pPr>
        <w:ind w:left="6108"/>
      </w:pPr>
      <w:rPr>
        <w:rFonts w:ascii="Times New Roman" w:hAnsi="Times New Roman" w:eastAsia="Times New Roman" w:cs="Times New Roman"/>
        <w:b w:val="0"/>
        <w:i w:val="0"/>
        <w:strike w:val="0"/>
        <w:color w:val="000000"/>
        <w:sz w:val="28"/>
        <w:szCs w:val="28"/>
        <w:u w:val="none"/>
        <w:vertAlign w:val="baseline"/>
      </w:rPr>
    </w:lvl>
    <w:lvl w:ilvl="8">
      <w:start w:val="1"/>
      <w:numFmt w:val="bullet"/>
      <w:isLgl w:val="false"/>
      <w:suff w:val="tab"/>
      <w:lvlText w:val="▪"/>
      <w:lvlJc w:val="left"/>
      <w:pPr>
        <w:ind w:left="6828"/>
      </w:pPr>
      <w:rPr>
        <w:rFonts w:ascii="Times New Roman" w:hAnsi="Times New Roman" w:eastAsia="Times New Roman" w:cs="Times New Roman"/>
        <w:b w:val="0"/>
        <w:i w:val="0"/>
        <w:strike w:val="0"/>
        <w:color w:val="000000"/>
        <w:sz w:val="28"/>
        <w:szCs w:val="28"/>
        <w:u w:val="none"/>
        <w:vertAlign w:val="baseline"/>
      </w:rPr>
    </w:lvl>
  </w:abstractNum>
  <w:abstractNum w:abstractNumId="42">
    <w:multiLevelType w:val="hybridMultilevel"/>
    <w:lvl w:ilvl="0">
      <w:start w:val="1"/>
      <w:numFmt w:val="bullet"/>
      <w:isLgl w:val="false"/>
      <w:suff w:val="tab"/>
      <w:lvlText w:val=""/>
      <w:lvlJc w:val="left"/>
      <w:pPr>
        <w:ind w:left="1287" w:hanging="360"/>
      </w:pPr>
      <w:rPr>
        <w:rFonts w:hint="default" w:ascii="Symbol" w:hAnsi="Symbol"/>
      </w:rPr>
    </w:lvl>
    <w:lvl w:ilvl="1">
      <w:start w:val="1"/>
      <w:numFmt w:val="bullet"/>
      <w:isLgl w:val="false"/>
      <w:suff w:val="tab"/>
      <w:lvlText w:val="o"/>
      <w:lvlJc w:val="left"/>
      <w:pPr>
        <w:ind w:left="2007" w:hanging="360"/>
      </w:pPr>
      <w:rPr>
        <w:rFonts w:hint="default" w:ascii="Courier New" w:hAnsi="Courier New" w:cs="Courier New"/>
      </w:rPr>
    </w:lvl>
    <w:lvl w:ilvl="2">
      <w:start w:val="1"/>
      <w:numFmt w:val="bullet"/>
      <w:isLgl w:val="false"/>
      <w:suff w:val="tab"/>
      <w:lvlText w:val=""/>
      <w:lvlJc w:val="left"/>
      <w:pPr>
        <w:ind w:left="2727" w:hanging="360"/>
      </w:pPr>
      <w:rPr>
        <w:rFonts w:hint="default" w:ascii="Wingdings" w:hAnsi="Wingdings"/>
      </w:rPr>
    </w:lvl>
    <w:lvl w:ilvl="3">
      <w:start w:val="1"/>
      <w:numFmt w:val="bullet"/>
      <w:isLgl w:val="false"/>
      <w:suff w:val="tab"/>
      <w:lvlText w:val=""/>
      <w:lvlJc w:val="left"/>
      <w:pPr>
        <w:ind w:left="3447" w:hanging="360"/>
      </w:pPr>
      <w:rPr>
        <w:rFonts w:hint="default" w:ascii="Symbol" w:hAnsi="Symbol"/>
      </w:rPr>
    </w:lvl>
    <w:lvl w:ilvl="4">
      <w:start w:val="1"/>
      <w:numFmt w:val="bullet"/>
      <w:isLgl w:val="false"/>
      <w:suff w:val="tab"/>
      <w:lvlText w:val="o"/>
      <w:lvlJc w:val="left"/>
      <w:pPr>
        <w:ind w:left="4167" w:hanging="360"/>
      </w:pPr>
      <w:rPr>
        <w:rFonts w:hint="default" w:ascii="Courier New" w:hAnsi="Courier New" w:cs="Courier New"/>
      </w:rPr>
    </w:lvl>
    <w:lvl w:ilvl="5">
      <w:start w:val="1"/>
      <w:numFmt w:val="bullet"/>
      <w:isLgl w:val="false"/>
      <w:suff w:val="tab"/>
      <w:lvlText w:val=""/>
      <w:lvlJc w:val="left"/>
      <w:pPr>
        <w:ind w:left="4887" w:hanging="360"/>
      </w:pPr>
      <w:rPr>
        <w:rFonts w:hint="default" w:ascii="Wingdings" w:hAnsi="Wingdings"/>
      </w:rPr>
    </w:lvl>
    <w:lvl w:ilvl="6">
      <w:start w:val="1"/>
      <w:numFmt w:val="bullet"/>
      <w:isLgl w:val="false"/>
      <w:suff w:val="tab"/>
      <w:lvlText w:val=""/>
      <w:lvlJc w:val="left"/>
      <w:pPr>
        <w:ind w:left="5607" w:hanging="360"/>
      </w:pPr>
      <w:rPr>
        <w:rFonts w:hint="default" w:ascii="Symbol" w:hAnsi="Symbol"/>
      </w:rPr>
    </w:lvl>
    <w:lvl w:ilvl="7">
      <w:start w:val="1"/>
      <w:numFmt w:val="bullet"/>
      <w:isLgl w:val="false"/>
      <w:suff w:val="tab"/>
      <w:lvlText w:val="o"/>
      <w:lvlJc w:val="left"/>
      <w:pPr>
        <w:ind w:left="6327" w:hanging="360"/>
      </w:pPr>
      <w:rPr>
        <w:rFonts w:hint="default" w:ascii="Courier New" w:hAnsi="Courier New" w:cs="Courier New"/>
      </w:rPr>
    </w:lvl>
    <w:lvl w:ilvl="8">
      <w:start w:val="1"/>
      <w:numFmt w:val="bullet"/>
      <w:isLgl w:val="false"/>
      <w:suff w:val="tab"/>
      <w:lvlText w:val=""/>
      <w:lvlJc w:val="left"/>
      <w:pPr>
        <w:ind w:left="7047" w:hanging="360"/>
      </w:pPr>
      <w:rPr>
        <w:rFonts w:hint="default" w:ascii="Wingdings" w:hAnsi="Wingdings"/>
      </w:rPr>
    </w:lvl>
  </w:abstractNum>
  <w:abstractNum w:abstractNumId="43">
    <w:multiLevelType w:val="hybridMultilevel"/>
    <w:lvl w:ilvl="0">
      <w:start w:val="1"/>
      <w:numFmt w:val="bullet"/>
      <w:isLgl w:val="false"/>
      <w:suff w:val="tab"/>
      <w:lvlText w:val=""/>
      <w:lvlJc w:val="left"/>
      <w:pPr>
        <w:ind w:left="1418" w:hanging="360"/>
      </w:pPr>
      <w:rPr>
        <w:rFonts w:hint="default" w:ascii="Symbol" w:hAnsi="Symbol"/>
      </w:rPr>
    </w:lvl>
    <w:lvl w:ilvl="1">
      <w:start w:val="1"/>
      <w:numFmt w:val="bullet"/>
      <w:isLgl w:val="false"/>
      <w:suff w:val="tab"/>
      <w:lvlText w:val="o"/>
      <w:lvlJc w:val="left"/>
      <w:pPr>
        <w:ind w:left="2138" w:hanging="360"/>
      </w:pPr>
      <w:rPr>
        <w:rFonts w:hint="default" w:ascii="Courier New" w:hAnsi="Courier New" w:eastAsia="Courier New" w:cs="Courier New"/>
      </w:rPr>
    </w:lvl>
    <w:lvl w:ilvl="2">
      <w:start w:val="1"/>
      <w:numFmt w:val="bullet"/>
      <w:isLgl w:val="false"/>
      <w:suff w:val="tab"/>
      <w:lvlText w:val="§"/>
      <w:lvlJc w:val="left"/>
      <w:pPr>
        <w:ind w:left="2858" w:hanging="360"/>
      </w:pPr>
      <w:rPr>
        <w:rFonts w:hint="default" w:ascii="Wingdings" w:hAnsi="Wingdings" w:eastAsia="Wingdings" w:cs="Wingdings"/>
      </w:rPr>
    </w:lvl>
    <w:lvl w:ilvl="3">
      <w:start w:val="1"/>
      <w:numFmt w:val="bullet"/>
      <w:isLgl w:val="false"/>
      <w:suff w:val="tab"/>
      <w:lvlText w:val="·"/>
      <w:lvlJc w:val="left"/>
      <w:pPr>
        <w:ind w:left="3578" w:hanging="360"/>
      </w:pPr>
      <w:rPr>
        <w:rFonts w:hint="default" w:ascii="Symbol" w:hAnsi="Symbol" w:eastAsia="Symbol" w:cs="Symbol"/>
      </w:rPr>
    </w:lvl>
    <w:lvl w:ilvl="4">
      <w:start w:val="1"/>
      <w:numFmt w:val="bullet"/>
      <w:isLgl w:val="false"/>
      <w:suff w:val="tab"/>
      <w:lvlText w:val="o"/>
      <w:lvlJc w:val="left"/>
      <w:pPr>
        <w:ind w:left="4298" w:hanging="360"/>
      </w:pPr>
      <w:rPr>
        <w:rFonts w:hint="default" w:ascii="Courier New" w:hAnsi="Courier New" w:eastAsia="Courier New" w:cs="Courier New"/>
      </w:rPr>
    </w:lvl>
    <w:lvl w:ilvl="5">
      <w:start w:val="1"/>
      <w:numFmt w:val="bullet"/>
      <w:isLgl w:val="false"/>
      <w:suff w:val="tab"/>
      <w:lvlText w:val="§"/>
      <w:lvlJc w:val="left"/>
      <w:pPr>
        <w:ind w:left="5018" w:hanging="360"/>
      </w:pPr>
      <w:rPr>
        <w:rFonts w:hint="default" w:ascii="Wingdings" w:hAnsi="Wingdings" w:eastAsia="Wingdings" w:cs="Wingdings"/>
      </w:rPr>
    </w:lvl>
    <w:lvl w:ilvl="6">
      <w:start w:val="1"/>
      <w:numFmt w:val="bullet"/>
      <w:isLgl w:val="false"/>
      <w:suff w:val="tab"/>
      <w:lvlText w:val="·"/>
      <w:lvlJc w:val="left"/>
      <w:pPr>
        <w:ind w:left="5738" w:hanging="360"/>
      </w:pPr>
      <w:rPr>
        <w:rFonts w:hint="default" w:ascii="Symbol" w:hAnsi="Symbol" w:eastAsia="Symbol" w:cs="Symbol"/>
      </w:rPr>
    </w:lvl>
    <w:lvl w:ilvl="7">
      <w:start w:val="1"/>
      <w:numFmt w:val="bullet"/>
      <w:isLgl w:val="false"/>
      <w:suff w:val="tab"/>
      <w:lvlText w:val="o"/>
      <w:lvlJc w:val="left"/>
      <w:pPr>
        <w:ind w:left="6458" w:hanging="360"/>
      </w:pPr>
      <w:rPr>
        <w:rFonts w:hint="default" w:ascii="Courier New" w:hAnsi="Courier New" w:eastAsia="Courier New" w:cs="Courier New"/>
      </w:rPr>
    </w:lvl>
    <w:lvl w:ilvl="8">
      <w:start w:val="1"/>
      <w:numFmt w:val="bullet"/>
      <w:isLgl w:val="false"/>
      <w:suff w:val="tab"/>
      <w:lvlText w:val="§"/>
      <w:lvlJc w:val="left"/>
      <w:pPr>
        <w:ind w:left="7178" w:hanging="360"/>
      </w:pPr>
      <w:rPr>
        <w:rFonts w:hint="default" w:ascii="Wingdings" w:hAnsi="Wingdings" w:eastAsia="Wingdings" w:cs="Wingdings"/>
      </w:rPr>
    </w:lvl>
  </w:abstractNum>
  <w:abstractNum w:abstractNumId="44">
    <w:multiLevelType w:val="hybridMultilevel"/>
    <w:lvl w:ilvl="0">
      <w:start w:val="1"/>
      <w:numFmt w:val="bullet"/>
      <w:isLgl w:val="false"/>
      <w:suff w:val="tab"/>
      <w:lvlText w:val="–"/>
      <w:lvlJc w:val="left"/>
      <w:pPr>
        <w:ind w:left="720" w:hanging="360"/>
      </w:pPr>
      <w:rPr>
        <w:rFonts w:ascii="Arial" w:hAnsi="Arial" w:eastAsia="Arial" w:cs="Arial"/>
      </w:rPr>
    </w:lvl>
    <w:lvl w:ilvl="1">
      <w:start w:val="1"/>
      <w:numFmt w:val="bullet"/>
      <w:isLgl w:val="false"/>
      <w:suff w:val="tab"/>
      <w:lvlText w:val="o"/>
      <w:lvlJc w:val="left"/>
      <w:pPr>
        <w:ind w:left="1440" w:hanging="360"/>
      </w:pPr>
      <w:rPr>
        <w:rFonts w:hint="default" w:ascii="Courier New" w:hAnsi="Courier New" w:eastAsia="Courier New" w:cs="Courier New"/>
      </w:rPr>
    </w:lvl>
    <w:lvl w:ilvl="2">
      <w:start w:val="1"/>
      <w:numFmt w:val="bullet"/>
      <w:isLgl w:val="false"/>
      <w:suff w:val="tab"/>
      <w:lvlText w:val="§"/>
      <w:lvlJc w:val="left"/>
      <w:pPr>
        <w:ind w:left="2160" w:hanging="360"/>
      </w:pPr>
      <w:rPr>
        <w:rFonts w:hint="default" w:ascii="Wingdings" w:hAnsi="Wingdings" w:eastAsia="Wingdings" w:cs="Wingdings"/>
      </w:rPr>
    </w:lvl>
    <w:lvl w:ilvl="3">
      <w:start w:val="1"/>
      <w:numFmt w:val="bullet"/>
      <w:isLgl w:val="false"/>
      <w:suff w:val="tab"/>
      <w:lvlText w:val="·"/>
      <w:lvlJc w:val="left"/>
      <w:pPr>
        <w:ind w:left="2880" w:hanging="360"/>
      </w:pPr>
      <w:rPr>
        <w:rFonts w:hint="default" w:ascii="Symbol" w:hAnsi="Symbol" w:eastAsia="Symbol" w:cs="Symbol"/>
      </w:rPr>
    </w:lvl>
    <w:lvl w:ilvl="4">
      <w:start w:val="1"/>
      <w:numFmt w:val="bullet"/>
      <w:isLgl w:val="false"/>
      <w:suff w:val="tab"/>
      <w:lvlText w:val="o"/>
      <w:lvlJc w:val="left"/>
      <w:pPr>
        <w:ind w:left="3600" w:hanging="360"/>
      </w:pPr>
      <w:rPr>
        <w:rFonts w:hint="default" w:ascii="Courier New" w:hAnsi="Courier New" w:eastAsia="Courier New" w:cs="Courier New"/>
      </w:rPr>
    </w:lvl>
    <w:lvl w:ilvl="5">
      <w:start w:val="1"/>
      <w:numFmt w:val="bullet"/>
      <w:isLgl w:val="false"/>
      <w:suff w:val="tab"/>
      <w:lvlText w:val="§"/>
      <w:lvlJc w:val="left"/>
      <w:pPr>
        <w:ind w:left="4320" w:hanging="360"/>
      </w:pPr>
      <w:rPr>
        <w:rFonts w:hint="default" w:ascii="Wingdings" w:hAnsi="Wingdings" w:eastAsia="Wingdings" w:cs="Wingdings"/>
      </w:rPr>
    </w:lvl>
    <w:lvl w:ilvl="6">
      <w:start w:val="1"/>
      <w:numFmt w:val="bullet"/>
      <w:isLgl w:val="false"/>
      <w:suff w:val="tab"/>
      <w:lvlText w:val="·"/>
      <w:lvlJc w:val="left"/>
      <w:pPr>
        <w:ind w:left="5040" w:hanging="360"/>
      </w:pPr>
      <w:rPr>
        <w:rFonts w:hint="default" w:ascii="Symbol" w:hAnsi="Symbol" w:eastAsia="Symbol" w:cs="Symbol"/>
      </w:rPr>
    </w:lvl>
    <w:lvl w:ilvl="7">
      <w:start w:val="1"/>
      <w:numFmt w:val="bullet"/>
      <w:isLgl w:val="false"/>
      <w:suff w:val="tab"/>
      <w:lvlText w:val="o"/>
      <w:lvlJc w:val="left"/>
      <w:pPr>
        <w:ind w:left="5760" w:hanging="360"/>
      </w:pPr>
      <w:rPr>
        <w:rFonts w:hint="default" w:ascii="Courier New" w:hAnsi="Courier New" w:eastAsia="Courier New" w:cs="Courier New"/>
      </w:rPr>
    </w:lvl>
    <w:lvl w:ilvl="8">
      <w:start w:val="1"/>
      <w:numFmt w:val="bullet"/>
      <w:isLgl w:val="false"/>
      <w:suff w:val="tab"/>
      <w:lvlText w:val="§"/>
      <w:lvlJc w:val="left"/>
      <w:pPr>
        <w:ind w:left="6480" w:hanging="360"/>
      </w:pPr>
      <w:rPr>
        <w:rFonts w:hint="default" w:ascii="Wingdings" w:hAnsi="Wingdings" w:eastAsia="Wingdings" w:cs="Wingdings"/>
      </w:rPr>
    </w:lvl>
  </w:abstractNum>
  <w:abstractNum w:abstractNumId="45">
    <w:multiLevelType w:val="hybridMultilevel"/>
    <w:lvl w:ilvl="0">
      <w:start w:val="1"/>
      <w:numFmt w:val="bullet"/>
      <w:isLgl w:val="false"/>
      <w:suff w:val="tab"/>
      <w:lvlText w:val=""/>
      <w:lvlJc w:val="left"/>
      <w:pPr>
        <w:ind w:left="1429" w:hanging="360"/>
      </w:pPr>
      <w:rPr>
        <w:rFonts w:hint="default" w:ascii="Symbol" w:hAnsi="Symbol"/>
      </w:rPr>
    </w:lvl>
    <w:lvl w:ilvl="1">
      <w:start w:val="1"/>
      <w:numFmt w:val="bullet"/>
      <w:isLgl w:val="false"/>
      <w:suff w:val="tab"/>
      <w:lvlText w:val="o"/>
      <w:lvlJc w:val="left"/>
      <w:pPr>
        <w:ind w:left="2149" w:hanging="360"/>
      </w:pPr>
      <w:rPr>
        <w:rFonts w:hint="default" w:ascii="Courier New" w:hAnsi="Courier New" w:cs="Courier New"/>
      </w:rPr>
    </w:lvl>
    <w:lvl w:ilvl="2">
      <w:start w:val="1"/>
      <w:numFmt w:val="bullet"/>
      <w:isLgl w:val="false"/>
      <w:suff w:val="tab"/>
      <w:lvlText w:val=""/>
      <w:lvlJc w:val="left"/>
      <w:pPr>
        <w:ind w:left="2869" w:hanging="360"/>
      </w:pPr>
      <w:rPr>
        <w:rFonts w:hint="default" w:ascii="Wingdings" w:hAnsi="Wingdings"/>
      </w:rPr>
    </w:lvl>
    <w:lvl w:ilvl="3">
      <w:start w:val="1"/>
      <w:numFmt w:val="bullet"/>
      <w:isLgl w:val="false"/>
      <w:suff w:val="tab"/>
      <w:lvlText w:val=""/>
      <w:lvlJc w:val="left"/>
      <w:pPr>
        <w:ind w:left="3589" w:hanging="360"/>
      </w:pPr>
      <w:rPr>
        <w:rFonts w:hint="default" w:ascii="Symbol" w:hAnsi="Symbol"/>
      </w:rPr>
    </w:lvl>
    <w:lvl w:ilvl="4">
      <w:start w:val="1"/>
      <w:numFmt w:val="bullet"/>
      <w:isLgl w:val="false"/>
      <w:suff w:val="tab"/>
      <w:lvlText w:val="o"/>
      <w:lvlJc w:val="left"/>
      <w:pPr>
        <w:ind w:left="4309" w:hanging="360"/>
      </w:pPr>
      <w:rPr>
        <w:rFonts w:hint="default" w:ascii="Courier New" w:hAnsi="Courier New" w:cs="Courier New"/>
      </w:rPr>
    </w:lvl>
    <w:lvl w:ilvl="5">
      <w:start w:val="1"/>
      <w:numFmt w:val="bullet"/>
      <w:isLgl w:val="false"/>
      <w:suff w:val="tab"/>
      <w:lvlText w:val=""/>
      <w:lvlJc w:val="left"/>
      <w:pPr>
        <w:ind w:left="5029" w:hanging="360"/>
      </w:pPr>
      <w:rPr>
        <w:rFonts w:hint="default" w:ascii="Wingdings" w:hAnsi="Wingdings"/>
      </w:rPr>
    </w:lvl>
    <w:lvl w:ilvl="6">
      <w:start w:val="1"/>
      <w:numFmt w:val="bullet"/>
      <w:isLgl w:val="false"/>
      <w:suff w:val="tab"/>
      <w:lvlText w:val=""/>
      <w:lvlJc w:val="left"/>
      <w:pPr>
        <w:ind w:left="5749" w:hanging="360"/>
      </w:pPr>
      <w:rPr>
        <w:rFonts w:hint="default" w:ascii="Symbol" w:hAnsi="Symbol"/>
      </w:rPr>
    </w:lvl>
    <w:lvl w:ilvl="7">
      <w:start w:val="1"/>
      <w:numFmt w:val="bullet"/>
      <w:isLgl w:val="false"/>
      <w:suff w:val="tab"/>
      <w:lvlText w:val="o"/>
      <w:lvlJc w:val="left"/>
      <w:pPr>
        <w:ind w:left="6469" w:hanging="360"/>
      </w:pPr>
      <w:rPr>
        <w:rFonts w:hint="default" w:ascii="Courier New" w:hAnsi="Courier New" w:cs="Courier New"/>
      </w:rPr>
    </w:lvl>
    <w:lvl w:ilvl="8">
      <w:start w:val="1"/>
      <w:numFmt w:val="bullet"/>
      <w:isLgl w:val="false"/>
      <w:suff w:val="tab"/>
      <w:lvlText w:val=""/>
      <w:lvlJc w:val="left"/>
      <w:pPr>
        <w:ind w:left="7189" w:hanging="360"/>
      </w:pPr>
      <w:rPr>
        <w:rFonts w:hint="default" w:ascii="Wingdings" w:hAnsi="Wingdings"/>
      </w:rPr>
    </w:lvl>
  </w:abstractNum>
  <w:abstractNum w:abstractNumId="46">
    <w:multiLevelType w:val="hybridMultilevel"/>
    <w:lvl w:ilvl="0">
      <w:start w:val="1"/>
      <w:numFmt w:val="bullet"/>
      <w:isLgl w:val="false"/>
      <w:suff w:val="tab"/>
      <w:lvlText w:val=""/>
      <w:lvlJc w:val="left"/>
      <w:pPr>
        <w:ind w:left="1287" w:hanging="360"/>
      </w:pPr>
      <w:rPr>
        <w:rFonts w:hint="default" w:ascii="Symbol" w:hAnsi="Symbol"/>
      </w:rPr>
    </w:lvl>
    <w:lvl w:ilvl="1">
      <w:start w:val="1"/>
      <w:numFmt w:val="bullet"/>
      <w:isLgl w:val="false"/>
      <w:suff w:val="tab"/>
      <w:lvlText w:val="o"/>
      <w:lvlJc w:val="left"/>
      <w:pPr>
        <w:ind w:left="2007" w:hanging="360"/>
      </w:pPr>
      <w:rPr>
        <w:rFonts w:hint="default" w:ascii="Courier New" w:hAnsi="Courier New" w:cs="Courier New"/>
      </w:rPr>
    </w:lvl>
    <w:lvl w:ilvl="2">
      <w:start w:val="1"/>
      <w:numFmt w:val="bullet"/>
      <w:isLgl w:val="false"/>
      <w:suff w:val="tab"/>
      <w:lvlText w:val=""/>
      <w:lvlJc w:val="left"/>
      <w:pPr>
        <w:ind w:left="2727" w:hanging="360"/>
      </w:pPr>
      <w:rPr>
        <w:rFonts w:hint="default" w:ascii="Wingdings" w:hAnsi="Wingdings"/>
      </w:rPr>
    </w:lvl>
    <w:lvl w:ilvl="3">
      <w:start w:val="1"/>
      <w:numFmt w:val="bullet"/>
      <w:isLgl w:val="false"/>
      <w:suff w:val="tab"/>
      <w:lvlText w:val=""/>
      <w:lvlJc w:val="left"/>
      <w:pPr>
        <w:ind w:left="3447" w:hanging="360"/>
      </w:pPr>
      <w:rPr>
        <w:rFonts w:hint="default" w:ascii="Symbol" w:hAnsi="Symbol"/>
      </w:rPr>
    </w:lvl>
    <w:lvl w:ilvl="4">
      <w:start w:val="1"/>
      <w:numFmt w:val="bullet"/>
      <w:isLgl w:val="false"/>
      <w:suff w:val="tab"/>
      <w:lvlText w:val="o"/>
      <w:lvlJc w:val="left"/>
      <w:pPr>
        <w:ind w:left="4167" w:hanging="360"/>
      </w:pPr>
      <w:rPr>
        <w:rFonts w:hint="default" w:ascii="Courier New" w:hAnsi="Courier New" w:cs="Courier New"/>
      </w:rPr>
    </w:lvl>
    <w:lvl w:ilvl="5">
      <w:start w:val="1"/>
      <w:numFmt w:val="bullet"/>
      <w:isLgl w:val="false"/>
      <w:suff w:val="tab"/>
      <w:lvlText w:val=""/>
      <w:lvlJc w:val="left"/>
      <w:pPr>
        <w:ind w:left="4887" w:hanging="360"/>
      </w:pPr>
      <w:rPr>
        <w:rFonts w:hint="default" w:ascii="Wingdings" w:hAnsi="Wingdings"/>
      </w:rPr>
    </w:lvl>
    <w:lvl w:ilvl="6">
      <w:start w:val="1"/>
      <w:numFmt w:val="bullet"/>
      <w:isLgl w:val="false"/>
      <w:suff w:val="tab"/>
      <w:lvlText w:val=""/>
      <w:lvlJc w:val="left"/>
      <w:pPr>
        <w:ind w:left="5607" w:hanging="360"/>
      </w:pPr>
      <w:rPr>
        <w:rFonts w:hint="default" w:ascii="Symbol" w:hAnsi="Symbol"/>
      </w:rPr>
    </w:lvl>
    <w:lvl w:ilvl="7">
      <w:start w:val="1"/>
      <w:numFmt w:val="bullet"/>
      <w:isLgl w:val="false"/>
      <w:suff w:val="tab"/>
      <w:lvlText w:val="o"/>
      <w:lvlJc w:val="left"/>
      <w:pPr>
        <w:ind w:left="6327" w:hanging="360"/>
      </w:pPr>
      <w:rPr>
        <w:rFonts w:hint="default" w:ascii="Courier New" w:hAnsi="Courier New" w:cs="Courier New"/>
      </w:rPr>
    </w:lvl>
    <w:lvl w:ilvl="8">
      <w:start w:val="1"/>
      <w:numFmt w:val="bullet"/>
      <w:isLgl w:val="false"/>
      <w:suff w:val="tab"/>
      <w:lvlText w:val=""/>
      <w:lvlJc w:val="left"/>
      <w:pPr>
        <w:ind w:left="7047" w:hanging="360"/>
      </w:pPr>
      <w:rPr>
        <w:rFonts w:hint="default" w:ascii="Wingdings" w:hAnsi="Wingdings"/>
      </w:rPr>
    </w:lvl>
  </w:abstractNum>
  <w:abstractNum w:abstractNumId="47">
    <w:multiLevelType w:val="hybridMultilevel"/>
    <w:lvl w:ilvl="0">
      <w:start w:val="1"/>
      <w:numFmt w:val="bullet"/>
      <w:isLgl w:val="false"/>
      <w:suff w:val="tab"/>
      <w:lvlText w:val=""/>
      <w:lvlJc w:val="left"/>
      <w:pPr>
        <w:ind w:left="720" w:hanging="360"/>
      </w:pPr>
      <w:rPr>
        <w:rFonts w:hint="default" w:ascii="Symbol" w:hAnsi="Symbol"/>
      </w:rPr>
    </w:lvl>
    <w:lvl w:ilvl="1">
      <w:start w:val="1"/>
      <w:numFmt w:val="bullet"/>
      <w:isLgl w:val="false"/>
      <w:suff w:val="tab"/>
      <w:lvlText w:val="o"/>
      <w:lvlJc w:val="left"/>
      <w:pPr>
        <w:ind w:left="1440" w:hanging="360"/>
      </w:pPr>
      <w:rPr>
        <w:rFonts w:hint="default" w:ascii="Courier New" w:hAnsi="Courier New" w:cs="Courier New"/>
      </w:rPr>
    </w:lvl>
    <w:lvl w:ilvl="2">
      <w:start w:val="1"/>
      <w:numFmt w:val="bullet"/>
      <w:isLgl w:val="false"/>
      <w:suff w:val="tab"/>
      <w:lvlText w:val=""/>
      <w:lvlJc w:val="left"/>
      <w:pPr>
        <w:ind w:left="2160" w:hanging="360"/>
      </w:pPr>
      <w:rPr>
        <w:rFonts w:hint="default" w:ascii="Wingdings" w:hAnsi="Wingdings"/>
      </w:rPr>
    </w:lvl>
    <w:lvl w:ilvl="3">
      <w:start w:val="1"/>
      <w:numFmt w:val="bullet"/>
      <w:isLgl w:val="false"/>
      <w:suff w:val="tab"/>
      <w:lvlText w:val=""/>
      <w:lvlJc w:val="left"/>
      <w:pPr>
        <w:ind w:left="2880" w:hanging="360"/>
      </w:pPr>
      <w:rPr>
        <w:rFonts w:hint="default" w:ascii="Symbol" w:hAnsi="Symbol"/>
      </w:rPr>
    </w:lvl>
    <w:lvl w:ilvl="4">
      <w:start w:val="1"/>
      <w:numFmt w:val="bullet"/>
      <w:isLgl w:val="false"/>
      <w:suff w:val="tab"/>
      <w:lvlText w:val="o"/>
      <w:lvlJc w:val="left"/>
      <w:pPr>
        <w:ind w:left="3600" w:hanging="360"/>
      </w:pPr>
      <w:rPr>
        <w:rFonts w:hint="default" w:ascii="Courier New" w:hAnsi="Courier New" w:cs="Courier New"/>
      </w:rPr>
    </w:lvl>
    <w:lvl w:ilvl="5">
      <w:start w:val="1"/>
      <w:numFmt w:val="bullet"/>
      <w:isLgl w:val="false"/>
      <w:suff w:val="tab"/>
      <w:lvlText w:val=""/>
      <w:lvlJc w:val="left"/>
      <w:pPr>
        <w:ind w:left="4320" w:hanging="360"/>
      </w:pPr>
      <w:rPr>
        <w:rFonts w:hint="default" w:ascii="Wingdings" w:hAnsi="Wingdings"/>
      </w:rPr>
    </w:lvl>
    <w:lvl w:ilvl="6">
      <w:start w:val="1"/>
      <w:numFmt w:val="bullet"/>
      <w:isLgl w:val="false"/>
      <w:suff w:val="tab"/>
      <w:lvlText w:val=""/>
      <w:lvlJc w:val="left"/>
      <w:pPr>
        <w:ind w:left="5040" w:hanging="360"/>
      </w:pPr>
      <w:rPr>
        <w:rFonts w:hint="default" w:ascii="Symbol" w:hAnsi="Symbol"/>
      </w:rPr>
    </w:lvl>
    <w:lvl w:ilvl="7">
      <w:start w:val="1"/>
      <w:numFmt w:val="bullet"/>
      <w:isLgl w:val="false"/>
      <w:suff w:val="tab"/>
      <w:lvlText w:val="o"/>
      <w:lvlJc w:val="left"/>
      <w:pPr>
        <w:ind w:left="5760" w:hanging="360"/>
      </w:pPr>
      <w:rPr>
        <w:rFonts w:hint="default" w:ascii="Courier New" w:hAnsi="Courier New" w:cs="Courier New"/>
      </w:rPr>
    </w:lvl>
    <w:lvl w:ilvl="8">
      <w:start w:val="1"/>
      <w:numFmt w:val="bullet"/>
      <w:isLgl w:val="false"/>
      <w:suff w:val="tab"/>
      <w:lvlText w:val=""/>
      <w:lvlJc w:val="left"/>
      <w:pPr>
        <w:ind w:left="6480" w:hanging="360"/>
      </w:pPr>
      <w:rPr>
        <w:rFonts w:hint="default" w:ascii="Wingdings" w:hAnsi="Wingdings"/>
      </w:rPr>
    </w:lvl>
  </w:abstractNum>
  <w:abstractNum w:abstractNumId="48">
    <w:multiLevelType w:val="hybridMultilevel"/>
    <w:lvl w:ilvl="0">
      <w:start w:val="1"/>
      <w:numFmt w:val="bullet"/>
      <w:isLgl w:val="false"/>
      <w:suff w:val="tab"/>
      <w:lvlText w:val=""/>
      <w:lvlJc w:val="left"/>
      <w:pPr>
        <w:ind w:left="720" w:hanging="360"/>
      </w:pPr>
      <w:rPr>
        <w:rFonts w:hint="default" w:ascii="Symbol" w:hAnsi="Symbol"/>
      </w:rPr>
    </w:lvl>
    <w:lvl w:ilvl="1">
      <w:start w:val="1"/>
      <w:numFmt w:val="bullet"/>
      <w:isLgl w:val="false"/>
      <w:suff w:val="tab"/>
      <w:lvlText w:val="o"/>
      <w:lvlJc w:val="left"/>
      <w:pPr>
        <w:ind w:left="1440" w:hanging="360"/>
      </w:pPr>
      <w:rPr>
        <w:rFonts w:hint="default" w:ascii="Courier New" w:hAnsi="Courier New" w:cs="Courier New"/>
      </w:rPr>
    </w:lvl>
    <w:lvl w:ilvl="2">
      <w:start w:val="1"/>
      <w:numFmt w:val="bullet"/>
      <w:isLgl w:val="false"/>
      <w:suff w:val="tab"/>
      <w:lvlText w:val=""/>
      <w:lvlJc w:val="left"/>
      <w:pPr>
        <w:ind w:left="2160" w:hanging="360"/>
      </w:pPr>
      <w:rPr>
        <w:rFonts w:hint="default" w:ascii="Wingdings" w:hAnsi="Wingdings"/>
      </w:rPr>
    </w:lvl>
    <w:lvl w:ilvl="3">
      <w:start w:val="1"/>
      <w:numFmt w:val="bullet"/>
      <w:isLgl w:val="false"/>
      <w:suff w:val="tab"/>
      <w:lvlText w:val=""/>
      <w:lvlJc w:val="left"/>
      <w:pPr>
        <w:ind w:left="2880" w:hanging="360"/>
      </w:pPr>
      <w:rPr>
        <w:rFonts w:hint="default" w:ascii="Symbol" w:hAnsi="Symbol"/>
      </w:rPr>
    </w:lvl>
    <w:lvl w:ilvl="4">
      <w:start w:val="1"/>
      <w:numFmt w:val="bullet"/>
      <w:isLgl w:val="false"/>
      <w:suff w:val="tab"/>
      <w:lvlText w:val="o"/>
      <w:lvlJc w:val="left"/>
      <w:pPr>
        <w:ind w:left="3600" w:hanging="360"/>
      </w:pPr>
      <w:rPr>
        <w:rFonts w:hint="default" w:ascii="Courier New" w:hAnsi="Courier New" w:cs="Courier New"/>
      </w:rPr>
    </w:lvl>
    <w:lvl w:ilvl="5">
      <w:start w:val="1"/>
      <w:numFmt w:val="bullet"/>
      <w:isLgl w:val="false"/>
      <w:suff w:val="tab"/>
      <w:lvlText w:val=""/>
      <w:lvlJc w:val="left"/>
      <w:pPr>
        <w:ind w:left="4320" w:hanging="360"/>
      </w:pPr>
      <w:rPr>
        <w:rFonts w:hint="default" w:ascii="Wingdings" w:hAnsi="Wingdings"/>
      </w:rPr>
    </w:lvl>
    <w:lvl w:ilvl="6">
      <w:start w:val="1"/>
      <w:numFmt w:val="bullet"/>
      <w:isLgl w:val="false"/>
      <w:suff w:val="tab"/>
      <w:lvlText w:val=""/>
      <w:lvlJc w:val="left"/>
      <w:pPr>
        <w:ind w:left="5040" w:hanging="360"/>
      </w:pPr>
      <w:rPr>
        <w:rFonts w:hint="default" w:ascii="Symbol" w:hAnsi="Symbol"/>
      </w:rPr>
    </w:lvl>
    <w:lvl w:ilvl="7">
      <w:start w:val="1"/>
      <w:numFmt w:val="bullet"/>
      <w:isLgl w:val="false"/>
      <w:suff w:val="tab"/>
      <w:lvlText w:val="o"/>
      <w:lvlJc w:val="left"/>
      <w:pPr>
        <w:ind w:left="5760" w:hanging="360"/>
      </w:pPr>
      <w:rPr>
        <w:rFonts w:hint="default" w:ascii="Courier New" w:hAnsi="Courier New" w:cs="Courier New"/>
      </w:rPr>
    </w:lvl>
    <w:lvl w:ilvl="8">
      <w:start w:val="1"/>
      <w:numFmt w:val="bullet"/>
      <w:isLgl w:val="false"/>
      <w:suff w:val="tab"/>
      <w:lvlText w:val=""/>
      <w:lvlJc w:val="left"/>
      <w:pPr>
        <w:ind w:left="6480" w:hanging="360"/>
      </w:pPr>
      <w:rPr>
        <w:rFonts w:hint="default" w:ascii="Wingdings" w:hAnsi="Wingdings"/>
      </w:rPr>
    </w:lvl>
  </w:abstractNum>
  <w:abstractNum w:abstractNumId="49">
    <w:multiLevelType w:val="hybridMultilevel"/>
    <w:lvl w:ilvl="0">
      <w:start w:val="1"/>
      <w:numFmt w:val="bullet"/>
      <w:isLgl w:val="false"/>
      <w:suff w:val="tab"/>
      <w:lvlText w:val=""/>
      <w:lvlJc w:val="left"/>
      <w:pPr>
        <w:ind w:left="1425" w:hanging="360"/>
      </w:pPr>
      <w:rPr>
        <w:rFonts w:ascii="Symbol" w:hAnsi="Symbol"/>
      </w:rPr>
    </w:lvl>
    <w:lvl w:ilvl="1">
      <w:start w:val="1"/>
      <w:numFmt w:val="bullet"/>
      <w:isLgl w:val="false"/>
      <w:suff w:val="tab"/>
      <w:lvlText w:val="o"/>
      <w:lvlJc w:val="left"/>
      <w:pPr>
        <w:ind w:left="2145" w:hanging="360"/>
      </w:pPr>
      <w:rPr>
        <w:rFonts w:hint="default" w:ascii="Courier New" w:hAnsi="Courier New" w:cs="Courier New"/>
      </w:rPr>
    </w:lvl>
    <w:lvl w:ilvl="2">
      <w:start w:val="1"/>
      <w:numFmt w:val="bullet"/>
      <w:isLgl w:val="false"/>
      <w:suff w:val="tab"/>
      <w:lvlText w:val=""/>
      <w:lvlJc w:val="left"/>
      <w:pPr>
        <w:ind w:left="2865" w:hanging="360"/>
      </w:pPr>
      <w:rPr>
        <w:rFonts w:hint="default" w:ascii="Wingdings" w:hAnsi="Wingdings"/>
      </w:rPr>
    </w:lvl>
    <w:lvl w:ilvl="3">
      <w:start w:val="1"/>
      <w:numFmt w:val="bullet"/>
      <w:isLgl w:val="false"/>
      <w:suff w:val="tab"/>
      <w:lvlText w:val=""/>
      <w:lvlJc w:val="left"/>
      <w:pPr>
        <w:ind w:left="3585" w:hanging="360"/>
      </w:pPr>
      <w:rPr>
        <w:rFonts w:hint="default" w:ascii="Symbol" w:hAnsi="Symbol"/>
      </w:rPr>
    </w:lvl>
    <w:lvl w:ilvl="4">
      <w:start w:val="1"/>
      <w:numFmt w:val="bullet"/>
      <w:isLgl w:val="false"/>
      <w:suff w:val="tab"/>
      <w:lvlText w:val="o"/>
      <w:lvlJc w:val="left"/>
      <w:pPr>
        <w:ind w:left="4305" w:hanging="360"/>
      </w:pPr>
      <w:rPr>
        <w:rFonts w:hint="default" w:ascii="Courier New" w:hAnsi="Courier New" w:cs="Courier New"/>
      </w:rPr>
    </w:lvl>
    <w:lvl w:ilvl="5">
      <w:start w:val="1"/>
      <w:numFmt w:val="bullet"/>
      <w:isLgl w:val="false"/>
      <w:suff w:val="tab"/>
      <w:lvlText w:val=""/>
      <w:lvlJc w:val="left"/>
      <w:pPr>
        <w:ind w:left="5025" w:hanging="360"/>
      </w:pPr>
      <w:rPr>
        <w:rFonts w:hint="default" w:ascii="Wingdings" w:hAnsi="Wingdings"/>
      </w:rPr>
    </w:lvl>
    <w:lvl w:ilvl="6">
      <w:start w:val="1"/>
      <w:numFmt w:val="bullet"/>
      <w:isLgl w:val="false"/>
      <w:suff w:val="tab"/>
      <w:lvlText w:val=""/>
      <w:lvlJc w:val="left"/>
      <w:pPr>
        <w:ind w:left="5745" w:hanging="360"/>
      </w:pPr>
      <w:rPr>
        <w:rFonts w:hint="default" w:ascii="Symbol" w:hAnsi="Symbol"/>
      </w:rPr>
    </w:lvl>
    <w:lvl w:ilvl="7">
      <w:start w:val="1"/>
      <w:numFmt w:val="bullet"/>
      <w:isLgl w:val="false"/>
      <w:suff w:val="tab"/>
      <w:lvlText w:val="o"/>
      <w:lvlJc w:val="left"/>
      <w:pPr>
        <w:ind w:left="6465" w:hanging="360"/>
      </w:pPr>
      <w:rPr>
        <w:rFonts w:hint="default" w:ascii="Courier New" w:hAnsi="Courier New" w:cs="Courier New"/>
      </w:rPr>
    </w:lvl>
    <w:lvl w:ilvl="8">
      <w:start w:val="1"/>
      <w:numFmt w:val="bullet"/>
      <w:isLgl w:val="false"/>
      <w:suff w:val="tab"/>
      <w:lvlText w:val=""/>
      <w:lvlJc w:val="left"/>
      <w:pPr>
        <w:ind w:left="7185" w:hanging="360"/>
      </w:pPr>
      <w:rPr>
        <w:rFonts w:hint="default" w:ascii="Wingdings" w:hAnsi="Wingdings"/>
      </w:rPr>
    </w:lvl>
  </w:abstractNum>
  <w:abstractNum w:abstractNumId="50">
    <w:multiLevelType w:val="hybridMultilevel"/>
    <w:lvl w:ilvl="0">
      <w:start w:val="1"/>
      <w:numFmt w:val="bullet"/>
      <w:isLgl w:val="false"/>
      <w:suff w:val="tab"/>
      <w:lvlText w:val=""/>
      <w:lvlJc w:val="left"/>
      <w:pPr>
        <w:ind w:left="1418" w:hanging="360"/>
      </w:pPr>
      <w:rPr>
        <w:rFonts w:hint="default" w:ascii="Symbol" w:hAnsi="Symbol"/>
      </w:rPr>
    </w:lvl>
    <w:lvl w:ilvl="1">
      <w:start w:val="1"/>
      <w:numFmt w:val="bullet"/>
      <w:isLgl w:val="false"/>
      <w:suff w:val="tab"/>
      <w:lvlText w:val="o"/>
      <w:lvlJc w:val="left"/>
      <w:pPr>
        <w:ind w:left="2138" w:hanging="360"/>
      </w:pPr>
      <w:rPr>
        <w:rFonts w:hint="default" w:ascii="Courier New" w:hAnsi="Courier New" w:eastAsia="Courier New" w:cs="Courier New"/>
      </w:rPr>
    </w:lvl>
    <w:lvl w:ilvl="2">
      <w:start w:val="1"/>
      <w:numFmt w:val="bullet"/>
      <w:isLgl w:val="false"/>
      <w:suff w:val="tab"/>
      <w:lvlText w:val="§"/>
      <w:lvlJc w:val="left"/>
      <w:pPr>
        <w:ind w:left="2858" w:hanging="360"/>
      </w:pPr>
      <w:rPr>
        <w:rFonts w:hint="default" w:ascii="Wingdings" w:hAnsi="Wingdings" w:eastAsia="Wingdings" w:cs="Wingdings"/>
      </w:rPr>
    </w:lvl>
    <w:lvl w:ilvl="3">
      <w:start w:val="1"/>
      <w:numFmt w:val="bullet"/>
      <w:isLgl w:val="false"/>
      <w:suff w:val="tab"/>
      <w:lvlText w:val="·"/>
      <w:lvlJc w:val="left"/>
      <w:pPr>
        <w:ind w:left="3578" w:hanging="360"/>
      </w:pPr>
      <w:rPr>
        <w:rFonts w:hint="default" w:ascii="Symbol" w:hAnsi="Symbol" w:eastAsia="Symbol" w:cs="Symbol"/>
      </w:rPr>
    </w:lvl>
    <w:lvl w:ilvl="4">
      <w:start w:val="1"/>
      <w:numFmt w:val="bullet"/>
      <w:isLgl w:val="false"/>
      <w:suff w:val="tab"/>
      <w:lvlText w:val="o"/>
      <w:lvlJc w:val="left"/>
      <w:pPr>
        <w:ind w:left="4298" w:hanging="360"/>
      </w:pPr>
      <w:rPr>
        <w:rFonts w:hint="default" w:ascii="Courier New" w:hAnsi="Courier New" w:eastAsia="Courier New" w:cs="Courier New"/>
      </w:rPr>
    </w:lvl>
    <w:lvl w:ilvl="5">
      <w:start w:val="1"/>
      <w:numFmt w:val="bullet"/>
      <w:isLgl w:val="false"/>
      <w:suff w:val="tab"/>
      <w:lvlText w:val="§"/>
      <w:lvlJc w:val="left"/>
      <w:pPr>
        <w:ind w:left="5018" w:hanging="360"/>
      </w:pPr>
      <w:rPr>
        <w:rFonts w:hint="default" w:ascii="Wingdings" w:hAnsi="Wingdings" w:eastAsia="Wingdings" w:cs="Wingdings"/>
      </w:rPr>
    </w:lvl>
    <w:lvl w:ilvl="6">
      <w:start w:val="1"/>
      <w:numFmt w:val="bullet"/>
      <w:isLgl w:val="false"/>
      <w:suff w:val="tab"/>
      <w:lvlText w:val="·"/>
      <w:lvlJc w:val="left"/>
      <w:pPr>
        <w:ind w:left="5738" w:hanging="360"/>
      </w:pPr>
      <w:rPr>
        <w:rFonts w:hint="default" w:ascii="Symbol" w:hAnsi="Symbol" w:eastAsia="Symbol" w:cs="Symbol"/>
      </w:rPr>
    </w:lvl>
    <w:lvl w:ilvl="7">
      <w:start w:val="1"/>
      <w:numFmt w:val="bullet"/>
      <w:isLgl w:val="false"/>
      <w:suff w:val="tab"/>
      <w:lvlText w:val="o"/>
      <w:lvlJc w:val="left"/>
      <w:pPr>
        <w:ind w:left="6458" w:hanging="360"/>
      </w:pPr>
      <w:rPr>
        <w:rFonts w:hint="default" w:ascii="Courier New" w:hAnsi="Courier New" w:eastAsia="Courier New" w:cs="Courier New"/>
      </w:rPr>
    </w:lvl>
    <w:lvl w:ilvl="8">
      <w:start w:val="1"/>
      <w:numFmt w:val="bullet"/>
      <w:isLgl w:val="false"/>
      <w:suff w:val="tab"/>
      <w:lvlText w:val="§"/>
      <w:lvlJc w:val="left"/>
      <w:pPr>
        <w:ind w:left="7178" w:hanging="360"/>
      </w:pPr>
      <w:rPr>
        <w:rFonts w:hint="default" w:ascii="Wingdings" w:hAnsi="Wingdings" w:eastAsia="Wingdings" w:cs="Wingdings"/>
      </w:rPr>
    </w:lvl>
  </w:abstractNum>
  <w:abstractNum w:abstractNumId="51">
    <w:multiLevelType w:val="hybridMultilevel"/>
    <w:lvl w:ilvl="0">
      <w:start w:val="1"/>
      <w:numFmt w:val="bullet"/>
      <w:isLgl w:val="false"/>
      <w:suff w:val="tab"/>
      <w:lvlText w:val=""/>
      <w:lvlJc w:val="left"/>
      <w:pPr>
        <w:ind w:left="1429" w:hanging="360"/>
      </w:pPr>
      <w:rPr>
        <w:rFonts w:hint="default" w:ascii="Symbol" w:hAnsi="Symbol"/>
      </w:rPr>
    </w:lvl>
    <w:lvl w:ilvl="1">
      <w:start w:val="1"/>
      <w:numFmt w:val="bullet"/>
      <w:isLgl w:val="false"/>
      <w:suff w:val="tab"/>
      <w:lvlText w:val="o"/>
      <w:lvlJc w:val="left"/>
      <w:pPr>
        <w:ind w:left="2149" w:hanging="360"/>
      </w:pPr>
      <w:rPr>
        <w:rFonts w:hint="default" w:ascii="Courier New" w:hAnsi="Courier New" w:cs="Courier New"/>
      </w:rPr>
    </w:lvl>
    <w:lvl w:ilvl="2">
      <w:start w:val="1"/>
      <w:numFmt w:val="bullet"/>
      <w:isLgl w:val="false"/>
      <w:suff w:val="tab"/>
      <w:lvlText w:val=""/>
      <w:lvlJc w:val="left"/>
      <w:pPr>
        <w:ind w:left="2869" w:hanging="360"/>
      </w:pPr>
      <w:rPr>
        <w:rFonts w:hint="default" w:ascii="Wingdings" w:hAnsi="Wingdings"/>
      </w:rPr>
    </w:lvl>
    <w:lvl w:ilvl="3">
      <w:start w:val="1"/>
      <w:numFmt w:val="bullet"/>
      <w:isLgl w:val="false"/>
      <w:suff w:val="tab"/>
      <w:lvlText w:val=""/>
      <w:lvlJc w:val="left"/>
      <w:pPr>
        <w:ind w:left="3589" w:hanging="360"/>
      </w:pPr>
      <w:rPr>
        <w:rFonts w:hint="default" w:ascii="Symbol" w:hAnsi="Symbol"/>
      </w:rPr>
    </w:lvl>
    <w:lvl w:ilvl="4">
      <w:start w:val="1"/>
      <w:numFmt w:val="bullet"/>
      <w:isLgl w:val="false"/>
      <w:suff w:val="tab"/>
      <w:lvlText w:val="o"/>
      <w:lvlJc w:val="left"/>
      <w:pPr>
        <w:ind w:left="4309" w:hanging="360"/>
      </w:pPr>
      <w:rPr>
        <w:rFonts w:hint="default" w:ascii="Courier New" w:hAnsi="Courier New" w:cs="Courier New"/>
      </w:rPr>
    </w:lvl>
    <w:lvl w:ilvl="5">
      <w:start w:val="1"/>
      <w:numFmt w:val="bullet"/>
      <w:isLgl w:val="false"/>
      <w:suff w:val="tab"/>
      <w:lvlText w:val=""/>
      <w:lvlJc w:val="left"/>
      <w:pPr>
        <w:ind w:left="5029" w:hanging="360"/>
      </w:pPr>
      <w:rPr>
        <w:rFonts w:hint="default" w:ascii="Wingdings" w:hAnsi="Wingdings"/>
      </w:rPr>
    </w:lvl>
    <w:lvl w:ilvl="6">
      <w:start w:val="1"/>
      <w:numFmt w:val="bullet"/>
      <w:isLgl w:val="false"/>
      <w:suff w:val="tab"/>
      <w:lvlText w:val=""/>
      <w:lvlJc w:val="left"/>
      <w:pPr>
        <w:ind w:left="5749" w:hanging="360"/>
      </w:pPr>
      <w:rPr>
        <w:rFonts w:hint="default" w:ascii="Symbol" w:hAnsi="Symbol"/>
      </w:rPr>
    </w:lvl>
    <w:lvl w:ilvl="7">
      <w:start w:val="1"/>
      <w:numFmt w:val="bullet"/>
      <w:isLgl w:val="false"/>
      <w:suff w:val="tab"/>
      <w:lvlText w:val="o"/>
      <w:lvlJc w:val="left"/>
      <w:pPr>
        <w:ind w:left="6469" w:hanging="360"/>
      </w:pPr>
      <w:rPr>
        <w:rFonts w:hint="default" w:ascii="Courier New" w:hAnsi="Courier New" w:cs="Courier New"/>
      </w:rPr>
    </w:lvl>
    <w:lvl w:ilvl="8">
      <w:start w:val="1"/>
      <w:numFmt w:val="bullet"/>
      <w:isLgl w:val="false"/>
      <w:suff w:val="tab"/>
      <w:lvlText w:val=""/>
      <w:lvlJc w:val="left"/>
      <w:pPr>
        <w:ind w:left="7189" w:hanging="360"/>
      </w:pPr>
      <w:rPr>
        <w:rFonts w:hint="default" w:ascii="Wingdings" w:hAnsi="Wingdings"/>
      </w:rPr>
    </w:lvl>
  </w:abstractNum>
  <w:abstractNum w:abstractNumId="52">
    <w:multiLevelType w:val="hybridMultilevel"/>
    <w:lvl w:ilvl="0">
      <w:start w:val="1"/>
      <w:numFmt w:val="bullet"/>
      <w:isLgl w:val="false"/>
      <w:suff w:val="tab"/>
      <w:lvlText w:val=""/>
      <w:lvlJc w:val="left"/>
      <w:pPr>
        <w:ind w:left="0"/>
      </w:pPr>
      <w:rPr>
        <w:rFonts w:hint="default" w:ascii="Symbol" w:hAnsi="Symbol"/>
        <w:b w:val="0"/>
        <w:i w:val="0"/>
        <w:strike w:val="0"/>
        <w:color w:val="000000"/>
        <w:sz w:val="28"/>
        <w:szCs w:val="28"/>
        <w:u w:val="none"/>
        <w:vertAlign w:val="baseline"/>
      </w:rPr>
    </w:lvl>
    <w:lvl w:ilvl="1">
      <w:start w:val="1"/>
      <w:numFmt w:val="bullet"/>
      <w:isLgl w:val="false"/>
      <w:suff w:val="tab"/>
      <w:lvlText w:val="o"/>
      <w:lvlJc w:val="left"/>
      <w:pPr>
        <w:ind w:left="1788"/>
      </w:pPr>
      <w:rPr>
        <w:rFonts w:ascii="Times New Roman" w:hAnsi="Times New Roman" w:eastAsia="Times New Roman" w:cs="Times New Roman"/>
        <w:b w:val="0"/>
        <w:i w:val="0"/>
        <w:strike w:val="0"/>
        <w:color w:val="000000"/>
        <w:sz w:val="28"/>
        <w:szCs w:val="28"/>
        <w:u w:val="none"/>
        <w:vertAlign w:val="baseline"/>
      </w:rPr>
    </w:lvl>
    <w:lvl w:ilvl="2">
      <w:start w:val="1"/>
      <w:numFmt w:val="bullet"/>
      <w:isLgl w:val="false"/>
      <w:suff w:val="tab"/>
      <w:lvlText w:val="▪"/>
      <w:lvlJc w:val="left"/>
      <w:pPr>
        <w:ind w:left="2508"/>
      </w:pPr>
      <w:rPr>
        <w:rFonts w:ascii="Times New Roman" w:hAnsi="Times New Roman" w:eastAsia="Times New Roman" w:cs="Times New Roman"/>
        <w:b w:val="0"/>
        <w:i w:val="0"/>
        <w:strike w:val="0"/>
        <w:color w:val="000000"/>
        <w:sz w:val="28"/>
        <w:szCs w:val="28"/>
        <w:u w:val="none"/>
        <w:vertAlign w:val="baseline"/>
      </w:rPr>
    </w:lvl>
    <w:lvl w:ilvl="3">
      <w:start w:val="1"/>
      <w:numFmt w:val="bullet"/>
      <w:isLgl w:val="false"/>
      <w:suff w:val="tab"/>
      <w:lvlText w:val="•"/>
      <w:lvlJc w:val="left"/>
      <w:pPr>
        <w:ind w:left="3228"/>
      </w:pPr>
      <w:rPr>
        <w:rFonts w:ascii="Times New Roman" w:hAnsi="Times New Roman" w:eastAsia="Times New Roman" w:cs="Times New Roman"/>
        <w:b w:val="0"/>
        <w:i w:val="0"/>
        <w:strike w:val="0"/>
        <w:color w:val="000000"/>
        <w:sz w:val="28"/>
        <w:szCs w:val="28"/>
        <w:u w:val="none"/>
        <w:vertAlign w:val="baseline"/>
      </w:rPr>
    </w:lvl>
    <w:lvl w:ilvl="4">
      <w:start w:val="1"/>
      <w:numFmt w:val="bullet"/>
      <w:isLgl w:val="false"/>
      <w:suff w:val="tab"/>
      <w:lvlText w:val="o"/>
      <w:lvlJc w:val="left"/>
      <w:pPr>
        <w:ind w:left="3948"/>
      </w:pPr>
      <w:rPr>
        <w:rFonts w:ascii="Times New Roman" w:hAnsi="Times New Roman" w:eastAsia="Times New Roman" w:cs="Times New Roman"/>
        <w:b w:val="0"/>
        <w:i w:val="0"/>
        <w:strike w:val="0"/>
        <w:color w:val="000000"/>
        <w:sz w:val="28"/>
        <w:szCs w:val="28"/>
        <w:u w:val="none"/>
        <w:vertAlign w:val="baseline"/>
      </w:rPr>
    </w:lvl>
    <w:lvl w:ilvl="5">
      <w:start w:val="1"/>
      <w:numFmt w:val="bullet"/>
      <w:isLgl w:val="false"/>
      <w:suff w:val="tab"/>
      <w:lvlText w:val="▪"/>
      <w:lvlJc w:val="left"/>
      <w:pPr>
        <w:ind w:left="4668"/>
      </w:pPr>
      <w:rPr>
        <w:rFonts w:ascii="Times New Roman" w:hAnsi="Times New Roman" w:eastAsia="Times New Roman" w:cs="Times New Roman"/>
        <w:b w:val="0"/>
        <w:i w:val="0"/>
        <w:strike w:val="0"/>
        <w:color w:val="000000"/>
        <w:sz w:val="28"/>
        <w:szCs w:val="28"/>
        <w:u w:val="none"/>
        <w:vertAlign w:val="baseline"/>
      </w:rPr>
    </w:lvl>
    <w:lvl w:ilvl="6">
      <w:start w:val="1"/>
      <w:numFmt w:val="bullet"/>
      <w:isLgl w:val="false"/>
      <w:suff w:val="tab"/>
      <w:lvlText w:val="•"/>
      <w:lvlJc w:val="left"/>
      <w:pPr>
        <w:ind w:left="5388"/>
      </w:pPr>
      <w:rPr>
        <w:rFonts w:ascii="Times New Roman" w:hAnsi="Times New Roman" w:eastAsia="Times New Roman" w:cs="Times New Roman"/>
        <w:b w:val="0"/>
        <w:i w:val="0"/>
        <w:strike w:val="0"/>
        <w:color w:val="000000"/>
        <w:sz w:val="28"/>
        <w:szCs w:val="28"/>
        <w:u w:val="none"/>
        <w:vertAlign w:val="baseline"/>
      </w:rPr>
    </w:lvl>
    <w:lvl w:ilvl="7">
      <w:start w:val="1"/>
      <w:numFmt w:val="bullet"/>
      <w:isLgl w:val="false"/>
      <w:suff w:val="tab"/>
      <w:lvlText w:val="o"/>
      <w:lvlJc w:val="left"/>
      <w:pPr>
        <w:ind w:left="6108"/>
      </w:pPr>
      <w:rPr>
        <w:rFonts w:ascii="Times New Roman" w:hAnsi="Times New Roman" w:eastAsia="Times New Roman" w:cs="Times New Roman"/>
        <w:b w:val="0"/>
        <w:i w:val="0"/>
        <w:strike w:val="0"/>
        <w:color w:val="000000"/>
        <w:sz w:val="28"/>
        <w:szCs w:val="28"/>
        <w:u w:val="none"/>
        <w:vertAlign w:val="baseline"/>
      </w:rPr>
    </w:lvl>
    <w:lvl w:ilvl="8">
      <w:start w:val="1"/>
      <w:numFmt w:val="bullet"/>
      <w:isLgl w:val="false"/>
      <w:suff w:val="tab"/>
      <w:lvlText w:val="▪"/>
      <w:lvlJc w:val="left"/>
      <w:pPr>
        <w:ind w:left="6828"/>
      </w:pPr>
      <w:rPr>
        <w:rFonts w:ascii="Times New Roman" w:hAnsi="Times New Roman" w:eastAsia="Times New Roman" w:cs="Times New Roman"/>
        <w:b w:val="0"/>
        <w:i w:val="0"/>
        <w:strike w:val="0"/>
        <w:color w:val="000000"/>
        <w:sz w:val="28"/>
        <w:szCs w:val="28"/>
        <w:u w:val="none"/>
        <w:vertAlign w:val="baseline"/>
      </w:rPr>
    </w:lvl>
  </w:abstractNum>
  <w:abstractNum w:abstractNumId="53">
    <w:multiLevelType w:val="hybridMultilevel"/>
    <w:lvl w:ilvl="0">
      <w:start w:val="1"/>
      <w:numFmt w:val="bullet"/>
      <w:isLgl w:val="false"/>
      <w:suff w:val="tab"/>
      <w:lvlText w:val=""/>
      <w:lvlJc w:val="left"/>
      <w:pPr>
        <w:ind w:left="2126" w:hanging="360"/>
      </w:pPr>
      <w:rPr>
        <w:rFonts w:hint="default" w:ascii="Symbol" w:hAnsi="Symbol"/>
      </w:rPr>
    </w:lvl>
    <w:lvl w:ilvl="1">
      <w:start w:val="1"/>
      <w:numFmt w:val="bullet"/>
      <w:isLgl w:val="false"/>
      <w:suff w:val="tab"/>
      <w:lvlText w:val="o"/>
      <w:lvlJc w:val="left"/>
      <w:pPr>
        <w:ind w:left="2846" w:hanging="360"/>
      </w:pPr>
      <w:rPr>
        <w:rFonts w:hint="default" w:ascii="Courier New" w:hAnsi="Courier New" w:eastAsia="Courier New" w:cs="Courier New"/>
      </w:rPr>
    </w:lvl>
    <w:lvl w:ilvl="2">
      <w:start w:val="1"/>
      <w:numFmt w:val="bullet"/>
      <w:isLgl w:val="false"/>
      <w:suff w:val="tab"/>
      <w:lvlText w:val="§"/>
      <w:lvlJc w:val="left"/>
      <w:pPr>
        <w:ind w:left="3566" w:hanging="360"/>
      </w:pPr>
      <w:rPr>
        <w:rFonts w:hint="default" w:ascii="Wingdings" w:hAnsi="Wingdings" w:eastAsia="Wingdings" w:cs="Wingdings"/>
      </w:rPr>
    </w:lvl>
    <w:lvl w:ilvl="3">
      <w:start w:val="1"/>
      <w:numFmt w:val="bullet"/>
      <w:isLgl w:val="false"/>
      <w:suff w:val="tab"/>
      <w:lvlText w:val="·"/>
      <w:lvlJc w:val="left"/>
      <w:pPr>
        <w:ind w:left="4286" w:hanging="360"/>
      </w:pPr>
      <w:rPr>
        <w:rFonts w:hint="default" w:ascii="Symbol" w:hAnsi="Symbol" w:eastAsia="Symbol" w:cs="Symbol"/>
      </w:rPr>
    </w:lvl>
    <w:lvl w:ilvl="4">
      <w:start w:val="1"/>
      <w:numFmt w:val="bullet"/>
      <w:isLgl w:val="false"/>
      <w:suff w:val="tab"/>
      <w:lvlText w:val="o"/>
      <w:lvlJc w:val="left"/>
      <w:pPr>
        <w:ind w:left="5006" w:hanging="360"/>
      </w:pPr>
      <w:rPr>
        <w:rFonts w:hint="default" w:ascii="Courier New" w:hAnsi="Courier New" w:eastAsia="Courier New" w:cs="Courier New"/>
      </w:rPr>
    </w:lvl>
    <w:lvl w:ilvl="5">
      <w:start w:val="1"/>
      <w:numFmt w:val="bullet"/>
      <w:isLgl w:val="false"/>
      <w:suff w:val="tab"/>
      <w:lvlText w:val="§"/>
      <w:lvlJc w:val="left"/>
      <w:pPr>
        <w:ind w:left="5726" w:hanging="360"/>
      </w:pPr>
      <w:rPr>
        <w:rFonts w:hint="default" w:ascii="Wingdings" w:hAnsi="Wingdings" w:eastAsia="Wingdings" w:cs="Wingdings"/>
      </w:rPr>
    </w:lvl>
    <w:lvl w:ilvl="6">
      <w:start w:val="1"/>
      <w:numFmt w:val="bullet"/>
      <w:isLgl w:val="false"/>
      <w:suff w:val="tab"/>
      <w:lvlText w:val="·"/>
      <w:lvlJc w:val="left"/>
      <w:pPr>
        <w:ind w:left="6446" w:hanging="360"/>
      </w:pPr>
      <w:rPr>
        <w:rFonts w:hint="default" w:ascii="Symbol" w:hAnsi="Symbol" w:eastAsia="Symbol" w:cs="Symbol"/>
      </w:rPr>
    </w:lvl>
    <w:lvl w:ilvl="7">
      <w:start w:val="1"/>
      <w:numFmt w:val="bullet"/>
      <w:isLgl w:val="false"/>
      <w:suff w:val="tab"/>
      <w:lvlText w:val="o"/>
      <w:lvlJc w:val="left"/>
      <w:pPr>
        <w:ind w:left="7166" w:hanging="360"/>
      </w:pPr>
      <w:rPr>
        <w:rFonts w:hint="default" w:ascii="Courier New" w:hAnsi="Courier New" w:eastAsia="Courier New" w:cs="Courier New"/>
      </w:rPr>
    </w:lvl>
    <w:lvl w:ilvl="8">
      <w:start w:val="1"/>
      <w:numFmt w:val="bullet"/>
      <w:isLgl w:val="false"/>
      <w:suff w:val="tab"/>
      <w:lvlText w:val="§"/>
      <w:lvlJc w:val="left"/>
      <w:pPr>
        <w:ind w:left="7886" w:hanging="360"/>
      </w:pPr>
      <w:rPr>
        <w:rFonts w:hint="default" w:ascii="Wingdings" w:hAnsi="Wingdings" w:eastAsia="Wingdings" w:cs="Wingdings"/>
      </w:rPr>
    </w:lvl>
  </w:abstractNum>
  <w:abstractNum w:abstractNumId="54">
    <w:multiLevelType w:val="hybridMultilevel"/>
    <w:lvl w:ilvl="0">
      <w:start w:val="1"/>
      <w:numFmt w:val="bullet"/>
      <w:isLgl w:val="false"/>
      <w:suff w:val="tab"/>
      <w:lvlText w:val=""/>
      <w:lvlJc w:val="left"/>
      <w:pPr>
        <w:ind w:left="720" w:hanging="360"/>
      </w:pPr>
      <w:rPr>
        <w:rFonts w:hint="default" w:ascii="Symbol" w:hAnsi="Symbol"/>
      </w:rPr>
    </w:lvl>
    <w:lvl w:ilvl="1">
      <w:start w:val="1"/>
      <w:numFmt w:val="bullet"/>
      <w:isLgl w:val="false"/>
      <w:suff w:val="tab"/>
      <w:lvlText w:val="o"/>
      <w:lvlJc w:val="left"/>
      <w:pPr>
        <w:ind w:left="1440" w:hanging="360"/>
      </w:pPr>
      <w:rPr>
        <w:rFonts w:hint="default" w:ascii="Courier New" w:hAnsi="Courier New" w:cs="Courier New"/>
      </w:rPr>
    </w:lvl>
    <w:lvl w:ilvl="2">
      <w:start w:val="1"/>
      <w:numFmt w:val="bullet"/>
      <w:isLgl w:val="false"/>
      <w:suff w:val="tab"/>
      <w:lvlText w:val=""/>
      <w:lvlJc w:val="left"/>
      <w:pPr>
        <w:ind w:left="2160" w:hanging="360"/>
      </w:pPr>
      <w:rPr>
        <w:rFonts w:hint="default" w:ascii="Wingdings" w:hAnsi="Wingdings"/>
      </w:rPr>
    </w:lvl>
    <w:lvl w:ilvl="3">
      <w:start w:val="1"/>
      <w:numFmt w:val="bullet"/>
      <w:isLgl w:val="false"/>
      <w:suff w:val="tab"/>
      <w:lvlText w:val=""/>
      <w:lvlJc w:val="left"/>
      <w:pPr>
        <w:ind w:left="2880" w:hanging="360"/>
      </w:pPr>
      <w:rPr>
        <w:rFonts w:hint="default" w:ascii="Symbol" w:hAnsi="Symbol"/>
      </w:rPr>
    </w:lvl>
    <w:lvl w:ilvl="4">
      <w:start w:val="1"/>
      <w:numFmt w:val="bullet"/>
      <w:isLgl w:val="false"/>
      <w:suff w:val="tab"/>
      <w:lvlText w:val="o"/>
      <w:lvlJc w:val="left"/>
      <w:pPr>
        <w:ind w:left="3600" w:hanging="360"/>
      </w:pPr>
      <w:rPr>
        <w:rFonts w:hint="default" w:ascii="Courier New" w:hAnsi="Courier New" w:cs="Courier New"/>
      </w:rPr>
    </w:lvl>
    <w:lvl w:ilvl="5">
      <w:start w:val="1"/>
      <w:numFmt w:val="bullet"/>
      <w:isLgl w:val="false"/>
      <w:suff w:val="tab"/>
      <w:lvlText w:val=""/>
      <w:lvlJc w:val="left"/>
      <w:pPr>
        <w:ind w:left="4320" w:hanging="360"/>
      </w:pPr>
      <w:rPr>
        <w:rFonts w:hint="default" w:ascii="Wingdings" w:hAnsi="Wingdings"/>
      </w:rPr>
    </w:lvl>
    <w:lvl w:ilvl="6">
      <w:start w:val="1"/>
      <w:numFmt w:val="bullet"/>
      <w:isLgl w:val="false"/>
      <w:suff w:val="tab"/>
      <w:lvlText w:val=""/>
      <w:lvlJc w:val="left"/>
      <w:pPr>
        <w:ind w:left="5040" w:hanging="360"/>
      </w:pPr>
      <w:rPr>
        <w:rFonts w:hint="default" w:ascii="Symbol" w:hAnsi="Symbol"/>
      </w:rPr>
    </w:lvl>
    <w:lvl w:ilvl="7">
      <w:start w:val="1"/>
      <w:numFmt w:val="bullet"/>
      <w:isLgl w:val="false"/>
      <w:suff w:val="tab"/>
      <w:lvlText w:val="o"/>
      <w:lvlJc w:val="left"/>
      <w:pPr>
        <w:ind w:left="5760" w:hanging="360"/>
      </w:pPr>
      <w:rPr>
        <w:rFonts w:hint="default" w:ascii="Courier New" w:hAnsi="Courier New" w:cs="Courier New"/>
      </w:rPr>
    </w:lvl>
    <w:lvl w:ilvl="8">
      <w:start w:val="1"/>
      <w:numFmt w:val="bullet"/>
      <w:isLgl w:val="false"/>
      <w:suff w:val="tab"/>
      <w:lvlText w:val=""/>
      <w:lvlJc w:val="left"/>
      <w:pPr>
        <w:ind w:left="6480" w:hanging="360"/>
      </w:pPr>
      <w:rPr>
        <w:rFonts w:hint="default" w:ascii="Wingdings" w:hAnsi="Wingdings"/>
      </w:rPr>
    </w:lvl>
  </w:abstractNum>
  <w:abstractNum w:abstractNumId="55">
    <w:multiLevelType w:val="hybridMultilevel"/>
    <w:lvl w:ilvl="0">
      <w:start w:val="1"/>
      <w:numFmt w:val="bullet"/>
      <w:isLgl w:val="false"/>
      <w:suff w:val="tab"/>
      <w:lvlText w:val=""/>
      <w:lvlJc w:val="left"/>
      <w:pPr>
        <w:ind w:left="1429" w:hanging="360"/>
      </w:pPr>
      <w:rPr>
        <w:rFonts w:hint="default" w:ascii="Symbol" w:hAnsi="Symbol"/>
      </w:rPr>
    </w:lvl>
    <w:lvl w:ilvl="1">
      <w:start w:val="1"/>
      <w:numFmt w:val="bullet"/>
      <w:isLgl w:val="false"/>
      <w:suff w:val="tab"/>
      <w:lvlText w:val="o"/>
      <w:lvlJc w:val="left"/>
      <w:pPr>
        <w:ind w:left="2149" w:hanging="360"/>
      </w:pPr>
      <w:rPr>
        <w:rFonts w:hint="default" w:ascii="Courier New" w:hAnsi="Courier New" w:cs="Courier New"/>
      </w:rPr>
    </w:lvl>
    <w:lvl w:ilvl="2">
      <w:start w:val="1"/>
      <w:numFmt w:val="bullet"/>
      <w:isLgl w:val="false"/>
      <w:suff w:val="tab"/>
      <w:lvlText w:val=""/>
      <w:lvlJc w:val="left"/>
      <w:pPr>
        <w:ind w:left="2869" w:hanging="360"/>
      </w:pPr>
      <w:rPr>
        <w:rFonts w:hint="default" w:ascii="Wingdings" w:hAnsi="Wingdings"/>
      </w:rPr>
    </w:lvl>
    <w:lvl w:ilvl="3">
      <w:start w:val="1"/>
      <w:numFmt w:val="bullet"/>
      <w:isLgl w:val="false"/>
      <w:suff w:val="tab"/>
      <w:lvlText w:val=""/>
      <w:lvlJc w:val="left"/>
      <w:pPr>
        <w:ind w:left="3589" w:hanging="360"/>
      </w:pPr>
      <w:rPr>
        <w:rFonts w:hint="default" w:ascii="Symbol" w:hAnsi="Symbol"/>
      </w:rPr>
    </w:lvl>
    <w:lvl w:ilvl="4">
      <w:start w:val="1"/>
      <w:numFmt w:val="bullet"/>
      <w:isLgl w:val="false"/>
      <w:suff w:val="tab"/>
      <w:lvlText w:val="o"/>
      <w:lvlJc w:val="left"/>
      <w:pPr>
        <w:ind w:left="4309" w:hanging="360"/>
      </w:pPr>
      <w:rPr>
        <w:rFonts w:hint="default" w:ascii="Courier New" w:hAnsi="Courier New" w:cs="Courier New"/>
      </w:rPr>
    </w:lvl>
    <w:lvl w:ilvl="5">
      <w:start w:val="1"/>
      <w:numFmt w:val="bullet"/>
      <w:isLgl w:val="false"/>
      <w:suff w:val="tab"/>
      <w:lvlText w:val=""/>
      <w:lvlJc w:val="left"/>
      <w:pPr>
        <w:ind w:left="5029" w:hanging="360"/>
      </w:pPr>
      <w:rPr>
        <w:rFonts w:hint="default" w:ascii="Wingdings" w:hAnsi="Wingdings"/>
      </w:rPr>
    </w:lvl>
    <w:lvl w:ilvl="6">
      <w:start w:val="1"/>
      <w:numFmt w:val="bullet"/>
      <w:isLgl w:val="false"/>
      <w:suff w:val="tab"/>
      <w:lvlText w:val=""/>
      <w:lvlJc w:val="left"/>
      <w:pPr>
        <w:ind w:left="5749" w:hanging="360"/>
      </w:pPr>
      <w:rPr>
        <w:rFonts w:hint="default" w:ascii="Symbol" w:hAnsi="Symbol"/>
      </w:rPr>
    </w:lvl>
    <w:lvl w:ilvl="7">
      <w:start w:val="1"/>
      <w:numFmt w:val="bullet"/>
      <w:isLgl w:val="false"/>
      <w:suff w:val="tab"/>
      <w:lvlText w:val="o"/>
      <w:lvlJc w:val="left"/>
      <w:pPr>
        <w:ind w:left="6469" w:hanging="360"/>
      </w:pPr>
      <w:rPr>
        <w:rFonts w:hint="default" w:ascii="Courier New" w:hAnsi="Courier New" w:cs="Courier New"/>
      </w:rPr>
    </w:lvl>
    <w:lvl w:ilvl="8">
      <w:start w:val="1"/>
      <w:numFmt w:val="bullet"/>
      <w:isLgl w:val="false"/>
      <w:suff w:val="tab"/>
      <w:lvlText w:val=""/>
      <w:lvlJc w:val="left"/>
      <w:pPr>
        <w:ind w:left="7189" w:hanging="360"/>
      </w:pPr>
      <w:rPr>
        <w:rFonts w:hint="default" w:ascii="Wingdings" w:hAnsi="Wingdings"/>
      </w:rPr>
    </w:lvl>
  </w:abstractNum>
  <w:abstractNum w:abstractNumId="56">
    <w:multiLevelType w:val="hybridMultilevel"/>
    <w:lvl w:ilvl="0">
      <w:start w:val="1"/>
      <w:numFmt w:val="bullet"/>
      <w:isLgl w:val="false"/>
      <w:suff w:val="tab"/>
      <w:lvlText w:val=""/>
      <w:lvlJc w:val="left"/>
      <w:pPr>
        <w:ind w:left="720" w:hanging="360"/>
      </w:pPr>
      <w:rPr>
        <w:rFonts w:hint="default" w:ascii="Symbol" w:hAnsi="Symbol"/>
      </w:rPr>
    </w:lvl>
    <w:lvl w:ilvl="1">
      <w:start w:val="1"/>
      <w:numFmt w:val="bullet"/>
      <w:isLgl w:val="false"/>
      <w:suff w:val="tab"/>
      <w:lvlText w:val="o"/>
      <w:lvlJc w:val="left"/>
      <w:pPr>
        <w:ind w:left="1440" w:hanging="360"/>
      </w:pPr>
      <w:rPr>
        <w:rFonts w:hint="default" w:ascii="Courier New" w:hAnsi="Courier New" w:cs="Courier New"/>
      </w:rPr>
    </w:lvl>
    <w:lvl w:ilvl="2">
      <w:start w:val="1"/>
      <w:numFmt w:val="bullet"/>
      <w:isLgl w:val="false"/>
      <w:suff w:val="tab"/>
      <w:lvlText w:val=""/>
      <w:lvlJc w:val="left"/>
      <w:pPr>
        <w:ind w:left="2160" w:hanging="360"/>
      </w:pPr>
      <w:rPr>
        <w:rFonts w:hint="default" w:ascii="Wingdings" w:hAnsi="Wingdings"/>
      </w:rPr>
    </w:lvl>
    <w:lvl w:ilvl="3">
      <w:start w:val="1"/>
      <w:numFmt w:val="bullet"/>
      <w:isLgl w:val="false"/>
      <w:suff w:val="tab"/>
      <w:lvlText w:val=""/>
      <w:lvlJc w:val="left"/>
      <w:pPr>
        <w:ind w:left="2880" w:hanging="360"/>
      </w:pPr>
      <w:rPr>
        <w:rFonts w:hint="default" w:ascii="Symbol" w:hAnsi="Symbol"/>
      </w:rPr>
    </w:lvl>
    <w:lvl w:ilvl="4">
      <w:start w:val="1"/>
      <w:numFmt w:val="bullet"/>
      <w:isLgl w:val="false"/>
      <w:suff w:val="tab"/>
      <w:lvlText w:val="o"/>
      <w:lvlJc w:val="left"/>
      <w:pPr>
        <w:ind w:left="3600" w:hanging="360"/>
      </w:pPr>
      <w:rPr>
        <w:rFonts w:hint="default" w:ascii="Courier New" w:hAnsi="Courier New" w:cs="Courier New"/>
      </w:rPr>
    </w:lvl>
    <w:lvl w:ilvl="5">
      <w:start w:val="1"/>
      <w:numFmt w:val="bullet"/>
      <w:isLgl w:val="false"/>
      <w:suff w:val="tab"/>
      <w:lvlText w:val=""/>
      <w:lvlJc w:val="left"/>
      <w:pPr>
        <w:ind w:left="4320" w:hanging="360"/>
      </w:pPr>
      <w:rPr>
        <w:rFonts w:hint="default" w:ascii="Wingdings" w:hAnsi="Wingdings"/>
      </w:rPr>
    </w:lvl>
    <w:lvl w:ilvl="6">
      <w:start w:val="1"/>
      <w:numFmt w:val="bullet"/>
      <w:isLgl w:val="false"/>
      <w:suff w:val="tab"/>
      <w:lvlText w:val=""/>
      <w:lvlJc w:val="left"/>
      <w:pPr>
        <w:ind w:left="5040" w:hanging="360"/>
      </w:pPr>
      <w:rPr>
        <w:rFonts w:hint="default" w:ascii="Symbol" w:hAnsi="Symbol"/>
      </w:rPr>
    </w:lvl>
    <w:lvl w:ilvl="7">
      <w:start w:val="1"/>
      <w:numFmt w:val="bullet"/>
      <w:isLgl w:val="false"/>
      <w:suff w:val="tab"/>
      <w:lvlText w:val="o"/>
      <w:lvlJc w:val="left"/>
      <w:pPr>
        <w:ind w:left="5760" w:hanging="360"/>
      </w:pPr>
      <w:rPr>
        <w:rFonts w:hint="default" w:ascii="Courier New" w:hAnsi="Courier New" w:cs="Courier New"/>
      </w:rPr>
    </w:lvl>
    <w:lvl w:ilvl="8">
      <w:start w:val="1"/>
      <w:numFmt w:val="bullet"/>
      <w:isLgl w:val="false"/>
      <w:suff w:val="tab"/>
      <w:lvlText w:val=""/>
      <w:lvlJc w:val="left"/>
      <w:pPr>
        <w:ind w:left="6480" w:hanging="360"/>
      </w:pPr>
      <w:rPr>
        <w:rFonts w:hint="default" w:ascii="Wingdings" w:hAnsi="Wingdings"/>
      </w:rPr>
    </w:lvl>
  </w:abstractNum>
  <w:abstractNum w:abstractNumId="57">
    <w:multiLevelType w:val="hybridMultilevel"/>
    <w:lvl w:ilvl="0">
      <w:start w:val="1"/>
      <w:numFmt w:val="bullet"/>
      <w:isLgl w:val="false"/>
      <w:suff w:val="tab"/>
      <w:lvlText w:val="–"/>
      <w:lvlJc w:val="left"/>
      <w:pPr>
        <w:ind w:left="720" w:hanging="360"/>
      </w:pPr>
      <w:rPr>
        <w:rFonts w:ascii="Arial" w:hAnsi="Arial" w:eastAsia="Arial" w:cs="Arial"/>
      </w:rPr>
    </w:lvl>
    <w:lvl w:ilvl="1">
      <w:start w:val="1"/>
      <w:numFmt w:val="bullet"/>
      <w:isLgl w:val="false"/>
      <w:suff w:val="tab"/>
      <w:lvlText w:val="o"/>
      <w:lvlJc w:val="left"/>
      <w:pPr>
        <w:ind w:left="1440" w:hanging="360"/>
      </w:pPr>
      <w:rPr>
        <w:rFonts w:hint="default" w:ascii="Courier New" w:hAnsi="Courier New" w:eastAsia="Courier New" w:cs="Courier New"/>
      </w:rPr>
    </w:lvl>
    <w:lvl w:ilvl="2">
      <w:start w:val="1"/>
      <w:numFmt w:val="bullet"/>
      <w:isLgl w:val="false"/>
      <w:suff w:val="tab"/>
      <w:lvlText w:val="§"/>
      <w:lvlJc w:val="left"/>
      <w:pPr>
        <w:ind w:left="2160" w:hanging="360"/>
      </w:pPr>
      <w:rPr>
        <w:rFonts w:hint="default" w:ascii="Wingdings" w:hAnsi="Wingdings" w:eastAsia="Wingdings" w:cs="Wingdings"/>
      </w:rPr>
    </w:lvl>
    <w:lvl w:ilvl="3">
      <w:start w:val="1"/>
      <w:numFmt w:val="bullet"/>
      <w:isLgl w:val="false"/>
      <w:suff w:val="tab"/>
      <w:lvlText w:val="·"/>
      <w:lvlJc w:val="left"/>
      <w:pPr>
        <w:ind w:left="2880" w:hanging="360"/>
      </w:pPr>
      <w:rPr>
        <w:rFonts w:hint="default" w:ascii="Symbol" w:hAnsi="Symbol" w:eastAsia="Symbol" w:cs="Symbol"/>
      </w:rPr>
    </w:lvl>
    <w:lvl w:ilvl="4">
      <w:start w:val="1"/>
      <w:numFmt w:val="bullet"/>
      <w:isLgl w:val="false"/>
      <w:suff w:val="tab"/>
      <w:lvlText w:val="o"/>
      <w:lvlJc w:val="left"/>
      <w:pPr>
        <w:ind w:left="3600" w:hanging="360"/>
      </w:pPr>
      <w:rPr>
        <w:rFonts w:hint="default" w:ascii="Courier New" w:hAnsi="Courier New" w:eastAsia="Courier New" w:cs="Courier New"/>
      </w:rPr>
    </w:lvl>
    <w:lvl w:ilvl="5">
      <w:start w:val="1"/>
      <w:numFmt w:val="bullet"/>
      <w:isLgl w:val="false"/>
      <w:suff w:val="tab"/>
      <w:lvlText w:val="§"/>
      <w:lvlJc w:val="left"/>
      <w:pPr>
        <w:ind w:left="4320" w:hanging="360"/>
      </w:pPr>
      <w:rPr>
        <w:rFonts w:hint="default" w:ascii="Wingdings" w:hAnsi="Wingdings" w:eastAsia="Wingdings" w:cs="Wingdings"/>
      </w:rPr>
    </w:lvl>
    <w:lvl w:ilvl="6">
      <w:start w:val="1"/>
      <w:numFmt w:val="bullet"/>
      <w:isLgl w:val="false"/>
      <w:suff w:val="tab"/>
      <w:lvlText w:val="·"/>
      <w:lvlJc w:val="left"/>
      <w:pPr>
        <w:ind w:left="5040" w:hanging="360"/>
      </w:pPr>
      <w:rPr>
        <w:rFonts w:hint="default" w:ascii="Symbol" w:hAnsi="Symbol" w:eastAsia="Symbol" w:cs="Symbol"/>
      </w:rPr>
    </w:lvl>
    <w:lvl w:ilvl="7">
      <w:start w:val="1"/>
      <w:numFmt w:val="bullet"/>
      <w:isLgl w:val="false"/>
      <w:suff w:val="tab"/>
      <w:lvlText w:val="o"/>
      <w:lvlJc w:val="left"/>
      <w:pPr>
        <w:ind w:left="5760" w:hanging="360"/>
      </w:pPr>
      <w:rPr>
        <w:rFonts w:hint="default" w:ascii="Courier New" w:hAnsi="Courier New" w:eastAsia="Courier New" w:cs="Courier New"/>
      </w:rPr>
    </w:lvl>
    <w:lvl w:ilvl="8">
      <w:start w:val="1"/>
      <w:numFmt w:val="bullet"/>
      <w:isLgl w:val="false"/>
      <w:suff w:val="tab"/>
      <w:lvlText w:val="§"/>
      <w:lvlJc w:val="left"/>
      <w:pPr>
        <w:ind w:left="6480" w:hanging="360"/>
      </w:pPr>
      <w:rPr>
        <w:rFonts w:hint="default" w:ascii="Wingdings" w:hAnsi="Wingdings" w:eastAsia="Wingdings" w:cs="Wingdings"/>
      </w:rPr>
    </w:lvl>
  </w:abstractNum>
  <w:abstractNum w:abstractNumId="58">
    <w:multiLevelType w:val="hybridMultilevel"/>
    <w:lvl w:ilvl="0">
      <w:start w:val="1"/>
      <w:numFmt w:val="bullet"/>
      <w:isLgl w:val="false"/>
      <w:suff w:val="tab"/>
      <w:lvlText w:val=""/>
      <w:lvlJc w:val="left"/>
      <w:pPr>
        <w:ind w:left="720" w:hanging="360"/>
      </w:pPr>
      <w:rPr>
        <w:rFonts w:hint="default" w:ascii="Symbol" w:hAnsi="Symbol"/>
      </w:rPr>
    </w:lvl>
    <w:lvl w:ilvl="1">
      <w:start w:val="1"/>
      <w:numFmt w:val="bullet"/>
      <w:isLgl w:val="false"/>
      <w:suff w:val="tab"/>
      <w:lvlText w:val="o"/>
      <w:lvlJc w:val="left"/>
      <w:pPr>
        <w:ind w:left="1440" w:hanging="360"/>
      </w:pPr>
      <w:rPr>
        <w:rFonts w:hint="default" w:ascii="Courier New" w:hAnsi="Courier New" w:cs="Courier New"/>
      </w:rPr>
    </w:lvl>
    <w:lvl w:ilvl="2">
      <w:start w:val="1"/>
      <w:numFmt w:val="bullet"/>
      <w:isLgl w:val="false"/>
      <w:suff w:val="tab"/>
      <w:lvlText w:val=""/>
      <w:lvlJc w:val="left"/>
      <w:pPr>
        <w:ind w:left="2160" w:hanging="360"/>
      </w:pPr>
      <w:rPr>
        <w:rFonts w:hint="default" w:ascii="Wingdings" w:hAnsi="Wingdings"/>
      </w:rPr>
    </w:lvl>
    <w:lvl w:ilvl="3">
      <w:start w:val="1"/>
      <w:numFmt w:val="bullet"/>
      <w:isLgl w:val="false"/>
      <w:suff w:val="tab"/>
      <w:lvlText w:val=""/>
      <w:lvlJc w:val="left"/>
      <w:pPr>
        <w:ind w:left="2880" w:hanging="360"/>
      </w:pPr>
      <w:rPr>
        <w:rFonts w:hint="default" w:ascii="Symbol" w:hAnsi="Symbol"/>
      </w:rPr>
    </w:lvl>
    <w:lvl w:ilvl="4">
      <w:start w:val="1"/>
      <w:numFmt w:val="bullet"/>
      <w:isLgl w:val="false"/>
      <w:suff w:val="tab"/>
      <w:lvlText w:val="o"/>
      <w:lvlJc w:val="left"/>
      <w:pPr>
        <w:ind w:left="3600" w:hanging="360"/>
      </w:pPr>
      <w:rPr>
        <w:rFonts w:hint="default" w:ascii="Courier New" w:hAnsi="Courier New" w:cs="Courier New"/>
      </w:rPr>
    </w:lvl>
    <w:lvl w:ilvl="5">
      <w:start w:val="1"/>
      <w:numFmt w:val="bullet"/>
      <w:isLgl w:val="false"/>
      <w:suff w:val="tab"/>
      <w:lvlText w:val=""/>
      <w:lvlJc w:val="left"/>
      <w:pPr>
        <w:ind w:left="4320" w:hanging="360"/>
      </w:pPr>
      <w:rPr>
        <w:rFonts w:hint="default" w:ascii="Wingdings" w:hAnsi="Wingdings"/>
      </w:rPr>
    </w:lvl>
    <w:lvl w:ilvl="6">
      <w:start w:val="1"/>
      <w:numFmt w:val="bullet"/>
      <w:isLgl w:val="false"/>
      <w:suff w:val="tab"/>
      <w:lvlText w:val=""/>
      <w:lvlJc w:val="left"/>
      <w:pPr>
        <w:ind w:left="5040" w:hanging="360"/>
      </w:pPr>
      <w:rPr>
        <w:rFonts w:hint="default" w:ascii="Symbol" w:hAnsi="Symbol"/>
      </w:rPr>
    </w:lvl>
    <w:lvl w:ilvl="7">
      <w:start w:val="1"/>
      <w:numFmt w:val="bullet"/>
      <w:isLgl w:val="false"/>
      <w:suff w:val="tab"/>
      <w:lvlText w:val="o"/>
      <w:lvlJc w:val="left"/>
      <w:pPr>
        <w:ind w:left="5760" w:hanging="360"/>
      </w:pPr>
      <w:rPr>
        <w:rFonts w:hint="default" w:ascii="Courier New" w:hAnsi="Courier New" w:cs="Courier New"/>
      </w:rPr>
    </w:lvl>
    <w:lvl w:ilvl="8">
      <w:start w:val="1"/>
      <w:numFmt w:val="bullet"/>
      <w:isLgl w:val="false"/>
      <w:suff w:val="tab"/>
      <w:lvlText w:val=""/>
      <w:lvlJc w:val="left"/>
      <w:pPr>
        <w:ind w:left="6480" w:hanging="360"/>
      </w:pPr>
      <w:rPr>
        <w:rFonts w:hint="default" w:ascii="Wingdings" w:hAnsi="Wingdings"/>
      </w:rPr>
    </w:lvl>
  </w:abstractNum>
  <w:abstractNum w:abstractNumId="59">
    <w:multiLevelType w:val="hybridMultilevel"/>
    <w:lvl w:ilvl="0">
      <w:start w:val="1"/>
      <w:numFmt w:val="bullet"/>
      <w:isLgl w:val="false"/>
      <w:suff w:val="tab"/>
      <w:lvlText w:val=""/>
      <w:lvlJc w:val="left"/>
      <w:pPr>
        <w:ind w:left="720" w:hanging="360"/>
      </w:pPr>
      <w:rPr>
        <w:rFonts w:hint="default" w:ascii="Symbol" w:hAnsi="Symbol"/>
      </w:rPr>
    </w:lvl>
    <w:lvl w:ilvl="1">
      <w:start w:val="1"/>
      <w:numFmt w:val="bullet"/>
      <w:isLgl w:val="false"/>
      <w:suff w:val="tab"/>
      <w:lvlText w:val="o"/>
      <w:lvlJc w:val="left"/>
      <w:pPr>
        <w:ind w:left="1440" w:hanging="360"/>
      </w:pPr>
      <w:rPr>
        <w:rFonts w:hint="default" w:ascii="Courier New" w:hAnsi="Courier New" w:cs="Courier New"/>
      </w:rPr>
    </w:lvl>
    <w:lvl w:ilvl="2">
      <w:start w:val="1"/>
      <w:numFmt w:val="bullet"/>
      <w:isLgl w:val="false"/>
      <w:suff w:val="tab"/>
      <w:lvlText w:val=""/>
      <w:lvlJc w:val="left"/>
      <w:pPr>
        <w:ind w:left="2160" w:hanging="360"/>
      </w:pPr>
      <w:rPr>
        <w:rFonts w:hint="default" w:ascii="Wingdings" w:hAnsi="Wingdings"/>
      </w:rPr>
    </w:lvl>
    <w:lvl w:ilvl="3">
      <w:start w:val="1"/>
      <w:numFmt w:val="bullet"/>
      <w:isLgl w:val="false"/>
      <w:suff w:val="tab"/>
      <w:lvlText w:val=""/>
      <w:lvlJc w:val="left"/>
      <w:pPr>
        <w:ind w:left="2880" w:hanging="360"/>
      </w:pPr>
      <w:rPr>
        <w:rFonts w:hint="default" w:ascii="Symbol" w:hAnsi="Symbol"/>
      </w:rPr>
    </w:lvl>
    <w:lvl w:ilvl="4">
      <w:start w:val="1"/>
      <w:numFmt w:val="bullet"/>
      <w:isLgl w:val="false"/>
      <w:suff w:val="tab"/>
      <w:lvlText w:val="o"/>
      <w:lvlJc w:val="left"/>
      <w:pPr>
        <w:ind w:left="3600" w:hanging="360"/>
      </w:pPr>
      <w:rPr>
        <w:rFonts w:hint="default" w:ascii="Courier New" w:hAnsi="Courier New" w:cs="Courier New"/>
      </w:rPr>
    </w:lvl>
    <w:lvl w:ilvl="5">
      <w:start w:val="1"/>
      <w:numFmt w:val="bullet"/>
      <w:isLgl w:val="false"/>
      <w:suff w:val="tab"/>
      <w:lvlText w:val=""/>
      <w:lvlJc w:val="left"/>
      <w:pPr>
        <w:ind w:left="4320" w:hanging="360"/>
      </w:pPr>
      <w:rPr>
        <w:rFonts w:hint="default" w:ascii="Wingdings" w:hAnsi="Wingdings"/>
      </w:rPr>
    </w:lvl>
    <w:lvl w:ilvl="6">
      <w:start w:val="1"/>
      <w:numFmt w:val="bullet"/>
      <w:isLgl w:val="false"/>
      <w:suff w:val="tab"/>
      <w:lvlText w:val=""/>
      <w:lvlJc w:val="left"/>
      <w:pPr>
        <w:ind w:left="5040" w:hanging="360"/>
      </w:pPr>
      <w:rPr>
        <w:rFonts w:hint="default" w:ascii="Symbol" w:hAnsi="Symbol"/>
      </w:rPr>
    </w:lvl>
    <w:lvl w:ilvl="7">
      <w:start w:val="1"/>
      <w:numFmt w:val="bullet"/>
      <w:isLgl w:val="false"/>
      <w:suff w:val="tab"/>
      <w:lvlText w:val="o"/>
      <w:lvlJc w:val="left"/>
      <w:pPr>
        <w:ind w:left="5760" w:hanging="360"/>
      </w:pPr>
      <w:rPr>
        <w:rFonts w:hint="default" w:ascii="Courier New" w:hAnsi="Courier New" w:cs="Courier New"/>
      </w:rPr>
    </w:lvl>
    <w:lvl w:ilvl="8">
      <w:start w:val="1"/>
      <w:numFmt w:val="bullet"/>
      <w:isLgl w:val="false"/>
      <w:suff w:val="tab"/>
      <w:lvlText w:val=""/>
      <w:lvlJc w:val="left"/>
      <w:pPr>
        <w:ind w:left="6480" w:hanging="360"/>
      </w:pPr>
      <w:rPr>
        <w:rFonts w:hint="default" w:ascii="Wingdings" w:hAnsi="Wingdings"/>
      </w:rPr>
    </w:lvl>
  </w:abstractNum>
  <w:abstractNum w:abstractNumId="60">
    <w:multiLevelType w:val="hybridMultilevel"/>
    <w:lvl w:ilvl="0">
      <w:start w:val="1"/>
      <w:numFmt w:val="bullet"/>
      <w:isLgl w:val="false"/>
      <w:suff w:val="tab"/>
      <w:lvlText w:val=""/>
      <w:lvlJc w:val="left"/>
      <w:pPr>
        <w:ind w:left="720" w:hanging="360"/>
      </w:pPr>
      <w:rPr>
        <w:rFonts w:hint="default" w:ascii="Symbol" w:hAnsi="Symbol"/>
      </w:rPr>
    </w:lvl>
    <w:lvl w:ilvl="1">
      <w:start w:val="1"/>
      <w:numFmt w:val="bullet"/>
      <w:isLgl w:val="false"/>
      <w:suff w:val="tab"/>
      <w:lvlText w:val="o"/>
      <w:lvlJc w:val="left"/>
      <w:pPr>
        <w:ind w:left="1440" w:hanging="360"/>
      </w:pPr>
      <w:rPr>
        <w:rFonts w:hint="default" w:ascii="Courier New" w:hAnsi="Courier New" w:cs="Courier New"/>
      </w:rPr>
    </w:lvl>
    <w:lvl w:ilvl="2">
      <w:start w:val="1"/>
      <w:numFmt w:val="bullet"/>
      <w:isLgl w:val="false"/>
      <w:suff w:val="tab"/>
      <w:lvlText w:val=""/>
      <w:lvlJc w:val="left"/>
      <w:pPr>
        <w:ind w:left="2160" w:hanging="360"/>
      </w:pPr>
      <w:rPr>
        <w:rFonts w:hint="default" w:ascii="Symbol" w:hAnsi="Symbol"/>
      </w:rPr>
    </w:lvl>
    <w:lvl w:ilvl="3">
      <w:start w:val="1"/>
      <w:numFmt w:val="bullet"/>
      <w:isLgl w:val="false"/>
      <w:suff w:val="tab"/>
      <w:lvlText w:val=""/>
      <w:lvlJc w:val="left"/>
      <w:pPr>
        <w:ind w:left="2880" w:hanging="360"/>
      </w:pPr>
      <w:rPr>
        <w:rFonts w:hint="default" w:ascii="Symbol" w:hAnsi="Symbol"/>
      </w:rPr>
    </w:lvl>
    <w:lvl w:ilvl="4">
      <w:start w:val="1"/>
      <w:numFmt w:val="bullet"/>
      <w:isLgl w:val="false"/>
      <w:suff w:val="tab"/>
      <w:lvlText w:val="o"/>
      <w:lvlJc w:val="left"/>
      <w:pPr>
        <w:ind w:left="3600" w:hanging="360"/>
      </w:pPr>
      <w:rPr>
        <w:rFonts w:hint="default" w:ascii="Courier New" w:hAnsi="Courier New" w:cs="Courier New"/>
      </w:rPr>
    </w:lvl>
    <w:lvl w:ilvl="5">
      <w:start w:val="1"/>
      <w:numFmt w:val="bullet"/>
      <w:isLgl w:val="false"/>
      <w:suff w:val="tab"/>
      <w:lvlText w:val=""/>
      <w:lvlJc w:val="left"/>
      <w:pPr>
        <w:ind w:left="4320" w:hanging="360"/>
      </w:pPr>
      <w:rPr>
        <w:rFonts w:hint="default" w:ascii="Wingdings" w:hAnsi="Wingdings"/>
      </w:rPr>
    </w:lvl>
    <w:lvl w:ilvl="6">
      <w:start w:val="1"/>
      <w:numFmt w:val="bullet"/>
      <w:isLgl w:val="false"/>
      <w:suff w:val="tab"/>
      <w:lvlText w:val=""/>
      <w:lvlJc w:val="left"/>
      <w:pPr>
        <w:ind w:left="5040" w:hanging="360"/>
      </w:pPr>
      <w:rPr>
        <w:rFonts w:hint="default" w:ascii="Symbol" w:hAnsi="Symbol"/>
      </w:rPr>
    </w:lvl>
    <w:lvl w:ilvl="7">
      <w:start w:val="1"/>
      <w:numFmt w:val="bullet"/>
      <w:isLgl w:val="false"/>
      <w:suff w:val="tab"/>
      <w:lvlText w:val="o"/>
      <w:lvlJc w:val="left"/>
      <w:pPr>
        <w:ind w:left="5760" w:hanging="360"/>
      </w:pPr>
      <w:rPr>
        <w:rFonts w:hint="default" w:ascii="Courier New" w:hAnsi="Courier New" w:cs="Courier New"/>
      </w:rPr>
    </w:lvl>
    <w:lvl w:ilvl="8">
      <w:start w:val="1"/>
      <w:numFmt w:val="bullet"/>
      <w:isLgl w:val="false"/>
      <w:suff w:val="tab"/>
      <w:lvlText w:val=""/>
      <w:lvlJc w:val="left"/>
      <w:pPr>
        <w:ind w:left="6480" w:hanging="360"/>
      </w:pPr>
      <w:rPr>
        <w:rFonts w:hint="default" w:ascii="Wingdings" w:hAnsi="Wingdings"/>
      </w:rPr>
    </w:lvl>
  </w:abstractNum>
  <w:abstractNum w:abstractNumId="61">
    <w:multiLevelType w:val="hybridMultilevel"/>
    <w:lvl w:ilvl="0">
      <w:start w:val="1"/>
      <w:numFmt w:val="bullet"/>
      <w:isLgl w:val="false"/>
      <w:suff w:val="tab"/>
      <w:lvlText w:val=""/>
      <w:lvlJc w:val="left"/>
      <w:pPr>
        <w:ind w:left="1428" w:hanging="360"/>
      </w:pPr>
      <w:rPr>
        <w:rFonts w:hint="default" w:ascii="Symbol" w:hAnsi="Symbol"/>
      </w:rPr>
    </w:lvl>
    <w:lvl w:ilvl="1">
      <w:start w:val="1"/>
      <w:numFmt w:val="bullet"/>
      <w:isLgl w:val="false"/>
      <w:suff w:val="tab"/>
      <w:lvlText w:val="o"/>
      <w:lvlJc w:val="left"/>
      <w:pPr>
        <w:ind w:left="2148" w:hanging="360"/>
      </w:pPr>
      <w:rPr>
        <w:rFonts w:hint="default" w:ascii="Courier New" w:hAnsi="Courier New" w:cs="Courier New"/>
      </w:rPr>
    </w:lvl>
    <w:lvl w:ilvl="2">
      <w:start w:val="1"/>
      <w:numFmt w:val="bullet"/>
      <w:isLgl w:val="false"/>
      <w:suff w:val="tab"/>
      <w:lvlText w:val=""/>
      <w:lvlJc w:val="left"/>
      <w:pPr>
        <w:ind w:left="2868" w:hanging="360"/>
      </w:pPr>
      <w:rPr>
        <w:rFonts w:hint="default" w:ascii="Wingdings" w:hAnsi="Wingdings"/>
      </w:rPr>
    </w:lvl>
    <w:lvl w:ilvl="3">
      <w:start w:val="1"/>
      <w:numFmt w:val="bullet"/>
      <w:isLgl w:val="false"/>
      <w:suff w:val="tab"/>
      <w:lvlText w:val=""/>
      <w:lvlJc w:val="left"/>
      <w:pPr>
        <w:ind w:left="3588" w:hanging="360"/>
      </w:pPr>
      <w:rPr>
        <w:rFonts w:hint="default" w:ascii="Symbol" w:hAnsi="Symbol"/>
      </w:rPr>
    </w:lvl>
    <w:lvl w:ilvl="4">
      <w:start w:val="1"/>
      <w:numFmt w:val="bullet"/>
      <w:isLgl w:val="false"/>
      <w:suff w:val="tab"/>
      <w:lvlText w:val="o"/>
      <w:lvlJc w:val="left"/>
      <w:pPr>
        <w:ind w:left="4308" w:hanging="360"/>
      </w:pPr>
      <w:rPr>
        <w:rFonts w:hint="default" w:ascii="Courier New" w:hAnsi="Courier New" w:cs="Courier New"/>
      </w:rPr>
    </w:lvl>
    <w:lvl w:ilvl="5">
      <w:start w:val="1"/>
      <w:numFmt w:val="bullet"/>
      <w:isLgl w:val="false"/>
      <w:suff w:val="tab"/>
      <w:lvlText w:val=""/>
      <w:lvlJc w:val="left"/>
      <w:pPr>
        <w:ind w:left="5028" w:hanging="360"/>
      </w:pPr>
      <w:rPr>
        <w:rFonts w:hint="default" w:ascii="Wingdings" w:hAnsi="Wingdings"/>
      </w:rPr>
    </w:lvl>
    <w:lvl w:ilvl="6">
      <w:start w:val="1"/>
      <w:numFmt w:val="bullet"/>
      <w:isLgl w:val="false"/>
      <w:suff w:val="tab"/>
      <w:lvlText w:val=""/>
      <w:lvlJc w:val="left"/>
      <w:pPr>
        <w:ind w:left="5748" w:hanging="360"/>
      </w:pPr>
      <w:rPr>
        <w:rFonts w:hint="default" w:ascii="Symbol" w:hAnsi="Symbol"/>
      </w:rPr>
    </w:lvl>
    <w:lvl w:ilvl="7">
      <w:start w:val="1"/>
      <w:numFmt w:val="bullet"/>
      <w:isLgl w:val="false"/>
      <w:suff w:val="tab"/>
      <w:lvlText w:val="o"/>
      <w:lvlJc w:val="left"/>
      <w:pPr>
        <w:ind w:left="6468" w:hanging="360"/>
      </w:pPr>
      <w:rPr>
        <w:rFonts w:hint="default" w:ascii="Courier New" w:hAnsi="Courier New" w:cs="Courier New"/>
      </w:rPr>
    </w:lvl>
    <w:lvl w:ilvl="8">
      <w:start w:val="1"/>
      <w:numFmt w:val="bullet"/>
      <w:isLgl w:val="false"/>
      <w:suff w:val="tab"/>
      <w:lvlText w:val=""/>
      <w:lvlJc w:val="left"/>
      <w:pPr>
        <w:ind w:left="7188" w:hanging="360"/>
      </w:pPr>
      <w:rPr>
        <w:rFonts w:hint="default" w:ascii="Wingdings" w:hAnsi="Wingdings"/>
      </w:rPr>
    </w:lvl>
  </w:abstractNum>
  <w:abstractNum w:abstractNumId="62">
    <w:multiLevelType w:val="hybridMultilevel"/>
    <w:lvl w:ilvl="0">
      <w:start w:val="1"/>
      <w:numFmt w:val="bullet"/>
      <w:isLgl w:val="false"/>
      <w:suff w:val="tab"/>
      <w:lvlText w:val=""/>
      <w:lvlJc w:val="left"/>
      <w:pPr>
        <w:ind w:left="1418" w:hanging="360"/>
      </w:pPr>
      <w:rPr>
        <w:rFonts w:hint="default" w:ascii="Symbol" w:hAnsi="Symbol"/>
      </w:rPr>
    </w:lvl>
    <w:lvl w:ilvl="1">
      <w:start w:val="1"/>
      <w:numFmt w:val="bullet"/>
      <w:isLgl w:val="false"/>
      <w:suff w:val="tab"/>
      <w:lvlText w:val="o"/>
      <w:lvlJc w:val="left"/>
      <w:pPr>
        <w:ind w:left="2138" w:hanging="360"/>
      </w:pPr>
      <w:rPr>
        <w:rFonts w:hint="default" w:ascii="Courier New" w:hAnsi="Courier New" w:eastAsia="Courier New" w:cs="Courier New"/>
      </w:rPr>
    </w:lvl>
    <w:lvl w:ilvl="2">
      <w:start w:val="1"/>
      <w:numFmt w:val="bullet"/>
      <w:isLgl w:val="false"/>
      <w:suff w:val="tab"/>
      <w:lvlText w:val="§"/>
      <w:lvlJc w:val="left"/>
      <w:pPr>
        <w:ind w:left="2858" w:hanging="360"/>
      </w:pPr>
      <w:rPr>
        <w:rFonts w:hint="default" w:ascii="Wingdings" w:hAnsi="Wingdings" w:eastAsia="Wingdings" w:cs="Wingdings"/>
      </w:rPr>
    </w:lvl>
    <w:lvl w:ilvl="3">
      <w:start w:val="1"/>
      <w:numFmt w:val="bullet"/>
      <w:isLgl w:val="false"/>
      <w:suff w:val="tab"/>
      <w:lvlText w:val="·"/>
      <w:lvlJc w:val="left"/>
      <w:pPr>
        <w:ind w:left="3578" w:hanging="360"/>
      </w:pPr>
      <w:rPr>
        <w:rFonts w:hint="default" w:ascii="Symbol" w:hAnsi="Symbol" w:eastAsia="Symbol" w:cs="Symbol"/>
      </w:rPr>
    </w:lvl>
    <w:lvl w:ilvl="4">
      <w:start w:val="1"/>
      <w:numFmt w:val="bullet"/>
      <w:isLgl w:val="false"/>
      <w:suff w:val="tab"/>
      <w:lvlText w:val="o"/>
      <w:lvlJc w:val="left"/>
      <w:pPr>
        <w:ind w:left="4298" w:hanging="360"/>
      </w:pPr>
      <w:rPr>
        <w:rFonts w:hint="default" w:ascii="Courier New" w:hAnsi="Courier New" w:eastAsia="Courier New" w:cs="Courier New"/>
      </w:rPr>
    </w:lvl>
    <w:lvl w:ilvl="5">
      <w:start w:val="1"/>
      <w:numFmt w:val="bullet"/>
      <w:isLgl w:val="false"/>
      <w:suff w:val="tab"/>
      <w:lvlText w:val="§"/>
      <w:lvlJc w:val="left"/>
      <w:pPr>
        <w:ind w:left="5018" w:hanging="360"/>
      </w:pPr>
      <w:rPr>
        <w:rFonts w:hint="default" w:ascii="Wingdings" w:hAnsi="Wingdings" w:eastAsia="Wingdings" w:cs="Wingdings"/>
      </w:rPr>
    </w:lvl>
    <w:lvl w:ilvl="6">
      <w:start w:val="1"/>
      <w:numFmt w:val="bullet"/>
      <w:isLgl w:val="false"/>
      <w:suff w:val="tab"/>
      <w:lvlText w:val="·"/>
      <w:lvlJc w:val="left"/>
      <w:pPr>
        <w:ind w:left="5738" w:hanging="360"/>
      </w:pPr>
      <w:rPr>
        <w:rFonts w:hint="default" w:ascii="Symbol" w:hAnsi="Symbol" w:eastAsia="Symbol" w:cs="Symbol"/>
      </w:rPr>
    </w:lvl>
    <w:lvl w:ilvl="7">
      <w:start w:val="1"/>
      <w:numFmt w:val="bullet"/>
      <w:isLgl w:val="false"/>
      <w:suff w:val="tab"/>
      <w:lvlText w:val="o"/>
      <w:lvlJc w:val="left"/>
      <w:pPr>
        <w:ind w:left="6458" w:hanging="360"/>
      </w:pPr>
      <w:rPr>
        <w:rFonts w:hint="default" w:ascii="Courier New" w:hAnsi="Courier New" w:eastAsia="Courier New" w:cs="Courier New"/>
      </w:rPr>
    </w:lvl>
    <w:lvl w:ilvl="8">
      <w:start w:val="1"/>
      <w:numFmt w:val="bullet"/>
      <w:isLgl w:val="false"/>
      <w:suff w:val="tab"/>
      <w:lvlText w:val="§"/>
      <w:lvlJc w:val="left"/>
      <w:pPr>
        <w:ind w:left="7178" w:hanging="360"/>
      </w:pPr>
      <w:rPr>
        <w:rFonts w:hint="default" w:ascii="Wingdings" w:hAnsi="Wingdings" w:eastAsia="Wingdings" w:cs="Wingdings"/>
      </w:rPr>
    </w:lvl>
  </w:abstractNum>
  <w:abstractNum w:abstractNumId="63">
    <w:multiLevelType w:val="hybridMultilevel"/>
    <w:lvl w:ilvl="0">
      <w:start w:val="1"/>
      <w:numFmt w:val="bullet"/>
      <w:isLgl w:val="false"/>
      <w:suff w:val="tab"/>
      <w:lvlText w:val=""/>
      <w:lvlJc w:val="left"/>
      <w:pPr>
        <w:ind w:left="720" w:hanging="360"/>
      </w:pPr>
      <w:rPr>
        <w:rFonts w:hint="default" w:ascii="Symbol" w:hAnsi="Symbol"/>
      </w:rPr>
    </w:lvl>
    <w:lvl w:ilvl="1">
      <w:start w:val="1"/>
      <w:numFmt w:val="bullet"/>
      <w:isLgl w:val="false"/>
      <w:suff w:val="tab"/>
      <w:lvlText w:val="o"/>
      <w:lvlJc w:val="left"/>
      <w:pPr>
        <w:ind w:left="1440" w:hanging="360"/>
      </w:pPr>
      <w:rPr>
        <w:rFonts w:hint="default" w:ascii="Courier New" w:hAnsi="Courier New" w:cs="Courier New"/>
      </w:rPr>
    </w:lvl>
    <w:lvl w:ilvl="2">
      <w:start w:val="1"/>
      <w:numFmt w:val="bullet"/>
      <w:isLgl w:val="false"/>
      <w:suff w:val="tab"/>
      <w:lvlText w:val=""/>
      <w:lvlJc w:val="left"/>
      <w:pPr>
        <w:ind w:left="2160" w:hanging="360"/>
      </w:pPr>
      <w:rPr>
        <w:rFonts w:hint="default" w:ascii="Wingdings" w:hAnsi="Wingdings"/>
      </w:rPr>
    </w:lvl>
    <w:lvl w:ilvl="3">
      <w:start w:val="1"/>
      <w:numFmt w:val="bullet"/>
      <w:isLgl w:val="false"/>
      <w:suff w:val="tab"/>
      <w:lvlText w:val=""/>
      <w:lvlJc w:val="left"/>
      <w:pPr>
        <w:ind w:left="2880" w:hanging="360"/>
      </w:pPr>
      <w:rPr>
        <w:rFonts w:hint="default" w:ascii="Symbol" w:hAnsi="Symbol"/>
      </w:rPr>
    </w:lvl>
    <w:lvl w:ilvl="4">
      <w:start w:val="1"/>
      <w:numFmt w:val="bullet"/>
      <w:isLgl w:val="false"/>
      <w:suff w:val="tab"/>
      <w:lvlText w:val="o"/>
      <w:lvlJc w:val="left"/>
      <w:pPr>
        <w:ind w:left="3600" w:hanging="360"/>
      </w:pPr>
      <w:rPr>
        <w:rFonts w:hint="default" w:ascii="Courier New" w:hAnsi="Courier New" w:cs="Courier New"/>
      </w:rPr>
    </w:lvl>
    <w:lvl w:ilvl="5">
      <w:start w:val="1"/>
      <w:numFmt w:val="bullet"/>
      <w:isLgl w:val="false"/>
      <w:suff w:val="tab"/>
      <w:lvlText w:val=""/>
      <w:lvlJc w:val="left"/>
      <w:pPr>
        <w:ind w:left="4320" w:hanging="360"/>
      </w:pPr>
      <w:rPr>
        <w:rFonts w:hint="default" w:ascii="Wingdings" w:hAnsi="Wingdings"/>
      </w:rPr>
    </w:lvl>
    <w:lvl w:ilvl="6">
      <w:start w:val="1"/>
      <w:numFmt w:val="bullet"/>
      <w:isLgl w:val="false"/>
      <w:suff w:val="tab"/>
      <w:lvlText w:val=""/>
      <w:lvlJc w:val="left"/>
      <w:pPr>
        <w:ind w:left="5040" w:hanging="360"/>
      </w:pPr>
      <w:rPr>
        <w:rFonts w:hint="default" w:ascii="Symbol" w:hAnsi="Symbol"/>
      </w:rPr>
    </w:lvl>
    <w:lvl w:ilvl="7">
      <w:start w:val="1"/>
      <w:numFmt w:val="bullet"/>
      <w:isLgl w:val="false"/>
      <w:suff w:val="tab"/>
      <w:lvlText w:val="o"/>
      <w:lvlJc w:val="left"/>
      <w:pPr>
        <w:ind w:left="5760" w:hanging="360"/>
      </w:pPr>
      <w:rPr>
        <w:rFonts w:hint="default" w:ascii="Courier New" w:hAnsi="Courier New" w:cs="Courier New"/>
      </w:rPr>
    </w:lvl>
    <w:lvl w:ilvl="8">
      <w:start w:val="1"/>
      <w:numFmt w:val="bullet"/>
      <w:isLgl w:val="false"/>
      <w:suff w:val="tab"/>
      <w:lvlText w:val=""/>
      <w:lvlJc w:val="left"/>
      <w:pPr>
        <w:ind w:left="6480" w:hanging="360"/>
      </w:pPr>
      <w:rPr>
        <w:rFonts w:hint="default" w:ascii="Wingdings" w:hAnsi="Wingdings"/>
      </w:rPr>
    </w:lvl>
  </w:abstractNum>
  <w:abstractNum w:abstractNumId="64">
    <w:multiLevelType w:val="hybridMultilevel"/>
    <w:lvl w:ilvl="0">
      <w:start w:val="1"/>
      <w:numFmt w:val="bullet"/>
      <w:isLgl w:val="false"/>
      <w:suff w:val="tab"/>
      <w:lvlText w:val=""/>
      <w:lvlJc w:val="left"/>
      <w:pPr>
        <w:ind w:left="0"/>
      </w:pPr>
      <w:rPr>
        <w:rFonts w:hint="default" w:ascii="Symbol" w:hAnsi="Symbol"/>
        <w:b w:val="0"/>
        <w:i w:val="0"/>
        <w:strike w:val="0"/>
        <w:color w:val="000000"/>
        <w:sz w:val="28"/>
        <w:szCs w:val="28"/>
        <w:u w:val="none"/>
        <w:vertAlign w:val="baseline"/>
      </w:rPr>
    </w:lvl>
    <w:lvl w:ilvl="1">
      <w:start w:val="1"/>
      <w:numFmt w:val="bullet"/>
      <w:isLgl w:val="false"/>
      <w:suff w:val="tab"/>
      <w:lvlText w:val="o"/>
      <w:lvlJc w:val="left"/>
      <w:pPr>
        <w:ind w:left="1788"/>
      </w:pPr>
      <w:rPr>
        <w:rFonts w:ascii="Times New Roman" w:hAnsi="Times New Roman" w:eastAsia="Times New Roman" w:cs="Times New Roman"/>
        <w:b w:val="0"/>
        <w:i w:val="0"/>
        <w:strike w:val="0"/>
        <w:color w:val="000000"/>
        <w:sz w:val="28"/>
        <w:szCs w:val="28"/>
        <w:u w:val="none"/>
        <w:vertAlign w:val="baseline"/>
      </w:rPr>
    </w:lvl>
    <w:lvl w:ilvl="2">
      <w:start w:val="1"/>
      <w:numFmt w:val="bullet"/>
      <w:isLgl w:val="false"/>
      <w:suff w:val="tab"/>
      <w:lvlText w:val="▪"/>
      <w:lvlJc w:val="left"/>
      <w:pPr>
        <w:ind w:left="2508"/>
      </w:pPr>
      <w:rPr>
        <w:rFonts w:ascii="Times New Roman" w:hAnsi="Times New Roman" w:eastAsia="Times New Roman" w:cs="Times New Roman"/>
        <w:b w:val="0"/>
        <w:i w:val="0"/>
        <w:strike w:val="0"/>
        <w:color w:val="000000"/>
        <w:sz w:val="28"/>
        <w:szCs w:val="28"/>
        <w:u w:val="none"/>
        <w:vertAlign w:val="baseline"/>
      </w:rPr>
    </w:lvl>
    <w:lvl w:ilvl="3">
      <w:start w:val="1"/>
      <w:numFmt w:val="bullet"/>
      <w:isLgl w:val="false"/>
      <w:suff w:val="tab"/>
      <w:lvlText w:val="•"/>
      <w:lvlJc w:val="left"/>
      <w:pPr>
        <w:ind w:left="3228"/>
      </w:pPr>
      <w:rPr>
        <w:rFonts w:ascii="Times New Roman" w:hAnsi="Times New Roman" w:eastAsia="Times New Roman" w:cs="Times New Roman"/>
        <w:b w:val="0"/>
        <w:i w:val="0"/>
        <w:strike w:val="0"/>
        <w:color w:val="000000"/>
        <w:sz w:val="28"/>
        <w:szCs w:val="28"/>
        <w:u w:val="none"/>
        <w:vertAlign w:val="baseline"/>
      </w:rPr>
    </w:lvl>
    <w:lvl w:ilvl="4">
      <w:start w:val="1"/>
      <w:numFmt w:val="bullet"/>
      <w:isLgl w:val="false"/>
      <w:suff w:val="tab"/>
      <w:lvlText w:val="o"/>
      <w:lvlJc w:val="left"/>
      <w:pPr>
        <w:ind w:left="3948"/>
      </w:pPr>
      <w:rPr>
        <w:rFonts w:ascii="Times New Roman" w:hAnsi="Times New Roman" w:eastAsia="Times New Roman" w:cs="Times New Roman"/>
        <w:b w:val="0"/>
        <w:i w:val="0"/>
        <w:strike w:val="0"/>
        <w:color w:val="000000"/>
        <w:sz w:val="28"/>
        <w:szCs w:val="28"/>
        <w:u w:val="none"/>
        <w:vertAlign w:val="baseline"/>
      </w:rPr>
    </w:lvl>
    <w:lvl w:ilvl="5">
      <w:start w:val="1"/>
      <w:numFmt w:val="bullet"/>
      <w:isLgl w:val="false"/>
      <w:suff w:val="tab"/>
      <w:lvlText w:val="▪"/>
      <w:lvlJc w:val="left"/>
      <w:pPr>
        <w:ind w:left="4668"/>
      </w:pPr>
      <w:rPr>
        <w:rFonts w:ascii="Times New Roman" w:hAnsi="Times New Roman" w:eastAsia="Times New Roman" w:cs="Times New Roman"/>
        <w:b w:val="0"/>
        <w:i w:val="0"/>
        <w:strike w:val="0"/>
        <w:color w:val="000000"/>
        <w:sz w:val="28"/>
        <w:szCs w:val="28"/>
        <w:u w:val="none"/>
        <w:vertAlign w:val="baseline"/>
      </w:rPr>
    </w:lvl>
    <w:lvl w:ilvl="6">
      <w:start w:val="1"/>
      <w:numFmt w:val="bullet"/>
      <w:isLgl w:val="false"/>
      <w:suff w:val="tab"/>
      <w:lvlText w:val="•"/>
      <w:lvlJc w:val="left"/>
      <w:pPr>
        <w:ind w:left="5388"/>
      </w:pPr>
      <w:rPr>
        <w:rFonts w:ascii="Times New Roman" w:hAnsi="Times New Roman" w:eastAsia="Times New Roman" w:cs="Times New Roman"/>
        <w:b w:val="0"/>
        <w:i w:val="0"/>
        <w:strike w:val="0"/>
        <w:color w:val="000000"/>
        <w:sz w:val="28"/>
        <w:szCs w:val="28"/>
        <w:u w:val="none"/>
        <w:vertAlign w:val="baseline"/>
      </w:rPr>
    </w:lvl>
    <w:lvl w:ilvl="7">
      <w:start w:val="1"/>
      <w:numFmt w:val="bullet"/>
      <w:isLgl w:val="false"/>
      <w:suff w:val="tab"/>
      <w:lvlText w:val="o"/>
      <w:lvlJc w:val="left"/>
      <w:pPr>
        <w:ind w:left="6108"/>
      </w:pPr>
      <w:rPr>
        <w:rFonts w:ascii="Times New Roman" w:hAnsi="Times New Roman" w:eastAsia="Times New Roman" w:cs="Times New Roman"/>
        <w:b w:val="0"/>
        <w:i w:val="0"/>
        <w:strike w:val="0"/>
        <w:color w:val="000000"/>
        <w:sz w:val="28"/>
        <w:szCs w:val="28"/>
        <w:u w:val="none"/>
        <w:vertAlign w:val="baseline"/>
      </w:rPr>
    </w:lvl>
    <w:lvl w:ilvl="8">
      <w:start w:val="1"/>
      <w:numFmt w:val="bullet"/>
      <w:isLgl w:val="false"/>
      <w:suff w:val="tab"/>
      <w:lvlText w:val="▪"/>
      <w:lvlJc w:val="left"/>
      <w:pPr>
        <w:ind w:left="6828"/>
      </w:pPr>
      <w:rPr>
        <w:rFonts w:ascii="Times New Roman" w:hAnsi="Times New Roman" w:eastAsia="Times New Roman" w:cs="Times New Roman"/>
        <w:b w:val="0"/>
        <w:i w:val="0"/>
        <w:strike w:val="0"/>
        <w:color w:val="000000"/>
        <w:sz w:val="28"/>
        <w:szCs w:val="28"/>
        <w:u w:val="none"/>
        <w:vertAlign w:val="baseline"/>
      </w:rPr>
    </w:lvl>
  </w:abstractNum>
  <w:abstractNum w:abstractNumId="65">
    <w:multiLevelType w:val="hybridMultilevel"/>
    <w:lvl w:ilvl="0">
      <w:start w:val="1"/>
      <w:numFmt w:val="bullet"/>
      <w:isLgl w:val="false"/>
      <w:suff w:val="tab"/>
      <w:lvlText w:val="•"/>
      <w:lvlJc w:val="left"/>
      <w:pPr>
        <w:ind w:left="0"/>
      </w:pPr>
      <w:rPr>
        <w:rFonts w:ascii="Arial" w:hAnsi="Arial" w:eastAsia="Arial" w:cs="Arial"/>
        <w:b w:val="0"/>
        <w:i w:val="0"/>
        <w:strike w:val="0"/>
        <w:color w:val="000000"/>
        <w:sz w:val="28"/>
        <w:szCs w:val="28"/>
        <w:u w:val="none"/>
        <w:vertAlign w:val="baseline"/>
      </w:rPr>
    </w:lvl>
    <w:lvl w:ilvl="1">
      <w:start w:val="1"/>
      <w:numFmt w:val="bullet"/>
      <w:isLgl w:val="false"/>
      <w:suff w:val="tab"/>
      <w:lvlText w:val="o"/>
      <w:lvlJc w:val="left"/>
      <w:pPr>
        <w:ind w:left="1788"/>
      </w:pPr>
      <w:rPr>
        <w:rFonts w:ascii="Segoe UI Symbol" w:hAnsi="Segoe UI Symbol" w:eastAsia="Segoe UI Symbol" w:cs="Segoe UI Symbol"/>
        <w:b w:val="0"/>
        <w:i w:val="0"/>
        <w:strike w:val="0"/>
        <w:color w:val="000000"/>
        <w:sz w:val="28"/>
        <w:szCs w:val="28"/>
        <w:u w:val="none"/>
        <w:vertAlign w:val="baseline"/>
      </w:rPr>
    </w:lvl>
    <w:lvl w:ilvl="2">
      <w:start w:val="1"/>
      <w:numFmt w:val="bullet"/>
      <w:isLgl w:val="false"/>
      <w:suff w:val="tab"/>
      <w:lvlText w:val="▪"/>
      <w:lvlJc w:val="left"/>
      <w:pPr>
        <w:ind w:left="2508"/>
      </w:pPr>
      <w:rPr>
        <w:rFonts w:ascii="Segoe UI Symbol" w:hAnsi="Segoe UI Symbol" w:eastAsia="Segoe UI Symbol" w:cs="Segoe UI Symbol"/>
        <w:b w:val="0"/>
        <w:i w:val="0"/>
        <w:strike w:val="0"/>
        <w:color w:val="000000"/>
        <w:sz w:val="28"/>
        <w:szCs w:val="28"/>
        <w:u w:val="none"/>
        <w:vertAlign w:val="baseline"/>
      </w:rPr>
    </w:lvl>
    <w:lvl w:ilvl="3">
      <w:start w:val="1"/>
      <w:numFmt w:val="bullet"/>
      <w:isLgl w:val="false"/>
      <w:suff w:val="tab"/>
      <w:lvlText w:val="•"/>
      <w:lvlJc w:val="left"/>
      <w:pPr>
        <w:ind w:left="3228"/>
      </w:pPr>
      <w:rPr>
        <w:rFonts w:ascii="Arial" w:hAnsi="Arial" w:eastAsia="Arial" w:cs="Arial"/>
        <w:b w:val="0"/>
        <w:i w:val="0"/>
        <w:strike w:val="0"/>
        <w:color w:val="000000"/>
        <w:sz w:val="28"/>
        <w:szCs w:val="28"/>
        <w:u w:val="none"/>
        <w:vertAlign w:val="baseline"/>
      </w:rPr>
    </w:lvl>
    <w:lvl w:ilvl="4">
      <w:start w:val="1"/>
      <w:numFmt w:val="bullet"/>
      <w:isLgl w:val="false"/>
      <w:suff w:val="tab"/>
      <w:lvlText w:val="o"/>
      <w:lvlJc w:val="left"/>
      <w:pPr>
        <w:ind w:left="3948"/>
      </w:pPr>
      <w:rPr>
        <w:rFonts w:ascii="Segoe UI Symbol" w:hAnsi="Segoe UI Symbol" w:eastAsia="Segoe UI Symbol" w:cs="Segoe UI Symbol"/>
        <w:b w:val="0"/>
        <w:i w:val="0"/>
        <w:strike w:val="0"/>
        <w:color w:val="000000"/>
        <w:sz w:val="28"/>
        <w:szCs w:val="28"/>
        <w:u w:val="none"/>
        <w:vertAlign w:val="baseline"/>
      </w:rPr>
    </w:lvl>
    <w:lvl w:ilvl="5">
      <w:start w:val="1"/>
      <w:numFmt w:val="bullet"/>
      <w:isLgl w:val="false"/>
      <w:suff w:val="tab"/>
      <w:lvlText w:val="▪"/>
      <w:lvlJc w:val="left"/>
      <w:pPr>
        <w:ind w:left="4668"/>
      </w:pPr>
      <w:rPr>
        <w:rFonts w:ascii="Segoe UI Symbol" w:hAnsi="Segoe UI Symbol" w:eastAsia="Segoe UI Symbol" w:cs="Segoe UI Symbol"/>
        <w:b w:val="0"/>
        <w:i w:val="0"/>
        <w:strike w:val="0"/>
        <w:color w:val="000000"/>
        <w:sz w:val="28"/>
        <w:szCs w:val="28"/>
        <w:u w:val="none"/>
        <w:vertAlign w:val="baseline"/>
      </w:rPr>
    </w:lvl>
    <w:lvl w:ilvl="6">
      <w:start w:val="1"/>
      <w:numFmt w:val="bullet"/>
      <w:isLgl w:val="false"/>
      <w:suff w:val="tab"/>
      <w:lvlText w:val="•"/>
      <w:lvlJc w:val="left"/>
      <w:pPr>
        <w:ind w:left="5388"/>
      </w:pPr>
      <w:rPr>
        <w:rFonts w:ascii="Arial" w:hAnsi="Arial" w:eastAsia="Arial" w:cs="Arial"/>
        <w:b w:val="0"/>
        <w:i w:val="0"/>
        <w:strike w:val="0"/>
        <w:color w:val="000000"/>
        <w:sz w:val="28"/>
        <w:szCs w:val="28"/>
        <w:u w:val="none"/>
        <w:vertAlign w:val="baseline"/>
      </w:rPr>
    </w:lvl>
    <w:lvl w:ilvl="7">
      <w:start w:val="1"/>
      <w:numFmt w:val="bullet"/>
      <w:isLgl w:val="false"/>
      <w:suff w:val="tab"/>
      <w:lvlText w:val="o"/>
      <w:lvlJc w:val="left"/>
      <w:pPr>
        <w:ind w:left="6108"/>
      </w:pPr>
      <w:rPr>
        <w:rFonts w:ascii="Segoe UI Symbol" w:hAnsi="Segoe UI Symbol" w:eastAsia="Segoe UI Symbol" w:cs="Segoe UI Symbol"/>
        <w:b w:val="0"/>
        <w:i w:val="0"/>
        <w:strike w:val="0"/>
        <w:color w:val="000000"/>
        <w:sz w:val="28"/>
        <w:szCs w:val="28"/>
        <w:u w:val="none"/>
        <w:vertAlign w:val="baseline"/>
      </w:rPr>
    </w:lvl>
    <w:lvl w:ilvl="8">
      <w:start w:val="1"/>
      <w:numFmt w:val="bullet"/>
      <w:isLgl w:val="false"/>
      <w:suff w:val="tab"/>
      <w:lvlText w:val="▪"/>
      <w:lvlJc w:val="left"/>
      <w:pPr>
        <w:ind w:left="6828"/>
      </w:pPr>
      <w:rPr>
        <w:rFonts w:ascii="Segoe UI Symbol" w:hAnsi="Segoe UI Symbol" w:eastAsia="Segoe UI Symbol" w:cs="Segoe UI Symbol"/>
        <w:b w:val="0"/>
        <w:i w:val="0"/>
        <w:strike w:val="0"/>
        <w:color w:val="000000"/>
        <w:sz w:val="28"/>
        <w:szCs w:val="28"/>
        <w:u w:val="none"/>
        <w:vertAlign w:val="baseline"/>
      </w:rPr>
    </w:lvl>
  </w:abstractNum>
  <w:abstractNum w:abstractNumId="66">
    <w:multiLevelType w:val="hybridMultilevel"/>
    <w:lvl w:ilvl="0">
      <w:start w:val="1"/>
      <w:numFmt w:val="bullet"/>
      <w:isLgl w:val="false"/>
      <w:suff w:val="tab"/>
      <w:lvlText w:val=""/>
      <w:lvlJc w:val="left"/>
      <w:pPr>
        <w:ind w:left="1287" w:hanging="360"/>
      </w:pPr>
      <w:rPr>
        <w:rFonts w:hint="default" w:ascii="Symbol" w:hAnsi="Symbol"/>
      </w:rPr>
    </w:lvl>
    <w:lvl w:ilvl="1">
      <w:start w:val="1"/>
      <w:numFmt w:val="bullet"/>
      <w:isLgl w:val="false"/>
      <w:suff w:val="tab"/>
      <w:lvlText w:val="o"/>
      <w:lvlJc w:val="left"/>
      <w:pPr>
        <w:ind w:left="2007" w:hanging="360"/>
      </w:pPr>
      <w:rPr>
        <w:rFonts w:hint="default" w:ascii="Courier New" w:hAnsi="Courier New" w:cs="Courier New"/>
      </w:rPr>
    </w:lvl>
    <w:lvl w:ilvl="2">
      <w:start w:val="1"/>
      <w:numFmt w:val="bullet"/>
      <w:isLgl w:val="false"/>
      <w:suff w:val="tab"/>
      <w:lvlText w:val=""/>
      <w:lvlJc w:val="left"/>
      <w:pPr>
        <w:ind w:left="2727" w:hanging="360"/>
      </w:pPr>
      <w:rPr>
        <w:rFonts w:hint="default" w:ascii="Wingdings" w:hAnsi="Wingdings"/>
      </w:rPr>
    </w:lvl>
    <w:lvl w:ilvl="3">
      <w:start w:val="1"/>
      <w:numFmt w:val="bullet"/>
      <w:isLgl w:val="false"/>
      <w:suff w:val="tab"/>
      <w:lvlText w:val=""/>
      <w:lvlJc w:val="left"/>
      <w:pPr>
        <w:ind w:left="3447" w:hanging="360"/>
      </w:pPr>
      <w:rPr>
        <w:rFonts w:hint="default" w:ascii="Symbol" w:hAnsi="Symbol"/>
      </w:rPr>
    </w:lvl>
    <w:lvl w:ilvl="4">
      <w:start w:val="1"/>
      <w:numFmt w:val="bullet"/>
      <w:isLgl w:val="false"/>
      <w:suff w:val="tab"/>
      <w:lvlText w:val="o"/>
      <w:lvlJc w:val="left"/>
      <w:pPr>
        <w:ind w:left="4167" w:hanging="360"/>
      </w:pPr>
      <w:rPr>
        <w:rFonts w:hint="default" w:ascii="Courier New" w:hAnsi="Courier New" w:cs="Courier New"/>
      </w:rPr>
    </w:lvl>
    <w:lvl w:ilvl="5">
      <w:start w:val="1"/>
      <w:numFmt w:val="bullet"/>
      <w:isLgl w:val="false"/>
      <w:suff w:val="tab"/>
      <w:lvlText w:val=""/>
      <w:lvlJc w:val="left"/>
      <w:pPr>
        <w:ind w:left="4887" w:hanging="360"/>
      </w:pPr>
      <w:rPr>
        <w:rFonts w:hint="default" w:ascii="Wingdings" w:hAnsi="Wingdings"/>
      </w:rPr>
    </w:lvl>
    <w:lvl w:ilvl="6">
      <w:start w:val="1"/>
      <w:numFmt w:val="bullet"/>
      <w:isLgl w:val="false"/>
      <w:suff w:val="tab"/>
      <w:lvlText w:val=""/>
      <w:lvlJc w:val="left"/>
      <w:pPr>
        <w:ind w:left="5607" w:hanging="360"/>
      </w:pPr>
      <w:rPr>
        <w:rFonts w:hint="default" w:ascii="Symbol" w:hAnsi="Symbol"/>
      </w:rPr>
    </w:lvl>
    <w:lvl w:ilvl="7">
      <w:start w:val="1"/>
      <w:numFmt w:val="bullet"/>
      <w:isLgl w:val="false"/>
      <w:suff w:val="tab"/>
      <w:lvlText w:val="o"/>
      <w:lvlJc w:val="left"/>
      <w:pPr>
        <w:ind w:left="6327" w:hanging="360"/>
      </w:pPr>
      <w:rPr>
        <w:rFonts w:hint="default" w:ascii="Courier New" w:hAnsi="Courier New" w:cs="Courier New"/>
      </w:rPr>
    </w:lvl>
    <w:lvl w:ilvl="8">
      <w:start w:val="1"/>
      <w:numFmt w:val="bullet"/>
      <w:isLgl w:val="false"/>
      <w:suff w:val="tab"/>
      <w:lvlText w:val=""/>
      <w:lvlJc w:val="left"/>
      <w:pPr>
        <w:ind w:left="7047" w:hanging="360"/>
      </w:pPr>
      <w:rPr>
        <w:rFonts w:hint="default" w:ascii="Wingdings" w:hAnsi="Wingdings"/>
      </w:rPr>
    </w:lvl>
  </w:abstractNum>
  <w:abstractNum w:abstractNumId="67">
    <w:multiLevelType w:val="hybridMultilevel"/>
    <w:lvl w:ilvl="0">
      <w:start w:val="1"/>
      <w:numFmt w:val="bullet"/>
      <w:isLgl w:val="false"/>
      <w:suff w:val="tab"/>
      <w:lvlText w:val=""/>
      <w:lvlJc w:val="left"/>
      <w:pPr>
        <w:ind w:left="2126" w:hanging="360"/>
      </w:pPr>
      <w:rPr>
        <w:rFonts w:hint="default" w:ascii="Symbol" w:hAnsi="Symbol"/>
      </w:rPr>
    </w:lvl>
    <w:lvl w:ilvl="1">
      <w:start w:val="1"/>
      <w:numFmt w:val="bullet"/>
      <w:isLgl w:val="false"/>
      <w:suff w:val="tab"/>
      <w:lvlText w:val="o"/>
      <w:lvlJc w:val="left"/>
      <w:pPr>
        <w:ind w:left="2846" w:hanging="360"/>
      </w:pPr>
      <w:rPr>
        <w:rFonts w:hint="default" w:ascii="Courier New" w:hAnsi="Courier New" w:eastAsia="Courier New" w:cs="Courier New"/>
      </w:rPr>
    </w:lvl>
    <w:lvl w:ilvl="2">
      <w:start w:val="1"/>
      <w:numFmt w:val="bullet"/>
      <w:isLgl w:val="false"/>
      <w:suff w:val="tab"/>
      <w:lvlText w:val="§"/>
      <w:lvlJc w:val="left"/>
      <w:pPr>
        <w:ind w:left="3566" w:hanging="360"/>
      </w:pPr>
      <w:rPr>
        <w:rFonts w:hint="default" w:ascii="Wingdings" w:hAnsi="Wingdings" w:eastAsia="Wingdings" w:cs="Wingdings"/>
      </w:rPr>
    </w:lvl>
    <w:lvl w:ilvl="3">
      <w:start w:val="1"/>
      <w:numFmt w:val="bullet"/>
      <w:isLgl w:val="false"/>
      <w:suff w:val="tab"/>
      <w:lvlText w:val="·"/>
      <w:lvlJc w:val="left"/>
      <w:pPr>
        <w:ind w:left="4286" w:hanging="360"/>
      </w:pPr>
      <w:rPr>
        <w:rFonts w:hint="default" w:ascii="Symbol" w:hAnsi="Symbol" w:eastAsia="Symbol" w:cs="Symbol"/>
      </w:rPr>
    </w:lvl>
    <w:lvl w:ilvl="4">
      <w:start w:val="1"/>
      <w:numFmt w:val="bullet"/>
      <w:isLgl w:val="false"/>
      <w:suff w:val="tab"/>
      <w:lvlText w:val="o"/>
      <w:lvlJc w:val="left"/>
      <w:pPr>
        <w:ind w:left="5006" w:hanging="360"/>
      </w:pPr>
      <w:rPr>
        <w:rFonts w:hint="default" w:ascii="Courier New" w:hAnsi="Courier New" w:eastAsia="Courier New" w:cs="Courier New"/>
      </w:rPr>
    </w:lvl>
    <w:lvl w:ilvl="5">
      <w:start w:val="1"/>
      <w:numFmt w:val="bullet"/>
      <w:isLgl w:val="false"/>
      <w:suff w:val="tab"/>
      <w:lvlText w:val="§"/>
      <w:lvlJc w:val="left"/>
      <w:pPr>
        <w:ind w:left="5726" w:hanging="360"/>
      </w:pPr>
      <w:rPr>
        <w:rFonts w:hint="default" w:ascii="Wingdings" w:hAnsi="Wingdings" w:eastAsia="Wingdings" w:cs="Wingdings"/>
      </w:rPr>
    </w:lvl>
    <w:lvl w:ilvl="6">
      <w:start w:val="1"/>
      <w:numFmt w:val="bullet"/>
      <w:isLgl w:val="false"/>
      <w:suff w:val="tab"/>
      <w:lvlText w:val="·"/>
      <w:lvlJc w:val="left"/>
      <w:pPr>
        <w:ind w:left="6446" w:hanging="360"/>
      </w:pPr>
      <w:rPr>
        <w:rFonts w:hint="default" w:ascii="Symbol" w:hAnsi="Symbol" w:eastAsia="Symbol" w:cs="Symbol"/>
      </w:rPr>
    </w:lvl>
    <w:lvl w:ilvl="7">
      <w:start w:val="1"/>
      <w:numFmt w:val="bullet"/>
      <w:isLgl w:val="false"/>
      <w:suff w:val="tab"/>
      <w:lvlText w:val="o"/>
      <w:lvlJc w:val="left"/>
      <w:pPr>
        <w:ind w:left="7166" w:hanging="360"/>
      </w:pPr>
      <w:rPr>
        <w:rFonts w:hint="default" w:ascii="Courier New" w:hAnsi="Courier New" w:eastAsia="Courier New" w:cs="Courier New"/>
      </w:rPr>
    </w:lvl>
    <w:lvl w:ilvl="8">
      <w:start w:val="1"/>
      <w:numFmt w:val="bullet"/>
      <w:isLgl w:val="false"/>
      <w:suff w:val="tab"/>
      <w:lvlText w:val="§"/>
      <w:lvlJc w:val="left"/>
      <w:pPr>
        <w:ind w:left="7886" w:hanging="360"/>
      </w:pPr>
      <w:rPr>
        <w:rFonts w:hint="default" w:ascii="Wingdings" w:hAnsi="Wingdings" w:eastAsia="Wingdings" w:cs="Wingdings"/>
      </w:rPr>
    </w:lvl>
  </w:abstractNum>
  <w:abstractNum w:abstractNumId="68">
    <w:multiLevelType w:val="hybridMultilevel"/>
    <w:lvl w:ilvl="0">
      <w:start w:val="1"/>
      <w:numFmt w:val="bullet"/>
      <w:isLgl w:val="false"/>
      <w:suff w:val="tab"/>
      <w:lvlText w:val=""/>
      <w:lvlJc w:val="left"/>
      <w:pPr>
        <w:ind w:left="0"/>
      </w:pPr>
      <w:rPr>
        <w:rFonts w:hint="default" w:ascii="Symbol" w:hAnsi="Symbol"/>
        <w:b w:val="0"/>
        <w:i w:val="0"/>
        <w:strike w:val="0"/>
        <w:color w:val="000000"/>
        <w:sz w:val="28"/>
        <w:szCs w:val="28"/>
        <w:u w:val="none"/>
        <w:vertAlign w:val="baseline"/>
      </w:rPr>
    </w:lvl>
    <w:lvl w:ilvl="1">
      <w:start w:val="1"/>
      <w:numFmt w:val="bullet"/>
      <w:isLgl w:val="false"/>
      <w:suff w:val="tab"/>
      <w:lvlText w:val="o"/>
      <w:lvlJc w:val="left"/>
      <w:pPr>
        <w:ind w:left="1788"/>
      </w:pPr>
      <w:rPr>
        <w:rFonts w:ascii="Times New Roman" w:hAnsi="Times New Roman" w:eastAsia="Times New Roman" w:cs="Times New Roman"/>
        <w:b w:val="0"/>
        <w:i w:val="0"/>
        <w:strike w:val="0"/>
        <w:color w:val="000000"/>
        <w:sz w:val="28"/>
        <w:szCs w:val="28"/>
        <w:u w:val="none"/>
        <w:vertAlign w:val="baseline"/>
      </w:rPr>
    </w:lvl>
    <w:lvl w:ilvl="2">
      <w:start w:val="1"/>
      <w:numFmt w:val="bullet"/>
      <w:isLgl w:val="false"/>
      <w:suff w:val="tab"/>
      <w:lvlText w:val="▪"/>
      <w:lvlJc w:val="left"/>
      <w:pPr>
        <w:ind w:left="2508"/>
      </w:pPr>
      <w:rPr>
        <w:rFonts w:ascii="Times New Roman" w:hAnsi="Times New Roman" w:eastAsia="Times New Roman" w:cs="Times New Roman"/>
        <w:b w:val="0"/>
        <w:i w:val="0"/>
        <w:strike w:val="0"/>
        <w:color w:val="000000"/>
        <w:sz w:val="28"/>
        <w:szCs w:val="28"/>
        <w:u w:val="none"/>
        <w:vertAlign w:val="baseline"/>
      </w:rPr>
    </w:lvl>
    <w:lvl w:ilvl="3">
      <w:start w:val="1"/>
      <w:numFmt w:val="bullet"/>
      <w:isLgl w:val="false"/>
      <w:suff w:val="tab"/>
      <w:lvlText w:val="•"/>
      <w:lvlJc w:val="left"/>
      <w:pPr>
        <w:ind w:left="3228"/>
      </w:pPr>
      <w:rPr>
        <w:rFonts w:ascii="Times New Roman" w:hAnsi="Times New Roman" w:eastAsia="Times New Roman" w:cs="Times New Roman"/>
        <w:b w:val="0"/>
        <w:i w:val="0"/>
        <w:strike w:val="0"/>
        <w:color w:val="000000"/>
        <w:sz w:val="28"/>
        <w:szCs w:val="28"/>
        <w:u w:val="none"/>
        <w:vertAlign w:val="baseline"/>
      </w:rPr>
    </w:lvl>
    <w:lvl w:ilvl="4">
      <w:start w:val="1"/>
      <w:numFmt w:val="bullet"/>
      <w:isLgl w:val="false"/>
      <w:suff w:val="tab"/>
      <w:lvlText w:val="o"/>
      <w:lvlJc w:val="left"/>
      <w:pPr>
        <w:ind w:left="3948"/>
      </w:pPr>
      <w:rPr>
        <w:rFonts w:ascii="Times New Roman" w:hAnsi="Times New Roman" w:eastAsia="Times New Roman" w:cs="Times New Roman"/>
        <w:b w:val="0"/>
        <w:i w:val="0"/>
        <w:strike w:val="0"/>
        <w:color w:val="000000"/>
        <w:sz w:val="28"/>
        <w:szCs w:val="28"/>
        <w:u w:val="none"/>
        <w:vertAlign w:val="baseline"/>
      </w:rPr>
    </w:lvl>
    <w:lvl w:ilvl="5">
      <w:start w:val="1"/>
      <w:numFmt w:val="bullet"/>
      <w:isLgl w:val="false"/>
      <w:suff w:val="tab"/>
      <w:lvlText w:val="▪"/>
      <w:lvlJc w:val="left"/>
      <w:pPr>
        <w:ind w:left="4668"/>
      </w:pPr>
      <w:rPr>
        <w:rFonts w:ascii="Times New Roman" w:hAnsi="Times New Roman" w:eastAsia="Times New Roman" w:cs="Times New Roman"/>
        <w:b w:val="0"/>
        <w:i w:val="0"/>
        <w:strike w:val="0"/>
        <w:color w:val="000000"/>
        <w:sz w:val="28"/>
        <w:szCs w:val="28"/>
        <w:u w:val="none"/>
        <w:vertAlign w:val="baseline"/>
      </w:rPr>
    </w:lvl>
    <w:lvl w:ilvl="6">
      <w:start w:val="1"/>
      <w:numFmt w:val="bullet"/>
      <w:isLgl w:val="false"/>
      <w:suff w:val="tab"/>
      <w:lvlText w:val="•"/>
      <w:lvlJc w:val="left"/>
      <w:pPr>
        <w:ind w:left="5388"/>
      </w:pPr>
      <w:rPr>
        <w:rFonts w:ascii="Times New Roman" w:hAnsi="Times New Roman" w:eastAsia="Times New Roman" w:cs="Times New Roman"/>
        <w:b w:val="0"/>
        <w:i w:val="0"/>
        <w:strike w:val="0"/>
        <w:color w:val="000000"/>
        <w:sz w:val="28"/>
        <w:szCs w:val="28"/>
        <w:u w:val="none"/>
        <w:vertAlign w:val="baseline"/>
      </w:rPr>
    </w:lvl>
    <w:lvl w:ilvl="7">
      <w:start w:val="1"/>
      <w:numFmt w:val="bullet"/>
      <w:isLgl w:val="false"/>
      <w:suff w:val="tab"/>
      <w:lvlText w:val="o"/>
      <w:lvlJc w:val="left"/>
      <w:pPr>
        <w:ind w:left="6108"/>
      </w:pPr>
      <w:rPr>
        <w:rFonts w:ascii="Times New Roman" w:hAnsi="Times New Roman" w:eastAsia="Times New Roman" w:cs="Times New Roman"/>
        <w:b w:val="0"/>
        <w:i w:val="0"/>
        <w:strike w:val="0"/>
        <w:color w:val="000000"/>
        <w:sz w:val="28"/>
        <w:szCs w:val="28"/>
        <w:u w:val="none"/>
        <w:vertAlign w:val="baseline"/>
      </w:rPr>
    </w:lvl>
    <w:lvl w:ilvl="8">
      <w:start w:val="1"/>
      <w:numFmt w:val="bullet"/>
      <w:isLgl w:val="false"/>
      <w:suff w:val="tab"/>
      <w:lvlText w:val="▪"/>
      <w:lvlJc w:val="left"/>
      <w:pPr>
        <w:ind w:left="6828"/>
      </w:pPr>
      <w:rPr>
        <w:rFonts w:ascii="Times New Roman" w:hAnsi="Times New Roman" w:eastAsia="Times New Roman" w:cs="Times New Roman"/>
        <w:b w:val="0"/>
        <w:i w:val="0"/>
        <w:strike w:val="0"/>
        <w:color w:val="000000"/>
        <w:sz w:val="28"/>
        <w:szCs w:val="28"/>
        <w:u w:val="none"/>
        <w:vertAlign w:val="baseline"/>
      </w:rPr>
    </w:lvl>
  </w:abstractNum>
  <w:abstractNum w:abstractNumId="69">
    <w:multiLevelType w:val="hybridMultilevel"/>
    <w:lvl w:ilvl="0">
      <w:start w:val="1"/>
      <w:numFmt w:val="bullet"/>
      <w:isLgl w:val="false"/>
      <w:suff w:val="tab"/>
      <w:lvlText w:val=""/>
      <w:lvlJc w:val="left"/>
      <w:pPr>
        <w:ind w:left="1287" w:hanging="360"/>
      </w:pPr>
      <w:rPr>
        <w:rFonts w:hint="default" w:ascii="Symbol" w:hAnsi="Symbol"/>
      </w:rPr>
    </w:lvl>
    <w:lvl w:ilvl="1">
      <w:start w:val="1"/>
      <w:numFmt w:val="bullet"/>
      <w:isLgl w:val="false"/>
      <w:suff w:val="tab"/>
      <w:lvlText w:val="o"/>
      <w:lvlJc w:val="left"/>
      <w:pPr>
        <w:ind w:left="2007" w:hanging="360"/>
      </w:pPr>
      <w:rPr>
        <w:rFonts w:hint="default" w:ascii="Courier New" w:hAnsi="Courier New" w:cs="Courier New"/>
      </w:rPr>
    </w:lvl>
    <w:lvl w:ilvl="2">
      <w:start w:val="1"/>
      <w:numFmt w:val="bullet"/>
      <w:isLgl w:val="false"/>
      <w:suff w:val="tab"/>
      <w:lvlText w:val=""/>
      <w:lvlJc w:val="left"/>
      <w:pPr>
        <w:ind w:left="2727" w:hanging="360"/>
      </w:pPr>
      <w:rPr>
        <w:rFonts w:hint="default" w:ascii="Wingdings" w:hAnsi="Wingdings"/>
      </w:rPr>
    </w:lvl>
    <w:lvl w:ilvl="3">
      <w:start w:val="1"/>
      <w:numFmt w:val="bullet"/>
      <w:isLgl w:val="false"/>
      <w:suff w:val="tab"/>
      <w:lvlText w:val=""/>
      <w:lvlJc w:val="left"/>
      <w:pPr>
        <w:ind w:left="3447" w:hanging="360"/>
      </w:pPr>
      <w:rPr>
        <w:rFonts w:hint="default" w:ascii="Symbol" w:hAnsi="Symbol"/>
      </w:rPr>
    </w:lvl>
    <w:lvl w:ilvl="4">
      <w:start w:val="1"/>
      <w:numFmt w:val="bullet"/>
      <w:isLgl w:val="false"/>
      <w:suff w:val="tab"/>
      <w:lvlText w:val="o"/>
      <w:lvlJc w:val="left"/>
      <w:pPr>
        <w:ind w:left="4167" w:hanging="360"/>
      </w:pPr>
      <w:rPr>
        <w:rFonts w:hint="default" w:ascii="Courier New" w:hAnsi="Courier New" w:cs="Courier New"/>
      </w:rPr>
    </w:lvl>
    <w:lvl w:ilvl="5">
      <w:start w:val="1"/>
      <w:numFmt w:val="bullet"/>
      <w:isLgl w:val="false"/>
      <w:suff w:val="tab"/>
      <w:lvlText w:val=""/>
      <w:lvlJc w:val="left"/>
      <w:pPr>
        <w:ind w:left="4887" w:hanging="360"/>
      </w:pPr>
      <w:rPr>
        <w:rFonts w:hint="default" w:ascii="Wingdings" w:hAnsi="Wingdings"/>
      </w:rPr>
    </w:lvl>
    <w:lvl w:ilvl="6">
      <w:start w:val="1"/>
      <w:numFmt w:val="bullet"/>
      <w:isLgl w:val="false"/>
      <w:suff w:val="tab"/>
      <w:lvlText w:val=""/>
      <w:lvlJc w:val="left"/>
      <w:pPr>
        <w:ind w:left="5607" w:hanging="360"/>
      </w:pPr>
      <w:rPr>
        <w:rFonts w:hint="default" w:ascii="Symbol" w:hAnsi="Symbol"/>
      </w:rPr>
    </w:lvl>
    <w:lvl w:ilvl="7">
      <w:start w:val="1"/>
      <w:numFmt w:val="bullet"/>
      <w:isLgl w:val="false"/>
      <w:suff w:val="tab"/>
      <w:lvlText w:val="o"/>
      <w:lvlJc w:val="left"/>
      <w:pPr>
        <w:ind w:left="6327" w:hanging="360"/>
      </w:pPr>
      <w:rPr>
        <w:rFonts w:hint="default" w:ascii="Courier New" w:hAnsi="Courier New" w:cs="Courier New"/>
      </w:rPr>
    </w:lvl>
    <w:lvl w:ilvl="8">
      <w:start w:val="1"/>
      <w:numFmt w:val="bullet"/>
      <w:isLgl w:val="false"/>
      <w:suff w:val="tab"/>
      <w:lvlText w:val=""/>
      <w:lvlJc w:val="left"/>
      <w:pPr>
        <w:ind w:left="7047" w:hanging="360"/>
      </w:pPr>
      <w:rPr>
        <w:rFonts w:hint="default" w:ascii="Wingdings" w:hAnsi="Wingdings"/>
      </w:rPr>
    </w:lvl>
  </w:abstractNum>
  <w:abstractNum w:abstractNumId="70">
    <w:multiLevelType w:val="hybridMultilevel"/>
    <w:lvl w:ilvl="0">
      <w:start w:val="1"/>
      <w:numFmt w:val="bullet"/>
      <w:isLgl w:val="false"/>
      <w:suff w:val="tab"/>
      <w:lvlText w:val=""/>
      <w:lvlJc w:val="left"/>
      <w:pPr>
        <w:ind w:left="1428" w:hanging="360"/>
      </w:pPr>
      <w:rPr>
        <w:rFonts w:hint="default" w:ascii="Symbol" w:hAnsi="Symbol"/>
      </w:rPr>
    </w:lvl>
    <w:lvl w:ilvl="1">
      <w:start w:val="1"/>
      <w:numFmt w:val="bullet"/>
      <w:isLgl w:val="false"/>
      <w:suff w:val="tab"/>
      <w:lvlText w:val="o"/>
      <w:lvlJc w:val="left"/>
      <w:pPr>
        <w:ind w:left="2148" w:hanging="360"/>
      </w:pPr>
      <w:rPr>
        <w:rFonts w:hint="default" w:ascii="Courier New" w:hAnsi="Courier New" w:cs="Courier New"/>
      </w:rPr>
    </w:lvl>
    <w:lvl w:ilvl="2">
      <w:start w:val="1"/>
      <w:numFmt w:val="bullet"/>
      <w:isLgl w:val="false"/>
      <w:suff w:val="tab"/>
      <w:lvlText w:val=""/>
      <w:lvlJc w:val="left"/>
      <w:pPr>
        <w:ind w:left="2868" w:hanging="360"/>
      </w:pPr>
      <w:rPr>
        <w:rFonts w:hint="default" w:ascii="Wingdings" w:hAnsi="Wingdings"/>
      </w:rPr>
    </w:lvl>
    <w:lvl w:ilvl="3">
      <w:start w:val="1"/>
      <w:numFmt w:val="bullet"/>
      <w:isLgl w:val="false"/>
      <w:suff w:val="tab"/>
      <w:lvlText w:val=""/>
      <w:lvlJc w:val="left"/>
      <w:pPr>
        <w:ind w:left="3588" w:hanging="360"/>
      </w:pPr>
      <w:rPr>
        <w:rFonts w:hint="default" w:ascii="Symbol" w:hAnsi="Symbol"/>
      </w:rPr>
    </w:lvl>
    <w:lvl w:ilvl="4">
      <w:start w:val="1"/>
      <w:numFmt w:val="bullet"/>
      <w:isLgl w:val="false"/>
      <w:suff w:val="tab"/>
      <w:lvlText w:val="o"/>
      <w:lvlJc w:val="left"/>
      <w:pPr>
        <w:ind w:left="4308" w:hanging="360"/>
      </w:pPr>
      <w:rPr>
        <w:rFonts w:hint="default" w:ascii="Courier New" w:hAnsi="Courier New" w:cs="Courier New"/>
      </w:rPr>
    </w:lvl>
    <w:lvl w:ilvl="5">
      <w:start w:val="1"/>
      <w:numFmt w:val="bullet"/>
      <w:isLgl w:val="false"/>
      <w:suff w:val="tab"/>
      <w:lvlText w:val=""/>
      <w:lvlJc w:val="left"/>
      <w:pPr>
        <w:ind w:left="5028" w:hanging="360"/>
      </w:pPr>
      <w:rPr>
        <w:rFonts w:hint="default" w:ascii="Wingdings" w:hAnsi="Wingdings"/>
      </w:rPr>
    </w:lvl>
    <w:lvl w:ilvl="6">
      <w:start w:val="1"/>
      <w:numFmt w:val="bullet"/>
      <w:isLgl w:val="false"/>
      <w:suff w:val="tab"/>
      <w:lvlText w:val=""/>
      <w:lvlJc w:val="left"/>
      <w:pPr>
        <w:ind w:left="5748" w:hanging="360"/>
      </w:pPr>
      <w:rPr>
        <w:rFonts w:hint="default" w:ascii="Symbol" w:hAnsi="Symbol"/>
      </w:rPr>
    </w:lvl>
    <w:lvl w:ilvl="7">
      <w:start w:val="1"/>
      <w:numFmt w:val="bullet"/>
      <w:isLgl w:val="false"/>
      <w:suff w:val="tab"/>
      <w:lvlText w:val="o"/>
      <w:lvlJc w:val="left"/>
      <w:pPr>
        <w:ind w:left="6468" w:hanging="360"/>
      </w:pPr>
      <w:rPr>
        <w:rFonts w:hint="default" w:ascii="Courier New" w:hAnsi="Courier New" w:cs="Courier New"/>
      </w:rPr>
    </w:lvl>
    <w:lvl w:ilvl="8">
      <w:start w:val="1"/>
      <w:numFmt w:val="bullet"/>
      <w:isLgl w:val="false"/>
      <w:suff w:val="tab"/>
      <w:lvlText w:val=""/>
      <w:lvlJc w:val="left"/>
      <w:pPr>
        <w:ind w:left="7188" w:hanging="360"/>
      </w:pPr>
      <w:rPr>
        <w:rFonts w:hint="default" w:ascii="Wingdings" w:hAnsi="Wingdings"/>
      </w:rPr>
    </w:lvl>
  </w:abstractNum>
  <w:abstractNum w:abstractNumId="71">
    <w:multiLevelType w:val="hybridMultilevel"/>
    <w:lvl w:ilvl="0">
      <w:start w:val="1"/>
      <w:numFmt w:val="bullet"/>
      <w:isLgl w:val="false"/>
      <w:suff w:val="tab"/>
      <w:lvlText w:val=""/>
      <w:lvlJc w:val="left"/>
      <w:pPr>
        <w:ind w:left="0"/>
      </w:pPr>
      <w:rPr>
        <w:rFonts w:hint="default" w:ascii="Symbol" w:hAnsi="Symbol"/>
        <w:b w:val="0"/>
        <w:i w:val="0"/>
        <w:strike w:val="0"/>
        <w:color w:val="000000"/>
        <w:sz w:val="28"/>
        <w:szCs w:val="28"/>
        <w:u w:val="none"/>
        <w:vertAlign w:val="baseline"/>
      </w:rPr>
    </w:lvl>
    <w:lvl w:ilvl="1">
      <w:start w:val="1"/>
      <w:numFmt w:val="bullet"/>
      <w:isLgl w:val="false"/>
      <w:suff w:val="tab"/>
      <w:lvlText w:val="o"/>
      <w:lvlJc w:val="left"/>
      <w:pPr>
        <w:ind w:left="1788"/>
      </w:pPr>
      <w:rPr>
        <w:rFonts w:ascii="Times New Roman" w:hAnsi="Times New Roman" w:eastAsia="Times New Roman" w:cs="Times New Roman"/>
        <w:b w:val="0"/>
        <w:i w:val="0"/>
        <w:strike w:val="0"/>
        <w:color w:val="000000"/>
        <w:sz w:val="28"/>
        <w:szCs w:val="28"/>
        <w:u w:val="none"/>
        <w:vertAlign w:val="baseline"/>
      </w:rPr>
    </w:lvl>
    <w:lvl w:ilvl="2">
      <w:start w:val="1"/>
      <w:numFmt w:val="bullet"/>
      <w:isLgl w:val="false"/>
      <w:suff w:val="tab"/>
      <w:lvlText w:val="▪"/>
      <w:lvlJc w:val="left"/>
      <w:pPr>
        <w:ind w:left="2508"/>
      </w:pPr>
      <w:rPr>
        <w:rFonts w:ascii="Times New Roman" w:hAnsi="Times New Roman" w:eastAsia="Times New Roman" w:cs="Times New Roman"/>
        <w:b w:val="0"/>
        <w:i w:val="0"/>
        <w:strike w:val="0"/>
        <w:color w:val="000000"/>
        <w:sz w:val="28"/>
        <w:szCs w:val="28"/>
        <w:u w:val="none"/>
        <w:vertAlign w:val="baseline"/>
      </w:rPr>
    </w:lvl>
    <w:lvl w:ilvl="3">
      <w:start w:val="1"/>
      <w:numFmt w:val="bullet"/>
      <w:isLgl w:val="false"/>
      <w:suff w:val="tab"/>
      <w:lvlText w:val="•"/>
      <w:lvlJc w:val="left"/>
      <w:pPr>
        <w:ind w:left="3228"/>
      </w:pPr>
      <w:rPr>
        <w:rFonts w:ascii="Times New Roman" w:hAnsi="Times New Roman" w:eastAsia="Times New Roman" w:cs="Times New Roman"/>
        <w:b w:val="0"/>
        <w:i w:val="0"/>
        <w:strike w:val="0"/>
        <w:color w:val="000000"/>
        <w:sz w:val="28"/>
        <w:szCs w:val="28"/>
        <w:u w:val="none"/>
        <w:vertAlign w:val="baseline"/>
      </w:rPr>
    </w:lvl>
    <w:lvl w:ilvl="4">
      <w:start w:val="1"/>
      <w:numFmt w:val="bullet"/>
      <w:isLgl w:val="false"/>
      <w:suff w:val="tab"/>
      <w:lvlText w:val="o"/>
      <w:lvlJc w:val="left"/>
      <w:pPr>
        <w:ind w:left="3948"/>
      </w:pPr>
      <w:rPr>
        <w:rFonts w:ascii="Times New Roman" w:hAnsi="Times New Roman" w:eastAsia="Times New Roman" w:cs="Times New Roman"/>
        <w:b w:val="0"/>
        <w:i w:val="0"/>
        <w:strike w:val="0"/>
        <w:color w:val="000000"/>
        <w:sz w:val="28"/>
        <w:szCs w:val="28"/>
        <w:u w:val="none"/>
        <w:vertAlign w:val="baseline"/>
      </w:rPr>
    </w:lvl>
    <w:lvl w:ilvl="5">
      <w:start w:val="1"/>
      <w:numFmt w:val="bullet"/>
      <w:isLgl w:val="false"/>
      <w:suff w:val="tab"/>
      <w:lvlText w:val="▪"/>
      <w:lvlJc w:val="left"/>
      <w:pPr>
        <w:ind w:left="4668"/>
      </w:pPr>
      <w:rPr>
        <w:rFonts w:ascii="Times New Roman" w:hAnsi="Times New Roman" w:eastAsia="Times New Roman" w:cs="Times New Roman"/>
        <w:b w:val="0"/>
        <w:i w:val="0"/>
        <w:strike w:val="0"/>
        <w:color w:val="000000"/>
        <w:sz w:val="28"/>
        <w:szCs w:val="28"/>
        <w:u w:val="none"/>
        <w:vertAlign w:val="baseline"/>
      </w:rPr>
    </w:lvl>
    <w:lvl w:ilvl="6">
      <w:start w:val="1"/>
      <w:numFmt w:val="bullet"/>
      <w:isLgl w:val="false"/>
      <w:suff w:val="tab"/>
      <w:lvlText w:val="•"/>
      <w:lvlJc w:val="left"/>
      <w:pPr>
        <w:ind w:left="5388"/>
      </w:pPr>
      <w:rPr>
        <w:rFonts w:ascii="Times New Roman" w:hAnsi="Times New Roman" w:eastAsia="Times New Roman" w:cs="Times New Roman"/>
        <w:b w:val="0"/>
        <w:i w:val="0"/>
        <w:strike w:val="0"/>
        <w:color w:val="000000"/>
        <w:sz w:val="28"/>
        <w:szCs w:val="28"/>
        <w:u w:val="none"/>
        <w:vertAlign w:val="baseline"/>
      </w:rPr>
    </w:lvl>
    <w:lvl w:ilvl="7">
      <w:start w:val="1"/>
      <w:numFmt w:val="bullet"/>
      <w:isLgl w:val="false"/>
      <w:suff w:val="tab"/>
      <w:lvlText w:val="o"/>
      <w:lvlJc w:val="left"/>
      <w:pPr>
        <w:ind w:left="6108"/>
      </w:pPr>
      <w:rPr>
        <w:rFonts w:ascii="Times New Roman" w:hAnsi="Times New Roman" w:eastAsia="Times New Roman" w:cs="Times New Roman"/>
        <w:b w:val="0"/>
        <w:i w:val="0"/>
        <w:strike w:val="0"/>
        <w:color w:val="000000"/>
        <w:sz w:val="28"/>
        <w:szCs w:val="28"/>
        <w:u w:val="none"/>
        <w:vertAlign w:val="baseline"/>
      </w:rPr>
    </w:lvl>
    <w:lvl w:ilvl="8">
      <w:start w:val="1"/>
      <w:numFmt w:val="bullet"/>
      <w:isLgl w:val="false"/>
      <w:suff w:val="tab"/>
      <w:lvlText w:val="▪"/>
      <w:lvlJc w:val="left"/>
      <w:pPr>
        <w:ind w:left="6828"/>
      </w:pPr>
      <w:rPr>
        <w:rFonts w:ascii="Times New Roman" w:hAnsi="Times New Roman" w:eastAsia="Times New Roman" w:cs="Times New Roman"/>
        <w:b w:val="0"/>
        <w:i w:val="0"/>
        <w:strike w:val="0"/>
        <w:color w:val="000000"/>
        <w:sz w:val="28"/>
        <w:szCs w:val="28"/>
        <w:u w:val="none"/>
        <w:vertAlign w:val="baseline"/>
      </w:rPr>
    </w:lvl>
  </w:abstractNum>
  <w:abstractNum w:abstractNumId="72">
    <w:multiLevelType w:val="hybridMultilevel"/>
    <w:lvl w:ilvl="0">
      <w:start w:val="1"/>
      <w:numFmt w:val="bullet"/>
      <w:isLgl w:val="false"/>
      <w:suff w:val="tab"/>
      <w:lvlText w:val=""/>
      <w:lvlJc w:val="left"/>
      <w:pPr>
        <w:ind w:left="1287" w:hanging="360"/>
      </w:pPr>
      <w:rPr>
        <w:rFonts w:hint="default" w:ascii="Symbol" w:hAnsi="Symbol"/>
      </w:rPr>
    </w:lvl>
    <w:lvl w:ilvl="1">
      <w:start w:val="1"/>
      <w:numFmt w:val="bullet"/>
      <w:isLgl w:val="false"/>
      <w:suff w:val="tab"/>
      <w:lvlText w:val="o"/>
      <w:lvlJc w:val="left"/>
      <w:pPr>
        <w:ind w:left="2007" w:hanging="360"/>
      </w:pPr>
      <w:rPr>
        <w:rFonts w:hint="default" w:ascii="Courier New" w:hAnsi="Courier New" w:cs="Courier New"/>
      </w:rPr>
    </w:lvl>
    <w:lvl w:ilvl="2">
      <w:start w:val="1"/>
      <w:numFmt w:val="bullet"/>
      <w:isLgl w:val="false"/>
      <w:suff w:val="tab"/>
      <w:lvlText w:val=""/>
      <w:lvlJc w:val="left"/>
      <w:pPr>
        <w:ind w:left="2727" w:hanging="360"/>
      </w:pPr>
      <w:rPr>
        <w:rFonts w:hint="default" w:ascii="Wingdings" w:hAnsi="Wingdings"/>
      </w:rPr>
    </w:lvl>
    <w:lvl w:ilvl="3">
      <w:start w:val="1"/>
      <w:numFmt w:val="bullet"/>
      <w:isLgl w:val="false"/>
      <w:suff w:val="tab"/>
      <w:lvlText w:val=""/>
      <w:lvlJc w:val="left"/>
      <w:pPr>
        <w:ind w:left="3447" w:hanging="360"/>
      </w:pPr>
      <w:rPr>
        <w:rFonts w:hint="default" w:ascii="Symbol" w:hAnsi="Symbol"/>
      </w:rPr>
    </w:lvl>
    <w:lvl w:ilvl="4">
      <w:start w:val="1"/>
      <w:numFmt w:val="bullet"/>
      <w:isLgl w:val="false"/>
      <w:suff w:val="tab"/>
      <w:lvlText w:val="o"/>
      <w:lvlJc w:val="left"/>
      <w:pPr>
        <w:ind w:left="4167" w:hanging="360"/>
      </w:pPr>
      <w:rPr>
        <w:rFonts w:hint="default" w:ascii="Courier New" w:hAnsi="Courier New" w:cs="Courier New"/>
      </w:rPr>
    </w:lvl>
    <w:lvl w:ilvl="5">
      <w:start w:val="1"/>
      <w:numFmt w:val="bullet"/>
      <w:isLgl w:val="false"/>
      <w:suff w:val="tab"/>
      <w:lvlText w:val=""/>
      <w:lvlJc w:val="left"/>
      <w:pPr>
        <w:ind w:left="4887" w:hanging="360"/>
      </w:pPr>
      <w:rPr>
        <w:rFonts w:hint="default" w:ascii="Wingdings" w:hAnsi="Wingdings"/>
      </w:rPr>
    </w:lvl>
    <w:lvl w:ilvl="6">
      <w:start w:val="1"/>
      <w:numFmt w:val="bullet"/>
      <w:isLgl w:val="false"/>
      <w:suff w:val="tab"/>
      <w:lvlText w:val=""/>
      <w:lvlJc w:val="left"/>
      <w:pPr>
        <w:ind w:left="5607" w:hanging="360"/>
      </w:pPr>
      <w:rPr>
        <w:rFonts w:hint="default" w:ascii="Symbol" w:hAnsi="Symbol"/>
      </w:rPr>
    </w:lvl>
    <w:lvl w:ilvl="7">
      <w:start w:val="1"/>
      <w:numFmt w:val="bullet"/>
      <w:isLgl w:val="false"/>
      <w:suff w:val="tab"/>
      <w:lvlText w:val="o"/>
      <w:lvlJc w:val="left"/>
      <w:pPr>
        <w:ind w:left="6327" w:hanging="360"/>
      </w:pPr>
      <w:rPr>
        <w:rFonts w:hint="default" w:ascii="Courier New" w:hAnsi="Courier New" w:cs="Courier New"/>
      </w:rPr>
    </w:lvl>
    <w:lvl w:ilvl="8">
      <w:start w:val="1"/>
      <w:numFmt w:val="bullet"/>
      <w:isLgl w:val="false"/>
      <w:suff w:val="tab"/>
      <w:lvlText w:val=""/>
      <w:lvlJc w:val="left"/>
      <w:pPr>
        <w:ind w:left="7047" w:hanging="360"/>
      </w:pPr>
      <w:rPr>
        <w:rFonts w:hint="default" w:ascii="Wingdings" w:hAnsi="Wingdings"/>
      </w:rPr>
    </w:lvl>
  </w:abstractNum>
  <w:abstractNum w:abstractNumId="73">
    <w:multiLevelType w:val="hybridMultilevel"/>
    <w:lvl w:ilvl="0">
      <w:start w:val="1"/>
      <w:numFmt w:val="bullet"/>
      <w:isLgl w:val="false"/>
      <w:suff w:val="tab"/>
      <w:lvlText w:val=""/>
      <w:lvlJc w:val="left"/>
      <w:pPr>
        <w:ind w:left="1287" w:hanging="360"/>
      </w:pPr>
      <w:rPr>
        <w:rFonts w:ascii="Symbol" w:hAnsi="Symbol"/>
      </w:rPr>
    </w:lvl>
    <w:lvl w:ilvl="1">
      <w:start w:val="1"/>
      <w:numFmt w:val="bullet"/>
      <w:isLgl w:val="false"/>
      <w:suff w:val="tab"/>
      <w:lvlText w:val="o"/>
      <w:lvlJc w:val="left"/>
      <w:pPr>
        <w:ind w:left="2007" w:hanging="360"/>
      </w:pPr>
      <w:rPr>
        <w:rFonts w:hint="default" w:ascii="Courier New" w:hAnsi="Courier New" w:cs="Courier New"/>
      </w:rPr>
    </w:lvl>
    <w:lvl w:ilvl="2">
      <w:start w:val="1"/>
      <w:numFmt w:val="bullet"/>
      <w:isLgl w:val="false"/>
      <w:suff w:val="tab"/>
      <w:lvlText w:val=""/>
      <w:lvlJc w:val="left"/>
      <w:pPr>
        <w:ind w:left="2727" w:hanging="360"/>
      </w:pPr>
      <w:rPr>
        <w:rFonts w:hint="default" w:ascii="Wingdings" w:hAnsi="Wingdings"/>
      </w:rPr>
    </w:lvl>
    <w:lvl w:ilvl="3">
      <w:start w:val="1"/>
      <w:numFmt w:val="bullet"/>
      <w:isLgl w:val="false"/>
      <w:suff w:val="tab"/>
      <w:lvlText w:val=""/>
      <w:lvlJc w:val="left"/>
      <w:pPr>
        <w:ind w:left="3447" w:hanging="360"/>
      </w:pPr>
      <w:rPr>
        <w:rFonts w:hint="default" w:ascii="Symbol" w:hAnsi="Symbol"/>
      </w:rPr>
    </w:lvl>
    <w:lvl w:ilvl="4">
      <w:start w:val="1"/>
      <w:numFmt w:val="bullet"/>
      <w:isLgl w:val="false"/>
      <w:suff w:val="tab"/>
      <w:lvlText w:val="o"/>
      <w:lvlJc w:val="left"/>
      <w:pPr>
        <w:ind w:left="4167" w:hanging="360"/>
      </w:pPr>
      <w:rPr>
        <w:rFonts w:hint="default" w:ascii="Courier New" w:hAnsi="Courier New" w:cs="Courier New"/>
      </w:rPr>
    </w:lvl>
    <w:lvl w:ilvl="5">
      <w:start w:val="1"/>
      <w:numFmt w:val="bullet"/>
      <w:isLgl w:val="false"/>
      <w:suff w:val="tab"/>
      <w:lvlText w:val=""/>
      <w:lvlJc w:val="left"/>
      <w:pPr>
        <w:ind w:left="4887" w:hanging="360"/>
      </w:pPr>
      <w:rPr>
        <w:rFonts w:hint="default" w:ascii="Wingdings" w:hAnsi="Wingdings"/>
      </w:rPr>
    </w:lvl>
    <w:lvl w:ilvl="6">
      <w:start w:val="1"/>
      <w:numFmt w:val="bullet"/>
      <w:isLgl w:val="false"/>
      <w:suff w:val="tab"/>
      <w:lvlText w:val=""/>
      <w:lvlJc w:val="left"/>
      <w:pPr>
        <w:ind w:left="5607" w:hanging="360"/>
      </w:pPr>
      <w:rPr>
        <w:rFonts w:hint="default" w:ascii="Symbol" w:hAnsi="Symbol"/>
      </w:rPr>
    </w:lvl>
    <w:lvl w:ilvl="7">
      <w:start w:val="1"/>
      <w:numFmt w:val="bullet"/>
      <w:isLgl w:val="false"/>
      <w:suff w:val="tab"/>
      <w:lvlText w:val="o"/>
      <w:lvlJc w:val="left"/>
      <w:pPr>
        <w:ind w:left="6327" w:hanging="360"/>
      </w:pPr>
      <w:rPr>
        <w:rFonts w:hint="default" w:ascii="Courier New" w:hAnsi="Courier New" w:cs="Courier New"/>
      </w:rPr>
    </w:lvl>
    <w:lvl w:ilvl="8">
      <w:start w:val="1"/>
      <w:numFmt w:val="bullet"/>
      <w:isLgl w:val="false"/>
      <w:suff w:val="tab"/>
      <w:lvlText w:val=""/>
      <w:lvlJc w:val="left"/>
      <w:pPr>
        <w:ind w:left="7047" w:hanging="360"/>
      </w:pPr>
      <w:rPr>
        <w:rFonts w:hint="default" w:ascii="Wingdings" w:hAnsi="Wingdings"/>
      </w:rPr>
    </w:lvl>
  </w:abstractNum>
  <w:abstractNum w:abstractNumId="74">
    <w:multiLevelType w:val="hybridMultilevel"/>
    <w:lvl w:ilvl="0">
      <w:start w:val="1"/>
      <w:numFmt w:val="bullet"/>
      <w:isLgl w:val="false"/>
      <w:suff w:val="tab"/>
      <w:lvlText w:val=""/>
      <w:lvlJc w:val="left"/>
      <w:pPr>
        <w:ind w:left="720" w:hanging="360"/>
      </w:pPr>
      <w:rPr>
        <w:rFonts w:ascii="Symbol" w:hAnsi="Symbol"/>
      </w:rPr>
    </w:lvl>
    <w:lvl w:ilvl="1">
      <w:start w:val="1"/>
      <w:numFmt w:val="bullet"/>
      <w:isLgl w:val="false"/>
      <w:suff w:val="tab"/>
      <w:lvlText w:val="o"/>
      <w:lvlJc w:val="left"/>
      <w:pPr>
        <w:ind w:left="1440" w:hanging="360"/>
      </w:pPr>
      <w:rPr>
        <w:rFonts w:hint="default" w:ascii="Courier New" w:hAnsi="Courier New" w:cs="Courier New"/>
      </w:rPr>
    </w:lvl>
    <w:lvl w:ilvl="2">
      <w:start w:val="1"/>
      <w:numFmt w:val="bullet"/>
      <w:isLgl w:val="false"/>
      <w:suff w:val="tab"/>
      <w:lvlText w:val=""/>
      <w:lvlJc w:val="left"/>
      <w:pPr>
        <w:ind w:left="2160" w:hanging="360"/>
      </w:pPr>
      <w:rPr>
        <w:rFonts w:hint="default" w:ascii="Wingdings" w:hAnsi="Wingdings"/>
      </w:rPr>
    </w:lvl>
    <w:lvl w:ilvl="3">
      <w:start w:val="1"/>
      <w:numFmt w:val="bullet"/>
      <w:isLgl w:val="false"/>
      <w:suff w:val="tab"/>
      <w:lvlText w:val=""/>
      <w:lvlJc w:val="left"/>
      <w:pPr>
        <w:ind w:left="2880" w:hanging="360"/>
      </w:pPr>
      <w:rPr>
        <w:rFonts w:hint="default" w:ascii="Symbol" w:hAnsi="Symbol"/>
      </w:rPr>
    </w:lvl>
    <w:lvl w:ilvl="4">
      <w:start w:val="1"/>
      <w:numFmt w:val="bullet"/>
      <w:isLgl w:val="false"/>
      <w:suff w:val="tab"/>
      <w:lvlText w:val="o"/>
      <w:lvlJc w:val="left"/>
      <w:pPr>
        <w:ind w:left="3600" w:hanging="360"/>
      </w:pPr>
      <w:rPr>
        <w:rFonts w:hint="default" w:ascii="Courier New" w:hAnsi="Courier New" w:cs="Courier New"/>
      </w:rPr>
    </w:lvl>
    <w:lvl w:ilvl="5">
      <w:start w:val="1"/>
      <w:numFmt w:val="bullet"/>
      <w:isLgl w:val="false"/>
      <w:suff w:val="tab"/>
      <w:lvlText w:val=""/>
      <w:lvlJc w:val="left"/>
      <w:pPr>
        <w:ind w:left="4320" w:hanging="360"/>
      </w:pPr>
      <w:rPr>
        <w:rFonts w:hint="default" w:ascii="Wingdings" w:hAnsi="Wingdings"/>
      </w:rPr>
    </w:lvl>
    <w:lvl w:ilvl="6">
      <w:start w:val="1"/>
      <w:numFmt w:val="bullet"/>
      <w:isLgl w:val="false"/>
      <w:suff w:val="tab"/>
      <w:lvlText w:val=""/>
      <w:lvlJc w:val="left"/>
      <w:pPr>
        <w:ind w:left="5040" w:hanging="360"/>
      </w:pPr>
      <w:rPr>
        <w:rFonts w:hint="default" w:ascii="Symbol" w:hAnsi="Symbol"/>
      </w:rPr>
    </w:lvl>
    <w:lvl w:ilvl="7">
      <w:start w:val="1"/>
      <w:numFmt w:val="bullet"/>
      <w:isLgl w:val="false"/>
      <w:suff w:val="tab"/>
      <w:lvlText w:val="o"/>
      <w:lvlJc w:val="left"/>
      <w:pPr>
        <w:ind w:left="5760" w:hanging="360"/>
      </w:pPr>
      <w:rPr>
        <w:rFonts w:hint="default" w:ascii="Courier New" w:hAnsi="Courier New" w:cs="Courier New"/>
      </w:rPr>
    </w:lvl>
    <w:lvl w:ilvl="8">
      <w:start w:val="1"/>
      <w:numFmt w:val="bullet"/>
      <w:isLgl w:val="false"/>
      <w:suff w:val="tab"/>
      <w:lvlText w:val=""/>
      <w:lvlJc w:val="left"/>
      <w:pPr>
        <w:ind w:left="6480" w:hanging="360"/>
      </w:pPr>
      <w:rPr>
        <w:rFonts w:hint="default" w:ascii="Wingdings" w:hAnsi="Wingdings"/>
      </w:rPr>
    </w:lvl>
  </w:abstractNum>
  <w:abstractNum w:abstractNumId="75">
    <w:multiLevelType w:val="hybridMultilevel"/>
    <w:lvl w:ilvl="0">
      <w:start w:val="1"/>
      <w:numFmt w:val="bullet"/>
      <w:isLgl w:val="false"/>
      <w:suff w:val="tab"/>
      <w:lvlText w:val=""/>
      <w:lvlJc w:val="left"/>
      <w:pPr>
        <w:ind w:left="1429" w:hanging="360"/>
      </w:pPr>
      <w:rPr>
        <w:rFonts w:hint="default" w:ascii="Symbol" w:hAnsi="Symbol"/>
      </w:rPr>
    </w:lvl>
    <w:lvl w:ilvl="1">
      <w:start w:val="1"/>
      <w:numFmt w:val="bullet"/>
      <w:isLgl w:val="false"/>
      <w:suff w:val="tab"/>
      <w:lvlText w:val="o"/>
      <w:lvlJc w:val="left"/>
      <w:pPr>
        <w:ind w:left="2149" w:hanging="360"/>
      </w:pPr>
      <w:rPr>
        <w:rFonts w:hint="default" w:ascii="Courier New" w:hAnsi="Courier New" w:cs="Courier New"/>
      </w:rPr>
    </w:lvl>
    <w:lvl w:ilvl="2">
      <w:start w:val="1"/>
      <w:numFmt w:val="bullet"/>
      <w:isLgl w:val="false"/>
      <w:suff w:val="tab"/>
      <w:lvlText w:val=""/>
      <w:lvlJc w:val="left"/>
      <w:pPr>
        <w:ind w:left="2869" w:hanging="360"/>
      </w:pPr>
      <w:rPr>
        <w:rFonts w:hint="default" w:ascii="Wingdings" w:hAnsi="Wingdings"/>
      </w:rPr>
    </w:lvl>
    <w:lvl w:ilvl="3">
      <w:start w:val="1"/>
      <w:numFmt w:val="bullet"/>
      <w:isLgl w:val="false"/>
      <w:suff w:val="tab"/>
      <w:lvlText w:val=""/>
      <w:lvlJc w:val="left"/>
      <w:pPr>
        <w:ind w:left="3589" w:hanging="360"/>
      </w:pPr>
      <w:rPr>
        <w:rFonts w:hint="default" w:ascii="Symbol" w:hAnsi="Symbol"/>
      </w:rPr>
    </w:lvl>
    <w:lvl w:ilvl="4">
      <w:start w:val="1"/>
      <w:numFmt w:val="bullet"/>
      <w:isLgl w:val="false"/>
      <w:suff w:val="tab"/>
      <w:lvlText w:val="o"/>
      <w:lvlJc w:val="left"/>
      <w:pPr>
        <w:ind w:left="4309" w:hanging="360"/>
      </w:pPr>
      <w:rPr>
        <w:rFonts w:hint="default" w:ascii="Courier New" w:hAnsi="Courier New" w:cs="Courier New"/>
      </w:rPr>
    </w:lvl>
    <w:lvl w:ilvl="5">
      <w:start w:val="1"/>
      <w:numFmt w:val="bullet"/>
      <w:isLgl w:val="false"/>
      <w:suff w:val="tab"/>
      <w:lvlText w:val=""/>
      <w:lvlJc w:val="left"/>
      <w:pPr>
        <w:ind w:left="5029" w:hanging="360"/>
      </w:pPr>
      <w:rPr>
        <w:rFonts w:hint="default" w:ascii="Wingdings" w:hAnsi="Wingdings"/>
      </w:rPr>
    </w:lvl>
    <w:lvl w:ilvl="6">
      <w:start w:val="1"/>
      <w:numFmt w:val="bullet"/>
      <w:isLgl w:val="false"/>
      <w:suff w:val="tab"/>
      <w:lvlText w:val=""/>
      <w:lvlJc w:val="left"/>
      <w:pPr>
        <w:ind w:left="5749" w:hanging="360"/>
      </w:pPr>
      <w:rPr>
        <w:rFonts w:hint="default" w:ascii="Symbol" w:hAnsi="Symbol"/>
      </w:rPr>
    </w:lvl>
    <w:lvl w:ilvl="7">
      <w:start w:val="1"/>
      <w:numFmt w:val="bullet"/>
      <w:isLgl w:val="false"/>
      <w:suff w:val="tab"/>
      <w:lvlText w:val="o"/>
      <w:lvlJc w:val="left"/>
      <w:pPr>
        <w:ind w:left="6469" w:hanging="360"/>
      </w:pPr>
      <w:rPr>
        <w:rFonts w:hint="default" w:ascii="Courier New" w:hAnsi="Courier New" w:cs="Courier New"/>
      </w:rPr>
    </w:lvl>
    <w:lvl w:ilvl="8">
      <w:start w:val="1"/>
      <w:numFmt w:val="bullet"/>
      <w:isLgl w:val="false"/>
      <w:suff w:val="tab"/>
      <w:lvlText w:val=""/>
      <w:lvlJc w:val="left"/>
      <w:pPr>
        <w:ind w:left="7189" w:hanging="360"/>
      </w:pPr>
      <w:rPr>
        <w:rFonts w:hint="default" w:ascii="Wingdings" w:hAnsi="Wingdings"/>
      </w:rPr>
    </w:lvl>
  </w:abstractNum>
  <w:abstractNum w:abstractNumId="76">
    <w:multiLevelType w:val="hybridMultilevel"/>
    <w:lvl w:ilvl="0">
      <w:start w:val="1"/>
      <w:numFmt w:val="bullet"/>
      <w:isLgl w:val="false"/>
      <w:suff w:val="tab"/>
      <w:lvlText w:val=""/>
      <w:lvlJc w:val="left"/>
      <w:pPr>
        <w:ind w:left="1429" w:hanging="360"/>
      </w:pPr>
      <w:rPr>
        <w:rFonts w:hint="default" w:ascii="Symbol" w:hAnsi="Symbol"/>
      </w:rPr>
    </w:lvl>
    <w:lvl w:ilvl="1">
      <w:start w:val="1"/>
      <w:numFmt w:val="bullet"/>
      <w:isLgl w:val="false"/>
      <w:suff w:val="tab"/>
      <w:lvlText w:val="o"/>
      <w:lvlJc w:val="left"/>
      <w:pPr>
        <w:ind w:left="2149" w:hanging="360"/>
      </w:pPr>
      <w:rPr>
        <w:rFonts w:hint="default" w:ascii="Courier New" w:hAnsi="Courier New" w:cs="Courier New"/>
      </w:rPr>
    </w:lvl>
    <w:lvl w:ilvl="2">
      <w:start w:val="1"/>
      <w:numFmt w:val="bullet"/>
      <w:isLgl w:val="false"/>
      <w:suff w:val="tab"/>
      <w:lvlText w:val=""/>
      <w:lvlJc w:val="left"/>
      <w:pPr>
        <w:ind w:left="2869" w:hanging="360"/>
      </w:pPr>
      <w:rPr>
        <w:rFonts w:hint="default" w:ascii="Wingdings" w:hAnsi="Wingdings"/>
      </w:rPr>
    </w:lvl>
    <w:lvl w:ilvl="3">
      <w:start w:val="1"/>
      <w:numFmt w:val="bullet"/>
      <w:isLgl w:val="false"/>
      <w:suff w:val="tab"/>
      <w:lvlText w:val=""/>
      <w:lvlJc w:val="left"/>
      <w:pPr>
        <w:ind w:left="3589" w:hanging="360"/>
      </w:pPr>
      <w:rPr>
        <w:rFonts w:hint="default" w:ascii="Symbol" w:hAnsi="Symbol"/>
      </w:rPr>
    </w:lvl>
    <w:lvl w:ilvl="4">
      <w:start w:val="1"/>
      <w:numFmt w:val="bullet"/>
      <w:isLgl w:val="false"/>
      <w:suff w:val="tab"/>
      <w:lvlText w:val="o"/>
      <w:lvlJc w:val="left"/>
      <w:pPr>
        <w:ind w:left="4309" w:hanging="360"/>
      </w:pPr>
      <w:rPr>
        <w:rFonts w:hint="default" w:ascii="Courier New" w:hAnsi="Courier New" w:cs="Courier New"/>
      </w:rPr>
    </w:lvl>
    <w:lvl w:ilvl="5">
      <w:start w:val="1"/>
      <w:numFmt w:val="bullet"/>
      <w:isLgl w:val="false"/>
      <w:suff w:val="tab"/>
      <w:lvlText w:val=""/>
      <w:lvlJc w:val="left"/>
      <w:pPr>
        <w:ind w:left="5029" w:hanging="360"/>
      </w:pPr>
      <w:rPr>
        <w:rFonts w:hint="default" w:ascii="Wingdings" w:hAnsi="Wingdings"/>
      </w:rPr>
    </w:lvl>
    <w:lvl w:ilvl="6">
      <w:start w:val="1"/>
      <w:numFmt w:val="bullet"/>
      <w:isLgl w:val="false"/>
      <w:suff w:val="tab"/>
      <w:lvlText w:val=""/>
      <w:lvlJc w:val="left"/>
      <w:pPr>
        <w:ind w:left="5749" w:hanging="360"/>
      </w:pPr>
      <w:rPr>
        <w:rFonts w:hint="default" w:ascii="Symbol" w:hAnsi="Symbol"/>
      </w:rPr>
    </w:lvl>
    <w:lvl w:ilvl="7">
      <w:start w:val="1"/>
      <w:numFmt w:val="bullet"/>
      <w:isLgl w:val="false"/>
      <w:suff w:val="tab"/>
      <w:lvlText w:val="o"/>
      <w:lvlJc w:val="left"/>
      <w:pPr>
        <w:ind w:left="6469" w:hanging="360"/>
      </w:pPr>
      <w:rPr>
        <w:rFonts w:hint="default" w:ascii="Courier New" w:hAnsi="Courier New" w:cs="Courier New"/>
      </w:rPr>
    </w:lvl>
    <w:lvl w:ilvl="8">
      <w:start w:val="1"/>
      <w:numFmt w:val="bullet"/>
      <w:isLgl w:val="false"/>
      <w:suff w:val="tab"/>
      <w:lvlText w:val=""/>
      <w:lvlJc w:val="left"/>
      <w:pPr>
        <w:ind w:left="7189" w:hanging="360"/>
      </w:pPr>
      <w:rPr>
        <w:rFonts w:hint="default" w:ascii="Wingdings" w:hAnsi="Wingdings"/>
      </w:rPr>
    </w:lvl>
  </w:abstractNum>
  <w:abstractNum w:abstractNumId="77">
    <w:multiLevelType w:val="hybridMultilevel"/>
    <w:lvl w:ilvl="0">
      <w:start w:val="1"/>
      <w:numFmt w:val="bullet"/>
      <w:isLgl w:val="false"/>
      <w:suff w:val="tab"/>
      <w:lvlText w:val=""/>
      <w:lvlJc w:val="left"/>
      <w:pPr>
        <w:ind w:left="0"/>
      </w:pPr>
      <w:rPr>
        <w:rFonts w:hint="default" w:ascii="Symbol" w:hAnsi="Symbol"/>
        <w:b w:val="0"/>
        <w:i w:val="0"/>
        <w:strike w:val="0"/>
        <w:color w:val="000000"/>
        <w:sz w:val="28"/>
        <w:szCs w:val="28"/>
        <w:u w:val="none"/>
        <w:vertAlign w:val="baseline"/>
      </w:rPr>
    </w:lvl>
    <w:lvl w:ilvl="1">
      <w:start w:val="1"/>
      <w:numFmt w:val="bullet"/>
      <w:isLgl w:val="false"/>
      <w:suff w:val="tab"/>
      <w:lvlText w:val="o"/>
      <w:lvlJc w:val="left"/>
      <w:pPr>
        <w:ind w:left="1788"/>
      </w:pPr>
      <w:rPr>
        <w:rFonts w:ascii="Times New Roman" w:hAnsi="Times New Roman" w:eastAsia="Times New Roman" w:cs="Times New Roman"/>
        <w:b w:val="0"/>
        <w:i w:val="0"/>
        <w:strike w:val="0"/>
        <w:color w:val="000000"/>
        <w:sz w:val="28"/>
        <w:szCs w:val="28"/>
        <w:u w:val="none"/>
        <w:vertAlign w:val="baseline"/>
      </w:rPr>
    </w:lvl>
    <w:lvl w:ilvl="2">
      <w:start w:val="1"/>
      <w:numFmt w:val="bullet"/>
      <w:isLgl w:val="false"/>
      <w:suff w:val="tab"/>
      <w:lvlText w:val="▪"/>
      <w:lvlJc w:val="left"/>
      <w:pPr>
        <w:ind w:left="2508"/>
      </w:pPr>
      <w:rPr>
        <w:rFonts w:ascii="Times New Roman" w:hAnsi="Times New Roman" w:eastAsia="Times New Roman" w:cs="Times New Roman"/>
        <w:b w:val="0"/>
        <w:i w:val="0"/>
        <w:strike w:val="0"/>
        <w:color w:val="000000"/>
        <w:sz w:val="28"/>
        <w:szCs w:val="28"/>
        <w:u w:val="none"/>
        <w:vertAlign w:val="baseline"/>
      </w:rPr>
    </w:lvl>
    <w:lvl w:ilvl="3">
      <w:start w:val="1"/>
      <w:numFmt w:val="bullet"/>
      <w:isLgl w:val="false"/>
      <w:suff w:val="tab"/>
      <w:lvlText w:val="•"/>
      <w:lvlJc w:val="left"/>
      <w:pPr>
        <w:ind w:left="3228"/>
      </w:pPr>
      <w:rPr>
        <w:rFonts w:ascii="Times New Roman" w:hAnsi="Times New Roman" w:eastAsia="Times New Roman" w:cs="Times New Roman"/>
        <w:b w:val="0"/>
        <w:i w:val="0"/>
        <w:strike w:val="0"/>
        <w:color w:val="000000"/>
        <w:sz w:val="28"/>
        <w:szCs w:val="28"/>
        <w:u w:val="none"/>
        <w:vertAlign w:val="baseline"/>
      </w:rPr>
    </w:lvl>
    <w:lvl w:ilvl="4">
      <w:start w:val="1"/>
      <w:numFmt w:val="bullet"/>
      <w:isLgl w:val="false"/>
      <w:suff w:val="tab"/>
      <w:lvlText w:val="o"/>
      <w:lvlJc w:val="left"/>
      <w:pPr>
        <w:ind w:left="3948"/>
      </w:pPr>
      <w:rPr>
        <w:rFonts w:ascii="Times New Roman" w:hAnsi="Times New Roman" w:eastAsia="Times New Roman" w:cs="Times New Roman"/>
        <w:b w:val="0"/>
        <w:i w:val="0"/>
        <w:strike w:val="0"/>
        <w:color w:val="000000"/>
        <w:sz w:val="28"/>
        <w:szCs w:val="28"/>
        <w:u w:val="none"/>
        <w:vertAlign w:val="baseline"/>
      </w:rPr>
    </w:lvl>
    <w:lvl w:ilvl="5">
      <w:start w:val="1"/>
      <w:numFmt w:val="bullet"/>
      <w:isLgl w:val="false"/>
      <w:suff w:val="tab"/>
      <w:lvlText w:val="▪"/>
      <w:lvlJc w:val="left"/>
      <w:pPr>
        <w:ind w:left="4668"/>
      </w:pPr>
      <w:rPr>
        <w:rFonts w:ascii="Times New Roman" w:hAnsi="Times New Roman" w:eastAsia="Times New Roman" w:cs="Times New Roman"/>
        <w:b w:val="0"/>
        <w:i w:val="0"/>
        <w:strike w:val="0"/>
        <w:color w:val="000000"/>
        <w:sz w:val="28"/>
        <w:szCs w:val="28"/>
        <w:u w:val="none"/>
        <w:vertAlign w:val="baseline"/>
      </w:rPr>
    </w:lvl>
    <w:lvl w:ilvl="6">
      <w:start w:val="1"/>
      <w:numFmt w:val="bullet"/>
      <w:isLgl w:val="false"/>
      <w:suff w:val="tab"/>
      <w:lvlText w:val="•"/>
      <w:lvlJc w:val="left"/>
      <w:pPr>
        <w:ind w:left="5388"/>
      </w:pPr>
      <w:rPr>
        <w:rFonts w:ascii="Times New Roman" w:hAnsi="Times New Roman" w:eastAsia="Times New Roman" w:cs="Times New Roman"/>
        <w:b w:val="0"/>
        <w:i w:val="0"/>
        <w:strike w:val="0"/>
        <w:color w:val="000000"/>
        <w:sz w:val="28"/>
        <w:szCs w:val="28"/>
        <w:u w:val="none"/>
        <w:vertAlign w:val="baseline"/>
      </w:rPr>
    </w:lvl>
    <w:lvl w:ilvl="7">
      <w:start w:val="1"/>
      <w:numFmt w:val="bullet"/>
      <w:isLgl w:val="false"/>
      <w:suff w:val="tab"/>
      <w:lvlText w:val="o"/>
      <w:lvlJc w:val="left"/>
      <w:pPr>
        <w:ind w:left="6108"/>
      </w:pPr>
      <w:rPr>
        <w:rFonts w:ascii="Times New Roman" w:hAnsi="Times New Roman" w:eastAsia="Times New Roman" w:cs="Times New Roman"/>
        <w:b w:val="0"/>
        <w:i w:val="0"/>
        <w:strike w:val="0"/>
        <w:color w:val="000000"/>
        <w:sz w:val="28"/>
        <w:szCs w:val="28"/>
        <w:u w:val="none"/>
        <w:vertAlign w:val="baseline"/>
      </w:rPr>
    </w:lvl>
    <w:lvl w:ilvl="8">
      <w:start w:val="1"/>
      <w:numFmt w:val="bullet"/>
      <w:isLgl w:val="false"/>
      <w:suff w:val="tab"/>
      <w:lvlText w:val="▪"/>
      <w:lvlJc w:val="left"/>
      <w:pPr>
        <w:ind w:left="6828"/>
      </w:pPr>
      <w:rPr>
        <w:rFonts w:ascii="Times New Roman" w:hAnsi="Times New Roman" w:eastAsia="Times New Roman" w:cs="Times New Roman"/>
        <w:b w:val="0"/>
        <w:i w:val="0"/>
        <w:strike w:val="0"/>
        <w:color w:val="000000"/>
        <w:sz w:val="28"/>
        <w:szCs w:val="28"/>
        <w:u w:val="none"/>
        <w:vertAlign w:val="baseline"/>
      </w:rPr>
    </w:lvl>
  </w:abstractNum>
  <w:abstractNum w:abstractNumId="78">
    <w:multiLevelType w:val="hybridMultilevel"/>
    <w:lvl w:ilvl="0">
      <w:start w:val="1"/>
      <w:numFmt w:val="bullet"/>
      <w:isLgl w:val="false"/>
      <w:suff w:val="tab"/>
      <w:lvlText w:val=""/>
      <w:lvlJc w:val="left"/>
      <w:pPr>
        <w:ind w:left="1287" w:hanging="360"/>
      </w:pPr>
      <w:rPr>
        <w:rFonts w:ascii="Symbol" w:hAnsi="Symbol"/>
      </w:rPr>
    </w:lvl>
    <w:lvl w:ilvl="1">
      <w:start w:val="1"/>
      <w:numFmt w:val="bullet"/>
      <w:isLgl w:val="false"/>
      <w:suff w:val="tab"/>
      <w:lvlText w:val="o"/>
      <w:lvlJc w:val="left"/>
      <w:pPr>
        <w:ind w:left="2007" w:hanging="360"/>
      </w:pPr>
      <w:rPr>
        <w:rFonts w:hint="default" w:ascii="Courier New" w:hAnsi="Courier New" w:cs="Courier New"/>
      </w:rPr>
    </w:lvl>
    <w:lvl w:ilvl="2">
      <w:start w:val="1"/>
      <w:numFmt w:val="bullet"/>
      <w:isLgl w:val="false"/>
      <w:suff w:val="tab"/>
      <w:lvlText w:val=""/>
      <w:lvlJc w:val="left"/>
      <w:pPr>
        <w:ind w:left="2727" w:hanging="360"/>
      </w:pPr>
      <w:rPr>
        <w:rFonts w:hint="default" w:ascii="Wingdings" w:hAnsi="Wingdings"/>
      </w:rPr>
    </w:lvl>
    <w:lvl w:ilvl="3">
      <w:start w:val="1"/>
      <w:numFmt w:val="bullet"/>
      <w:isLgl w:val="false"/>
      <w:suff w:val="tab"/>
      <w:lvlText w:val=""/>
      <w:lvlJc w:val="left"/>
      <w:pPr>
        <w:ind w:left="3447" w:hanging="360"/>
      </w:pPr>
      <w:rPr>
        <w:rFonts w:hint="default" w:ascii="Symbol" w:hAnsi="Symbol"/>
      </w:rPr>
    </w:lvl>
    <w:lvl w:ilvl="4">
      <w:start w:val="1"/>
      <w:numFmt w:val="bullet"/>
      <w:isLgl w:val="false"/>
      <w:suff w:val="tab"/>
      <w:lvlText w:val="o"/>
      <w:lvlJc w:val="left"/>
      <w:pPr>
        <w:ind w:left="4167" w:hanging="360"/>
      </w:pPr>
      <w:rPr>
        <w:rFonts w:hint="default" w:ascii="Courier New" w:hAnsi="Courier New" w:cs="Courier New"/>
      </w:rPr>
    </w:lvl>
    <w:lvl w:ilvl="5">
      <w:start w:val="1"/>
      <w:numFmt w:val="bullet"/>
      <w:isLgl w:val="false"/>
      <w:suff w:val="tab"/>
      <w:lvlText w:val=""/>
      <w:lvlJc w:val="left"/>
      <w:pPr>
        <w:ind w:left="4887" w:hanging="360"/>
      </w:pPr>
      <w:rPr>
        <w:rFonts w:hint="default" w:ascii="Wingdings" w:hAnsi="Wingdings"/>
      </w:rPr>
    </w:lvl>
    <w:lvl w:ilvl="6">
      <w:start w:val="1"/>
      <w:numFmt w:val="bullet"/>
      <w:isLgl w:val="false"/>
      <w:suff w:val="tab"/>
      <w:lvlText w:val=""/>
      <w:lvlJc w:val="left"/>
      <w:pPr>
        <w:ind w:left="5607" w:hanging="360"/>
      </w:pPr>
      <w:rPr>
        <w:rFonts w:hint="default" w:ascii="Symbol" w:hAnsi="Symbol"/>
      </w:rPr>
    </w:lvl>
    <w:lvl w:ilvl="7">
      <w:start w:val="1"/>
      <w:numFmt w:val="bullet"/>
      <w:isLgl w:val="false"/>
      <w:suff w:val="tab"/>
      <w:lvlText w:val="o"/>
      <w:lvlJc w:val="left"/>
      <w:pPr>
        <w:ind w:left="6327" w:hanging="360"/>
      </w:pPr>
      <w:rPr>
        <w:rFonts w:hint="default" w:ascii="Courier New" w:hAnsi="Courier New" w:cs="Courier New"/>
      </w:rPr>
    </w:lvl>
    <w:lvl w:ilvl="8">
      <w:start w:val="1"/>
      <w:numFmt w:val="bullet"/>
      <w:isLgl w:val="false"/>
      <w:suff w:val="tab"/>
      <w:lvlText w:val=""/>
      <w:lvlJc w:val="left"/>
      <w:pPr>
        <w:ind w:left="7047" w:hanging="360"/>
      </w:pPr>
      <w:rPr>
        <w:rFonts w:hint="default" w:ascii="Wingdings" w:hAnsi="Wingdings"/>
      </w:rPr>
    </w:lvl>
  </w:abstractNum>
  <w:abstractNum w:abstractNumId="79">
    <w:multiLevelType w:val="hybridMultilevel"/>
    <w:lvl w:ilvl="0">
      <w:start w:val="1"/>
      <w:numFmt w:val="bullet"/>
      <w:isLgl w:val="false"/>
      <w:suff w:val="tab"/>
      <w:lvlText w:val=""/>
      <w:lvlJc w:val="left"/>
      <w:pPr>
        <w:ind w:left="720" w:hanging="360"/>
      </w:pPr>
      <w:rPr>
        <w:rFonts w:hint="default" w:ascii="Symbol" w:hAnsi="Symbol"/>
      </w:rPr>
    </w:lvl>
    <w:lvl w:ilvl="1">
      <w:start w:val="1"/>
      <w:numFmt w:val="bullet"/>
      <w:isLgl w:val="false"/>
      <w:suff w:val="tab"/>
      <w:lvlText w:val="o"/>
      <w:lvlJc w:val="left"/>
      <w:pPr>
        <w:ind w:left="1440" w:hanging="360"/>
      </w:pPr>
      <w:rPr>
        <w:rFonts w:hint="default" w:ascii="Courier New" w:hAnsi="Courier New" w:cs="Courier New"/>
      </w:rPr>
    </w:lvl>
    <w:lvl w:ilvl="2">
      <w:start w:val="1"/>
      <w:numFmt w:val="bullet"/>
      <w:isLgl w:val="false"/>
      <w:suff w:val="tab"/>
      <w:lvlText w:val=""/>
      <w:lvlJc w:val="left"/>
      <w:pPr>
        <w:ind w:left="2160" w:hanging="360"/>
      </w:pPr>
      <w:rPr>
        <w:rFonts w:hint="default" w:ascii="Wingdings" w:hAnsi="Wingdings"/>
      </w:rPr>
    </w:lvl>
    <w:lvl w:ilvl="3">
      <w:start w:val="1"/>
      <w:numFmt w:val="bullet"/>
      <w:isLgl w:val="false"/>
      <w:suff w:val="tab"/>
      <w:lvlText w:val=""/>
      <w:lvlJc w:val="left"/>
      <w:pPr>
        <w:ind w:left="2880" w:hanging="360"/>
      </w:pPr>
      <w:rPr>
        <w:rFonts w:hint="default" w:ascii="Symbol" w:hAnsi="Symbol"/>
      </w:rPr>
    </w:lvl>
    <w:lvl w:ilvl="4">
      <w:start w:val="1"/>
      <w:numFmt w:val="bullet"/>
      <w:isLgl w:val="false"/>
      <w:suff w:val="tab"/>
      <w:lvlText w:val="o"/>
      <w:lvlJc w:val="left"/>
      <w:pPr>
        <w:ind w:left="3600" w:hanging="360"/>
      </w:pPr>
      <w:rPr>
        <w:rFonts w:hint="default" w:ascii="Courier New" w:hAnsi="Courier New" w:cs="Courier New"/>
      </w:rPr>
    </w:lvl>
    <w:lvl w:ilvl="5">
      <w:start w:val="1"/>
      <w:numFmt w:val="bullet"/>
      <w:isLgl w:val="false"/>
      <w:suff w:val="tab"/>
      <w:lvlText w:val=""/>
      <w:lvlJc w:val="left"/>
      <w:pPr>
        <w:ind w:left="4320" w:hanging="360"/>
      </w:pPr>
      <w:rPr>
        <w:rFonts w:hint="default" w:ascii="Wingdings" w:hAnsi="Wingdings"/>
      </w:rPr>
    </w:lvl>
    <w:lvl w:ilvl="6">
      <w:start w:val="1"/>
      <w:numFmt w:val="bullet"/>
      <w:isLgl w:val="false"/>
      <w:suff w:val="tab"/>
      <w:lvlText w:val=""/>
      <w:lvlJc w:val="left"/>
      <w:pPr>
        <w:ind w:left="5040" w:hanging="360"/>
      </w:pPr>
      <w:rPr>
        <w:rFonts w:hint="default" w:ascii="Symbol" w:hAnsi="Symbol"/>
      </w:rPr>
    </w:lvl>
    <w:lvl w:ilvl="7">
      <w:start w:val="1"/>
      <w:numFmt w:val="bullet"/>
      <w:isLgl w:val="false"/>
      <w:suff w:val="tab"/>
      <w:lvlText w:val="o"/>
      <w:lvlJc w:val="left"/>
      <w:pPr>
        <w:ind w:left="5760" w:hanging="360"/>
      </w:pPr>
      <w:rPr>
        <w:rFonts w:hint="default" w:ascii="Courier New" w:hAnsi="Courier New" w:cs="Courier New"/>
      </w:rPr>
    </w:lvl>
    <w:lvl w:ilvl="8">
      <w:start w:val="1"/>
      <w:numFmt w:val="bullet"/>
      <w:isLgl w:val="false"/>
      <w:suff w:val="tab"/>
      <w:lvlText w:val=""/>
      <w:lvlJc w:val="left"/>
      <w:pPr>
        <w:ind w:left="6480" w:hanging="360"/>
      </w:pPr>
      <w:rPr>
        <w:rFonts w:hint="default" w:ascii="Wingdings" w:hAnsi="Wingdings"/>
      </w:rPr>
    </w:lvl>
  </w:abstractNum>
  <w:abstractNum w:abstractNumId="80">
    <w:multiLevelType w:val="hybridMultilevel"/>
    <w:lvl w:ilvl="0">
      <w:start w:val="1"/>
      <w:numFmt w:val="bullet"/>
      <w:isLgl w:val="false"/>
      <w:suff w:val="tab"/>
      <w:lvlText w:val=""/>
      <w:lvlJc w:val="left"/>
      <w:pPr>
        <w:ind w:left="1425" w:hanging="360"/>
      </w:pPr>
      <w:rPr>
        <w:rFonts w:hint="default" w:ascii="Symbol" w:hAnsi="Symbol"/>
      </w:rPr>
    </w:lvl>
    <w:lvl w:ilvl="1">
      <w:start w:val="1"/>
      <w:numFmt w:val="bullet"/>
      <w:isLgl w:val="false"/>
      <w:suff w:val="tab"/>
      <w:lvlText w:val="o"/>
      <w:lvlJc w:val="left"/>
      <w:pPr>
        <w:ind w:left="2145" w:hanging="360"/>
      </w:pPr>
      <w:rPr>
        <w:rFonts w:hint="default" w:ascii="Courier New" w:hAnsi="Courier New" w:cs="Courier New"/>
      </w:rPr>
    </w:lvl>
    <w:lvl w:ilvl="2">
      <w:start w:val="1"/>
      <w:numFmt w:val="bullet"/>
      <w:isLgl w:val="false"/>
      <w:suff w:val="tab"/>
      <w:lvlText w:val=""/>
      <w:lvlJc w:val="left"/>
      <w:pPr>
        <w:ind w:left="2865" w:hanging="360"/>
      </w:pPr>
      <w:rPr>
        <w:rFonts w:hint="default" w:ascii="Wingdings" w:hAnsi="Wingdings"/>
      </w:rPr>
    </w:lvl>
    <w:lvl w:ilvl="3">
      <w:start w:val="1"/>
      <w:numFmt w:val="bullet"/>
      <w:isLgl w:val="false"/>
      <w:suff w:val="tab"/>
      <w:lvlText w:val=""/>
      <w:lvlJc w:val="left"/>
      <w:pPr>
        <w:ind w:left="3585" w:hanging="360"/>
      </w:pPr>
      <w:rPr>
        <w:rFonts w:hint="default" w:ascii="Symbol" w:hAnsi="Symbol"/>
      </w:rPr>
    </w:lvl>
    <w:lvl w:ilvl="4">
      <w:start w:val="1"/>
      <w:numFmt w:val="bullet"/>
      <w:isLgl w:val="false"/>
      <w:suff w:val="tab"/>
      <w:lvlText w:val="o"/>
      <w:lvlJc w:val="left"/>
      <w:pPr>
        <w:ind w:left="4305" w:hanging="360"/>
      </w:pPr>
      <w:rPr>
        <w:rFonts w:hint="default" w:ascii="Courier New" w:hAnsi="Courier New" w:cs="Courier New"/>
      </w:rPr>
    </w:lvl>
    <w:lvl w:ilvl="5">
      <w:start w:val="1"/>
      <w:numFmt w:val="bullet"/>
      <w:isLgl w:val="false"/>
      <w:suff w:val="tab"/>
      <w:lvlText w:val=""/>
      <w:lvlJc w:val="left"/>
      <w:pPr>
        <w:ind w:left="5025" w:hanging="360"/>
      </w:pPr>
      <w:rPr>
        <w:rFonts w:hint="default" w:ascii="Wingdings" w:hAnsi="Wingdings"/>
      </w:rPr>
    </w:lvl>
    <w:lvl w:ilvl="6">
      <w:start w:val="1"/>
      <w:numFmt w:val="bullet"/>
      <w:isLgl w:val="false"/>
      <w:suff w:val="tab"/>
      <w:lvlText w:val=""/>
      <w:lvlJc w:val="left"/>
      <w:pPr>
        <w:ind w:left="5745" w:hanging="360"/>
      </w:pPr>
      <w:rPr>
        <w:rFonts w:hint="default" w:ascii="Symbol" w:hAnsi="Symbol"/>
      </w:rPr>
    </w:lvl>
    <w:lvl w:ilvl="7">
      <w:start w:val="1"/>
      <w:numFmt w:val="bullet"/>
      <w:isLgl w:val="false"/>
      <w:suff w:val="tab"/>
      <w:lvlText w:val="o"/>
      <w:lvlJc w:val="left"/>
      <w:pPr>
        <w:ind w:left="6465" w:hanging="360"/>
      </w:pPr>
      <w:rPr>
        <w:rFonts w:hint="default" w:ascii="Courier New" w:hAnsi="Courier New" w:cs="Courier New"/>
      </w:rPr>
    </w:lvl>
    <w:lvl w:ilvl="8">
      <w:start w:val="1"/>
      <w:numFmt w:val="bullet"/>
      <w:isLgl w:val="false"/>
      <w:suff w:val="tab"/>
      <w:lvlText w:val=""/>
      <w:lvlJc w:val="left"/>
      <w:pPr>
        <w:ind w:left="7185" w:hanging="360"/>
      </w:pPr>
      <w:rPr>
        <w:rFonts w:hint="default" w:ascii="Wingdings" w:hAnsi="Wingdings"/>
      </w:rPr>
    </w:lvl>
  </w:abstractNum>
  <w:abstractNum w:abstractNumId="81">
    <w:multiLevelType w:val="hybridMultilevel"/>
    <w:lvl w:ilvl="0">
      <w:start w:val="1"/>
      <w:numFmt w:val="bullet"/>
      <w:isLgl w:val="false"/>
      <w:suff w:val="tab"/>
      <w:lvlText w:val=""/>
      <w:lvlJc w:val="left"/>
      <w:pPr>
        <w:ind w:left="1429" w:hanging="360"/>
      </w:pPr>
      <w:rPr>
        <w:rFonts w:hint="default" w:ascii="Symbol" w:hAnsi="Symbol"/>
      </w:rPr>
    </w:lvl>
    <w:lvl w:ilvl="1">
      <w:start w:val="1"/>
      <w:numFmt w:val="bullet"/>
      <w:isLgl w:val="false"/>
      <w:suff w:val="tab"/>
      <w:lvlText w:val="o"/>
      <w:lvlJc w:val="left"/>
      <w:pPr>
        <w:ind w:left="2149" w:hanging="360"/>
      </w:pPr>
      <w:rPr>
        <w:rFonts w:hint="default" w:ascii="Courier New" w:hAnsi="Courier New" w:cs="Courier New"/>
      </w:rPr>
    </w:lvl>
    <w:lvl w:ilvl="2">
      <w:start w:val="1"/>
      <w:numFmt w:val="bullet"/>
      <w:isLgl w:val="false"/>
      <w:suff w:val="tab"/>
      <w:lvlText w:val=""/>
      <w:lvlJc w:val="left"/>
      <w:pPr>
        <w:ind w:left="2869" w:hanging="360"/>
      </w:pPr>
      <w:rPr>
        <w:rFonts w:hint="default" w:ascii="Wingdings" w:hAnsi="Wingdings"/>
      </w:rPr>
    </w:lvl>
    <w:lvl w:ilvl="3">
      <w:start w:val="1"/>
      <w:numFmt w:val="bullet"/>
      <w:isLgl w:val="false"/>
      <w:suff w:val="tab"/>
      <w:lvlText w:val=""/>
      <w:lvlJc w:val="left"/>
      <w:pPr>
        <w:ind w:left="3589" w:hanging="360"/>
      </w:pPr>
      <w:rPr>
        <w:rFonts w:hint="default" w:ascii="Symbol" w:hAnsi="Symbol"/>
      </w:rPr>
    </w:lvl>
    <w:lvl w:ilvl="4">
      <w:start w:val="1"/>
      <w:numFmt w:val="bullet"/>
      <w:isLgl w:val="false"/>
      <w:suff w:val="tab"/>
      <w:lvlText w:val="o"/>
      <w:lvlJc w:val="left"/>
      <w:pPr>
        <w:ind w:left="4309" w:hanging="360"/>
      </w:pPr>
      <w:rPr>
        <w:rFonts w:hint="default" w:ascii="Courier New" w:hAnsi="Courier New" w:cs="Courier New"/>
      </w:rPr>
    </w:lvl>
    <w:lvl w:ilvl="5">
      <w:start w:val="1"/>
      <w:numFmt w:val="bullet"/>
      <w:isLgl w:val="false"/>
      <w:suff w:val="tab"/>
      <w:lvlText w:val=""/>
      <w:lvlJc w:val="left"/>
      <w:pPr>
        <w:ind w:left="5029" w:hanging="360"/>
      </w:pPr>
      <w:rPr>
        <w:rFonts w:hint="default" w:ascii="Wingdings" w:hAnsi="Wingdings"/>
      </w:rPr>
    </w:lvl>
    <w:lvl w:ilvl="6">
      <w:start w:val="1"/>
      <w:numFmt w:val="bullet"/>
      <w:isLgl w:val="false"/>
      <w:suff w:val="tab"/>
      <w:lvlText w:val=""/>
      <w:lvlJc w:val="left"/>
      <w:pPr>
        <w:ind w:left="5749" w:hanging="360"/>
      </w:pPr>
      <w:rPr>
        <w:rFonts w:hint="default" w:ascii="Symbol" w:hAnsi="Symbol"/>
      </w:rPr>
    </w:lvl>
    <w:lvl w:ilvl="7">
      <w:start w:val="1"/>
      <w:numFmt w:val="bullet"/>
      <w:isLgl w:val="false"/>
      <w:suff w:val="tab"/>
      <w:lvlText w:val="o"/>
      <w:lvlJc w:val="left"/>
      <w:pPr>
        <w:ind w:left="6469" w:hanging="360"/>
      </w:pPr>
      <w:rPr>
        <w:rFonts w:hint="default" w:ascii="Courier New" w:hAnsi="Courier New" w:cs="Courier New"/>
      </w:rPr>
    </w:lvl>
    <w:lvl w:ilvl="8">
      <w:start w:val="1"/>
      <w:numFmt w:val="bullet"/>
      <w:isLgl w:val="false"/>
      <w:suff w:val="tab"/>
      <w:lvlText w:val=""/>
      <w:lvlJc w:val="left"/>
      <w:pPr>
        <w:ind w:left="7189" w:hanging="360"/>
      </w:pPr>
      <w:rPr>
        <w:rFonts w:hint="default" w:ascii="Wingdings" w:hAnsi="Wingdings"/>
      </w:rPr>
    </w:lvl>
  </w:abstractNum>
  <w:abstractNum w:abstractNumId="82">
    <w:multiLevelType w:val="hybridMultilevel"/>
    <w:lvl w:ilvl="0">
      <w:start w:val="1"/>
      <w:numFmt w:val="bullet"/>
      <w:isLgl w:val="false"/>
      <w:suff w:val="tab"/>
      <w:lvlText w:val=""/>
      <w:lvlJc w:val="left"/>
      <w:pPr>
        <w:ind w:left="1428" w:hanging="360"/>
      </w:pPr>
      <w:rPr>
        <w:rFonts w:hint="default" w:ascii="Symbol" w:hAnsi="Symbol"/>
      </w:rPr>
    </w:lvl>
    <w:lvl w:ilvl="1">
      <w:start w:val="1"/>
      <w:numFmt w:val="bullet"/>
      <w:isLgl w:val="false"/>
      <w:suff w:val="tab"/>
      <w:lvlText w:val="o"/>
      <w:lvlJc w:val="left"/>
      <w:pPr>
        <w:ind w:left="2148" w:hanging="360"/>
      </w:pPr>
      <w:rPr>
        <w:rFonts w:hint="default" w:ascii="Courier New" w:hAnsi="Courier New" w:cs="Courier New"/>
      </w:rPr>
    </w:lvl>
    <w:lvl w:ilvl="2">
      <w:start w:val="1"/>
      <w:numFmt w:val="bullet"/>
      <w:isLgl w:val="false"/>
      <w:suff w:val="tab"/>
      <w:lvlText w:val=""/>
      <w:lvlJc w:val="left"/>
      <w:pPr>
        <w:ind w:left="2868" w:hanging="360"/>
      </w:pPr>
      <w:rPr>
        <w:rFonts w:hint="default" w:ascii="Wingdings" w:hAnsi="Wingdings"/>
      </w:rPr>
    </w:lvl>
    <w:lvl w:ilvl="3">
      <w:start w:val="1"/>
      <w:numFmt w:val="bullet"/>
      <w:isLgl w:val="false"/>
      <w:suff w:val="tab"/>
      <w:lvlText w:val=""/>
      <w:lvlJc w:val="left"/>
      <w:pPr>
        <w:ind w:left="3588" w:hanging="360"/>
      </w:pPr>
      <w:rPr>
        <w:rFonts w:hint="default" w:ascii="Symbol" w:hAnsi="Symbol"/>
      </w:rPr>
    </w:lvl>
    <w:lvl w:ilvl="4">
      <w:start w:val="1"/>
      <w:numFmt w:val="bullet"/>
      <w:isLgl w:val="false"/>
      <w:suff w:val="tab"/>
      <w:lvlText w:val="o"/>
      <w:lvlJc w:val="left"/>
      <w:pPr>
        <w:ind w:left="4308" w:hanging="360"/>
      </w:pPr>
      <w:rPr>
        <w:rFonts w:hint="default" w:ascii="Courier New" w:hAnsi="Courier New" w:cs="Courier New"/>
      </w:rPr>
    </w:lvl>
    <w:lvl w:ilvl="5">
      <w:start w:val="1"/>
      <w:numFmt w:val="bullet"/>
      <w:isLgl w:val="false"/>
      <w:suff w:val="tab"/>
      <w:lvlText w:val=""/>
      <w:lvlJc w:val="left"/>
      <w:pPr>
        <w:ind w:left="5028" w:hanging="360"/>
      </w:pPr>
      <w:rPr>
        <w:rFonts w:hint="default" w:ascii="Wingdings" w:hAnsi="Wingdings"/>
      </w:rPr>
    </w:lvl>
    <w:lvl w:ilvl="6">
      <w:start w:val="1"/>
      <w:numFmt w:val="bullet"/>
      <w:isLgl w:val="false"/>
      <w:suff w:val="tab"/>
      <w:lvlText w:val=""/>
      <w:lvlJc w:val="left"/>
      <w:pPr>
        <w:ind w:left="5748" w:hanging="360"/>
      </w:pPr>
      <w:rPr>
        <w:rFonts w:hint="default" w:ascii="Symbol" w:hAnsi="Symbol"/>
      </w:rPr>
    </w:lvl>
    <w:lvl w:ilvl="7">
      <w:start w:val="1"/>
      <w:numFmt w:val="bullet"/>
      <w:isLgl w:val="false"/>
      <w:suff w:val="tab"/>
      <w:lvlText w:val="o"/>
      <w:lvlJc w:val="left"/>
      <w:pPr>
        <w:ind w:left="6468" w:hanging="360"/>
      </w:pPr>
      <w:rPr>
        <w:rFonts w:hint="default" w:ascii="Courier New" w:hAnsi="Courier New" w:cs="Courier New"/>
      </w:rPr>
    </w:lvl>
    <w:lvl w:ilvl="8">
      <w:start w:val="1"/>
      <w:numFmt w:val="bullet"/>
      <w:isLgl w:val="false"/>
      <w:suff w:val="tab"/>
      <w:lvlText w:val=""/>
      <w:lvlJc w:val="left"/>
      <w:pPr>
        <w:ind w:left="7188" w:hanging="360"/>
      </w:pPr>
      <w:rPr>
        <w:rFonts w:hint="default" w:ascii="Wingdings" w:hAnsi="Wingdings"/>
      </w:rPr>
    </w:lvl>
  </w:abstractNum>
  <w:abstractNum w:abstractNumId="83">
    <w:multiLevelType w:val="hybridMultilevel"/>
    <w:lvl w:ilvl="0">
      <w:start w:val="1"/>
      <w:numFmt w:val="bullet"/>
      <w:isLgl w:val="false"/>
      <w:suff w:val="tab"/>
      <w:lvlText w:val=""/>
      <w:lvlJc w:val="left"/>
      <w:pPr>
        <w:ind w:left="720" w:hanging="360"/>
      </w:pPr>
      <w:rPr>
        <w:rFonts w:hint="default" w:ascii="Symbol" w:hAnsi="Symbol"/>
      </w:rPr>
    </w:lvl>
    <w:lvl w:ilvl="1">
      <w:start w:val="1"/>
      <w:numFmt w:val="bullet"/>
      <w:isLgl w:val="false"/>
      <w:suff w:val="tab"/>
      <w:lvlText w:val="o"/>
      <w:lvlJc w:val="left"/>
      <w:pPr>
        <w:ind w:left="1440" w:hanging="360"/>
      </w:pPr>
      <w:rPr>
        <w:rFonts w:hint="default" w:ascii="Courier New" w:hAnsi="Courier New" w:cs="Courier New"/>
      </w:rPr>
    </w:lvl>
    <w:lvl w:ilvl="2">
      <w:start w:val="1"/>
      <w:numFmt w:val="bullet"/>
      <w:isLgl w:val="false"/>
      <w:suff w:val="tab"/>
      <w:lvlText w:val=""/>
      <w:lvlJc w:val="left"/>
      <w:pPr>
        <w:ind w:left="2160" w:hanging="360"/>
      </w:pPr>
      <w:rPr>
        <w:rFonts w:hint="default" w:ascii="Wingdings" w:hAnsi="Wingdings"/>
      </w:rPr>
    </w:lvl>
    <w:lvl w:ilvl="3">
      <w:start w:val="1"/>
      <w:numFmt w:val="bullet"/>
      <w:isLgl w:val="false"/>
      <w:suff w:val="tab"/>
      <w:lvlText w:val=""/>
      <w:lvlJc w:val="left"/>
      <w:pPr>
        <w:ind w:left="2880" w:hanging="360"/>
      </w:pPr>
      <w:rPr>
        <w:rFonts w:hint="default" w:ascii="Symbol" w:hAnsi="Symbol"/>
      </w:rPr>
    </w:lvl>
    <w:lvl w:ilvl="4">
      <w:start w:val="1"/>
      <w:numFmt w:val="bullet"/>
      <w:isLgl w:val="false"/>
      <w:suff w:val="tab"/>
      <w:lvlText w:val="o"/>
      <w:lvlJc w:val="left"/>
      <w:pPr>
        <w:ind w:left="3600" w:hanging="360"/>
      </w:pPr>
      <w:rPr>
        <w:rFonts w:hint="default" w:ascii="Courier New" w:hAnsi="Courier New" w:cs="Courier New"/>
      </w:rPr>
    </w:lvl>
    <w:lvl w:ilvl="5">
      <w:start w:val="1"/>
      <w:numFmt w:val="bullet"/>
      <w:isLgl w:val="false"/>
      <w:suff w:val="tab"/>
      <w:lvlText w:val=""/>
      <w:lvlJc w:val="left"/>
      <w:pPr>
        <w:ind w:left="4320" w:hanging="360"/>
      </w:pPr>
      <w:rPr>
        <w:rFonts w:hint="default" w:ascii="Wingdings" w:hAnsi="Wingdings"/>
      </w:rPr>
    </w:lvl>
    <w:lvl w:ilvl="6">
      <w:start w:val="1"/>
      <w:numFmt w:val="bullet"/>
      <w:isLgl w:val="false"/>
      <w:suff w:val="tab"/>
      <w:lvlText w:val=""/>
      <w:lvlJc w:val="left"/>
      <w:pPr>
        <w:ind w:left="5040" w:hanging="360"/>
      </w:pPr>
      <w:rPr>
        <w:rFonts w:hint="default" w:ascii="Symbol" w:hAnsi="Symbol"/>
      </w:rPr>
    </w:lvl>
    <w:lvl w:ilvl="7">
      <w:start w:val="1"/>
      <w:numFmt w:val="bullet"/>
      <w:isLgl w:val="false"/>
      <w:suff w:val="tab"/>
      <w:lvlText w:val="o"/>
      <w:lvlJc w:val="left"/>
      <w:pPr>
        <w:ind w:left="5760" w:hanging="360"/>
      </w:pPr>
      <w:rPr>
        <w:rFonts w:hint="default" w:ascii="Courier New" w:hAnsi="Courier New" w:cs="Courier New"/>
      </w:rPr>
    </w:lvl>
    <w:lvl w:ilvl="8">
      <w:start w:val="1"/>
      <w:numFmt w:val="bullet"/>
      <w:isLgl w:val="false"/>
      <w:suff w:val="tab"/>
      <w:lvlText w:val=""/>
      <w:lvlJc w:val="left"/>
      <w:pPr>
        <w:ind w:left="6480" w:hanging="360"/>
      </w:pPr>
      <w:rPr>
        <w:rFonts w:hint="default" w:ascii="Wingdings" w:hAnsi="Wingdings"/>
      </w:rPr>
    </w:lvl>
  </w:abstractNum>
  <w:abstractNum w:abstractNumId="84">
    <w:multiLevelType w:val="hybridMultilevel"/>
    <w:lvl w:ilvl="0">
      <w:start w:val="1"/>
      <w:numFmt w:val="bullet"/>
      <w:isLgl w:val="false"/>
      <w:suff w:val="tab"/>
      <w:lvlText w:val=""/>
      <w:lvlJc w:val="left"/>
      <w:pPr>
        <w:ind w:left="1995" w:hanging="360"/>
      </w:pPr>
      <w:rPr>
        <w:rFonts w:hint="default" w:ascii="Symbol" w:hAnsi="Symbol"/>
      </w:rPr>
    </w:lvl>
    <w:lvl w:ilvl="1">
      <w:start w:val="1"/>
      <w:numFmt w:val="bullet"/>
      <w:isLgl w:val="false"/>
      <w:suff w:val="tab"/>
      <w:lvlText w:val="o"/>
      <w:lvlJc w:val="left"/>
      <w:pPr>
        <w:ind w:left="2715" w:hanging="360"/>
      </w:pPr>
      <w:rPr>
        <w:rFonts w:hint="default" w:ascii="Courier New" w:hAnsi="Courier New" w:cs="Courier New"/>
      </w:rPr>
    </w:lvl>
    <w:lvl w:ilvl="2">
      <w:start w:val="1"/>
      <w:numFmt w:val="bullet"/>
      <w:isLgl w:val="false"/>
      <w:suff w:val="tab"/>
      <w:lvlText w:val=""/>
      <w:lvlJc w:val="left"/>
      <w:pPr>
        <w:ind w:left="3435" w:hanging="360"/>
      </w:pPr>
      <w:rPr>
        <w:rFonts w:hint="default" w:ascii="Wingdings" w:hAnsi="Wingdings"/>
      </w:rPr>
    </w:lvl>
    <w:lvl w:ilvl="3">
      <w:start w:val="1"/>
      <w:numFmt w:val="bullet"/>
      <w:isLgl w:val="false"/>
      <w:suff w:val="tab"/>
      <w:lvlText w:val=""/>
      <w:lvlJc w:val="left"/>
      <w:pPr>
        <w:ind w:left="4155" w:hanging="360"/>
      </w:pPr>
      <w:rPr>
        <w:rFonts w:hint="default" w:ascii="Symbol" w:hAnsi="Symbol"/>
      </w:rPr>
    </w:lvl>
    <w:lvl w:ilvl="4">
      <w:start w:val="1"/>
      <w:numFmt w:val="bullet"/>
      <w:isLgl w:val="false"/>
      <w:suff w:val="tab"/>
      <w:lvlText w:val="o"/>
      <w:lvlJc w:val="left"/>
      <w:pPr>
        <w:ind w:left="4875" w:hanging="360"/>
      </w:pPr>
      <w:rPr>
        <w:rFonts w:hint="default" w:ascii="Courier New" w:hAnsi="Courier New" w:cs="Courier New"/>
      </w:rPr>
    </w:lvl>
    <w:lvl w:ilvl="5">
      <w:start w:val="1"/>
      <w:numFmt w:val="bullet"/>
      <w:isLgl w:val="false"/>
      <w:suff w:val="tab"/>
      <w:lvlText w:val=""/>
      <w:lvlJc w:val="left"/>
      <w:pPr>
        <w:ind w:left="5595" w:hanging="360"/>
      </w:pPr>
      <w:rPr>
        <w:rFonts w:hint="default" w:ascii="Wingdings" w:hAnsi="Wingdings"/>
      </w:rPr>
    </w:lvl>
    <w:lvl w:ilvl="6">
      <w:start w:val="1"/>
      <w:numFmt w:val="bullet"/>
      <w:isLgl w:val="false"/>
      <w:suff w:val="tab"/>
      <w:lvlText w:val=""/>
      <w:lvlJc w:val="left"/>
      <w:pPr>
        <w:ind w:left="6315" w:hanging="360"/>
      </w:pPr>
      <w:rPr>
        <w:rFonts w:hint="default" w:ascii="Symbol" w:hAnsi="Symbol"/>
      </w:rPr>
    </w:lvl>
    <w:lvl w:ilvl="7">
      <w:start w:val="1"/>
      <w:numFmt w:val="bullet"/>
      <w:isLgl w:val="false"/>
      <w:suff w:val="tab"/>
      <w:lvlText w:val="o"/>
      <w:lvlJc w:val="left"/>
      <w:pPr>
        <w:ind w:left="7035" w:hanging="360"/>
      </w:pPr>
      <w:rPr>
        <w:rFonts w:hint="default" w:ascii="Courier New" w:hAnsi="Courier New" w:cs="Courier New"/>
      </w:rPr>
    </w:lvl>
    <w:lvl w:ilvl="8">
      <w:start w:val="1"/>
      <w:numFmt w:val="bullet"/>
      <w:isLgl w:val="false"/>
      <w:suff w:val="tab"/>
      <w:lvlText w:val=""/>
      <w:lvlJc w:val="left"/>
      <w:pPr>
        <w:ind w:left="7755" w:hanging="360"/>
      </w:pPr>
      <w:rPr>
        <w:rFonts w:hint="default" w:ascii="Wingdings" w:hAnsi="Wingdings"/>
      </w:rPr>
    </w:lvl>
  </w:abstractNum>
  <w:abstractNum w:abstractNumId="85">
    <w:multiLevelType w:val="hybridMultilevel"/>
    <w:lvl w:ilvl="0">
      <w:start w:val="1"/>
      <w:numFmt w:val="bullet"/>
      <w:isLgl w:val="false"/>
      <w:suff w:val="tab"/>
      <w:lvlText w:val=""/>
      <w:lvlJc w:val="left"/>
      <w:pPr>
        <w:ind w:left="1287" w:hanging="360"/>
      </w:pPr>
      <w:rPr>
        <w:rFonts w:hint="default" w:ascii="Symbol" w:hAnsi="Symbol"/>
      </w:rPr>
    </w:lvl>
    <w:lvl w:ilvl="1">
      <w:start w:val="1"/>
      <w:numFmt w:val="bullet"/>
      <w:isLgl w:val="false"/>
      <w:suff w:val="tab"/>
      <w:lvlText w:val="o"/>
      <w:lvlJc w:val="left"/>
      <w:pPr>
        <w:ind w:left="2007" w:hanging="360"/>
      </w:pPr>
      <w:rPr>
        <w:rFonts w:hint="default" w:ascii="Courier New" w:hAnsi="Courier New" w:cs="Courier New"/>
      </w:rPr>
    </w:lvl>
    <w:lvl w:ilvl="2">
      <w:start w:val="1"/>
      <w:numFmt w:val="bullet"/>
      <w:isLgl w:val="false"/>
      <w:suff w:val="tab"/>
      <w:lvlText w:val=""/>
      <w:lvlJc w:val="left"/>
      <w:pPr>
        <w:ind w:left="2727" w:hanging="360"/>
      </w:pPr>
      <w:rPr>
        <w:rFonts w:hint="default" w:ascii="Wingdings" w:hAnsi="Wingdings"/>
      </w:rPr>
    </w:lvl>
    <w:lvl w:ilvl="3">
      <w:start w:val="1"/>
      <w:numFmt w:val="bullet"/>
      <w:isLgl w:val="false"/>
      <w:suff w:val="tab"/>
      <w:lvlText w:val=""/>
      <w:lvlJc w:val="left"/>
      <w:pPr>
        <w:ind w:left="3447" w:hanging="360"/>
      </w:pPr>
      <w:rPr>
        <w:rFonts w:hint="default" w:ascii="Symbol" w:hAnsi="Symbol"/>
      </w:rPr>
    </w:lvl>
    <w:lvl w:ilvl="4">
      <w:start w:val="1"/>
      <w:numFmt w:val="bullet"/>
      <w:isLgl w:val="false"/>
      <w:suff w:val="tab"/>
      <w:lvlText w:val="o"/>
      <w:lvlJc w:val="left"/>
      <w:pPr>
        <w:ind w:left="4167" w:hanging="360"/>
      </w:pPr>
      <w:rPr>
        <w:rFonts w:hint="default" w:ascii="Courier New" w:hAnsi="Courier New" w:cs="Courier New"/>
      </w:rPr>
    </w:lvl>
    <w:lvl w:ilvl="5">
      <w:start w:val="1"/>
      <w:numFmt w:val="bullet"/>
      <w:isLgl w:val="false"/>
      <w:suff w:val="tab"/>
      <w:lvlText w:val=""/>
      <w:lvlJc w:val="left"/>
      <w:pPr>
        <w:ind w:left="4887" w:hanging="360"/>
      </w:pPr>
      <w:rPr>
        <w:rFonts w:hint="default" w:ascii="Wingdings" w:hAnsi="Wingdings"/>
      </w:rPr>
    </w:lvl>
    <w:lvl w:ilvl="6">
      <w:start w:val="1"/>
      <w:numFmt w:val="bullet"/>
      <w:isLgl w:val="false"/>
      <w:suff w:val="tab"/>
      <w:lvlText w:val=""/>
      <w:lvlJc w:val="left"/>
      <w:pPr>
        <w:ind w:left="5607" w:hanging="360"/>
      </w:pPr>
      <w:rPr>
        <w:rFonts w:hint="default" w:ascii="Symbol" w:hAnsi="Symbol"/>
      </w:rPr>
    </w:lvl>
    <w:lvl w:ilvl="7">
      <w:start w:val="1"/>
      <w:numFmt w:val="bullet"/>
      <w:isLgl w:val="false"/>
      <w:suff w:val="tab"/>
      <w:lvlText w:val="o"/>
      <w:lvlJc w:val="left"/>
      <w:pPr>
        <w:ind w:left="6327" w:hanging="360"/>
      </w:pPr>
      <w:rPr>
        <w:rFonts w:hint="default" w:ascii="Courier New" w:hAnsi="Courier New" w:cs="Courier New"/>
      </w:rPr>
    </w:lvl>
    <w:lvl w:ilvl="8">
      <w:start w:val="1"/>
      <w:numFmt w:val="bullet"/>
      <w:isLgl w:val="false"/>
      <w:suff w:val="tab"/>
      <w:lvlText w:val=""/>
      <w:lvlJc w:val="left"/>
      <w:pPr>
        <w:ind w:left="7047" w:hanging="360"/>
      </w:pPr>
      <w:rPr>
        <w:rFonts w:hint="default" w:ascii="Wingdings" w:hAnsi="Wingdings"/>
      </w:rPr>
    </w:lvl>
  </w:abstractNum>
  <w:abstractNum w:abstractNumId="86">
    <w:multiLevelType w:val="hybridMultilevel"/>
    <w:lvl w:ilvl="0">
      <w:start w:val="1"/>
      <w:numFmt w:val="bullet"/>
      <w:isLgl w:val="false"/>
      <w:suff w:val="tab"/>
      <w:lvlText w:val=""/>
      <w:lvlJc w:val="left"/>
      <w:pPr>
        <w:ind w:left="1287" w:hanging="360"/>
      </w:pPr>
      <w:rPr>
        <w:rFonts w:hint="default" w:ascii="Symbol" w:hAnsi="Symbol"/>
      </w:rPr>
    </w:lvl>
    <w:lvl w:ilvl="1">
      <w:start w:val="1"/>
      <w:numFmt w:val="bullet"/>
      <w:isLgl w:val="false"/>
      <w:suff w:val="tab"/>
      <w:lvlText w:val="o"/>
      <w:lvlJc w:val="left"/>
      <w:pPr>
        <w:ind w:left="2007" w:hanging="360"/>
      </w:pPr>
      <w:rPr>
        <w:rFonts w:hint="default" w:ascii="Courier New" w:hAnsi="Courier New" w:cs="Courier New"/>
      </w:rPr>
    </w:lvl>
    <w:lvl w:ilvl="2">
      <w:start w:val="1"/>
      <w:numFmt w:val="bullet"/>
      <w:isLgl w:val="false"/>
      <w:suff w:val="tab"/>
      <w:lvlText w:val=""/>
      <w:lvlJc w:val="left"/>
      <w:pPr>
        <w:ind w:left="2727" w:hanging="360"/>
      </w:pPr>
      <w:rPr>
        <w:rFonts w:hint="default" w:ascii="Wingdings" w:hAnsi="Wingdings"/>
      </w:rPr>
    </w:lvl>
    <w:lvl w:ilvl="3">
      <w:start w:val="1"/>
      <w:numFmt w:val="bullet"/>
      <w:isLgl w:val="false"/>
      <w:suff w:val="tab"/>
      <w:lvlText w:val=""/>
      <w:lvlJc w:val="left"/>
      <w:pPr>
        <w:ind w:left="3447" w:hanging="360"/>
      </w:pPr>
      <w:rPr>
        <w:rFonts w:hint="default" w:ascii="Symbol" w:hAnsi="Symbol"/>
      </w:rPr>
    </w:lvl>
    <w:lvl w:ilvl="4">
      <w:start w:val="1"/>
      <w:numFmt w:val="bullet"/>
      <w:isLgl w:val="false"/>
      <w:suff w:val="tab"/>
      <w:lvlText w:val="o"/>
      <w:lvlJc w:val="left"/>
      <w:pPr>
        <w:ind w:left="4167" w:hanging="360"/>
      </w:pPr>
      <w:rPr>
        <w:rFonts w:hint="default" w:ascii="Courier New" w:hAnsi="Courier New" w:cs="Courier New"/>
      </w:rPr>
    </w:lvl>
    <w:lvl w:ilvl="5">
      <w:start w:val="1"/>
      <w:numFmt w:val="bullet"/>
      <w:isLgl w:val="false"/>
      <w:suff w:val="tab"/>
      <w:lvlText w:val=""/>
      <w:lvlJc w:val="left"/>
      <w:pPr>
        <w:ind w:left="4887" w:hanging="360"/>
      </w:pPr>
      <w:rPr>
        <w:rFonts w:hint="default" w:ascii="Wingdings" w:hAnsi="Wingdings"/>
      </w:rPr>
    </w:lvl>
    <w:lvl w:ilvl="6">
      <w:start w:val="1"/>
      <w:numFmt w:val="bullet"/>
      <w:isLgl w:val="false"/>
      <w:suff w:val="tab"/>
      <w:lvlText w:val=""/>
      <w:lvlJc w:val="left"/>
      <w:pPr>
        <w:ind w:left="5607" w:hanging="360"/>
      </w:pPr>
      <w:rPr>
        <w:rFonts w:hint="default" w:ascii="Symbol" w:hAnsi="Symbol"/>
      </w:rPr>
    </w:lvl>
    <w:lvl w:ilvl="7">
      <w:start w:val="1"/>
      <w:numFmt w:val="bullet"/>
      <w:isLgl w:val="false"/>
      <w:suff w:val="tab"/>
      <w:lvlText w:val="o"/>
      <w:lvlJc w:val="left"/>
      <w:pPr>
        <w:ind w:left="6327" w:hanging="360"/>
      </w:pPr>
      <w:rPr>
        <w:rFonts w:hint="default" w:ascii="Courier New" w:hAnsi="Courier New" w:cs="Courier New"/>
      </w:rPr>
    </w:lvl>
    <w:lvl w:ilvl="8">
      <w:start w:val="1"/>
      <w:numFmt w:val="bullet"/>
      <w:isLgl w:val="false"/>
      <w:suff w:val="tab"/>
      <w:lvlText w:val=""/>
      <w:lvlJc w:val="left"/>
      <w:pPr>
        <w:ind w:left="7047" w:hanging="360"/>
      </w:pPr>
      <w:rPr>
        <w:rFonts w:hint="default" w:ascii="Wingdings" w:hAnsi="Wingdings"/>
      </w:rPr>
    </w:lvl>
  </w:abstractNum>
  <w:abstractNum w:abstractNumId="87">
    <w:multiLevelType w:val="hybridMultilevel"/>
    <w:lvl w:ilvl="0">
      <w:start w:val="1"/>
      <w:numFmt w:val="bullet"/>
      <w:isLgl w:val="false"/>
      <w:suff w:val="tab"/>
      <w:lvlText w:val=""/>
      <w:lvlJc w:val="left"/>
      <w:pPr>
        <w:ind w:left="1287" w:hanging="360"/>
      </w:pPr>
      <w:rPr>
        <w:rFonts w:hint="default" w:ascii="Symbol" w:hAnsi="Symbol"/>
      </w:rPr>
    </w:lvl>
    <w:lvl w:ilvl="1">
      <w:start w:val="1"/>
      <w:numFmt w:val="bullet"/>
      <w:isLgl w:val="false"/>
      <w:suff w:val="tab"/>
      <w:lvlText w:val="o"/>
      <w:lvlJc w:val="left"/>
      <w:pPr>
        <w:ind w:left="2007" w:hanging="360"/>
      </w:pPr>
      <w:rPr>
        <w:rFonts w:hint="default" w:ascii="Courier New" w:hAnsi="Courier New" w:cs="Courier New"/>
      </w:rPr>
    </w:lvl>
    <w:lvl w:ilvl="2">
      <w:start w:val="1"/>
      <w:numFmt w:val="bullet"/>
      <w:isLgl w:val="false"/>
      <w:suff w:val="tab"/>
      <w:lvlText w:val=""/>
      <w:lvlJc w:val="left"/>
      <w:pPr>
        <w:ind w:left="2727" w:hanging="360"/>
      </w:pPr>
      <w:rPr>
        <w:rFonts w:hint="default" w:ascii="Wingdings" w:hAnsi="Wingdings"/>
      </w:rPr>
    </w:lvl>
    <w:lvl w:ilvl="3">
      <w:start w:val="1"/>
      <w:numFmt w:val="bullet"/>
      <w:isLgl w:val="false"/>
      <w:suff w:val="tab"/>
      <w:lvlText w:val=""/>
      <w:lvlJc w:val="left"/>
      <w:pPr>
        <w:ind w:left="3447" w:hanging="360"/>
      </w:pPr>
      <w:rPr>
        <w:rFonts w:hint="default" w:ascii="Symbol" w:hAnsi="Symbol"/>
      </w:rPr>
    </w:lvl>
    <w:lvl w:ilvl="4">
      <w:start w:val="1"/>
      <w:numFmt w:val="bullet"/>
      <w:isLgl w:val="false"/>
      <w:suff w:val="tab"/>
      <w:lvlText w:val="o"/>
      <w:lvlJc w:val="left"/>
      <w:pPr>
        <w:ind w:left="4167" w:hanging="360"/>
      </w:pPr>
      <w:rPr>
        <w:rFonts w:hint="default" w:ascii="Courier New" w:hAnsi="Courier New" w:cs="Courier New"/>
      </w:rPr>
    </w:lvl>
    <w:lvl w:ilvl="5">
      <w:start w:val="1"/>
      <w:numFmt w:val="bullet"/>
      <w:isLgl w:val="false"/>
      <w:suff w:val="tab"/>
      <w:lvlText w:val=""/>
      <w:lvlJc w:val="left"/>
      <w:pPr>
        <w:ind w:left="4887" w:hanging="360"/>
      </w:pPr>
      <w:rPr>
        <w:rFonts w:hint="default" w:ascii="Wingdings" w:hAnsi="Wingdings"/>
      </w:rPr>
    </w:lvl>
    <w:lvl w:ilvl="6">
      <w:start w:val="1"/>
      <w:numFmt w:val="bullet"/>
      <w:isLgl w:val="false"/>
      <w:suff w:val="tab"/>
      <w:lvlText w:val=""/>
      <w:lvlJc w:val="left"/>
      <w:pPr>
        <w:ind w:left="5607" w:hanging="360"/>
      </w:pPr>
      <w:rPr>
        <w:rFonts w:hint="default" w:ascii="Symbol" w:hAnsi="Symbol"/>
      </w:rPr>
    </w:lvl>
    <w:lvl w:ilvl="7">
      <w:start w:val="1"/>
      <w:numFmt w:val="bullet"/>
      <w:isLgl w:val="false"/>
      <w:suff w:val="tab"/>
      <w:lvlText w:val="o"/>
      <w:lvlJc w:val="left"/>
      <w:pPr>
        <w:ind w:left="6327" w:hanging="360"/>
      </w:pPr>
      <w:rPr>
        <w:rFonts w:hint="default" w:ascii="Courier New" w:hAnsi="Courier New" w:cs="Courier New"/>
      </w:rPr>
    </w:lvl>
    <w:lvl w:ilvl="8">
      <w:start w:val="1"/>
      <w:numFmt w:val="bullet"/>
      <w:isLgl w:val="false"/>
      <w:suff w:val="tab"/>
      <w:lvlText w:val=""/>
      <w:lvlJc w:val="left"/>
      <w:pPr>
        <w:ind w:left="7047" w:hanging="360"/>
      </w:pPr>
      <w:rPr>
        <w:rFonts w:hint="default" w:ascii="Wingdings" w:hAnsi="Wingdings"/>
      </w:rPr>
    </w:lvl>
  </w:abstractNum>
  <w:abstractNum w:abstractNumId="88">
    <w:multiLevelType w:val="hybridMultilevel"/>
    <w:lvl w:ilvl="0">
      <w:start w:val="1"/>
      <w:numFmt w:val="bullet"/>
      <w:isLgl w:val="false"/>
      <w:suff w:val="tab"/>
      <w:lvlText w:val=""/>
      <w:lvlJc w:val="left"/>
      <w:pPr>
        <w:ind w:left="1429" w:hanging="360"/>
      </w:pPr>
      <w:rPr>
        <w:rFonts w:hint="default" w:ascii="Symbol" w:hAnsi="Symbol"/>
      </w:rPr>
    </w:lvl>
    <w:lvl w:ilvl="1">
      <w:start w:val="1"/>
      <w:numFmt w:val="bullet"/>
      <w:isLgl w:val="false"/>
      <w:suff w:val="tab"/>
      <w:lvlText w:val="o"/>
      <w:lvlJc w:val="left"/>
      <w:pPr>
        <w:ind w:left="2149" w:hanging="360"/>
      </w:pPr>
      <w:rPr>
        <w:rFonts w:hint="default" w:ascii="Courier New" w:hAnsi="Courier New" w:cs="Courier New"/>
      </w:rPr>
    </w:lvl>
    <w:lvl w:ilvl="2">
      <w:start w:val="1"/>
      <w:numFmt w:val="bullet"/>
      <w:isLgl w:val="false"/>
      <w:suff w:val="tab"/>
      <w:lvlText w:val=""/>
      <w:lvlJc w:val="left"/>
      <w:pPr>
        <w:ind w:left="2869" w:hanging="360"/>
      </w:pPr>
      <w:rPr>
        <w:rFonts w:hint="default" w:ascii="Wingdings" w:hAnsi="Wingdings"/>
      </w:rPr>
    </w:lvl>
    <w:lvl w:ilvl="3">
      <w:start w:val="1"/>
      <w:numFmt w:val="bullet"/>
      <w:isLgl w:val="false"/>
      <w:suff w:val="tab"/>
      <w:lvlText w:val=""/>
      <w:lvlJc w:val="left"/>
      <w:pPr>
        <w:ind w:left="3589" w:hanging="360"/>
      </w:pPr>
      <w:rPr>
        <w:rFonts w:hint="default" w:ascii="Symbol" w:hAnsi="Symbol"/>
      </w:rPr>
    </w:lvl>
    <w:lvl w:ilvl="4">
      <w:start w:val="1"/>
      <w:numFmt w:val="bullet"/>
      <w:isLgl w:val="false"/>
      <w:suff w:val="tab"/>
      <w:lvlText w:val="o"/>
      <w:lvlJc w:val="left"/>
      <w:pPr>
        <w:ind w:left="4309" w:hanging="360"/>
      </w:pPr>
      <w:rPr>
        <w:rFonts w:hint="default" w:ascii="Courier New" w:hAnsi="Courier New" w:cs="Courier New"/>
      </w:rPr>
    </w:lvl>
    <w:lvl w:ilvl="5">
      <w:start w:val="1"/>
      <w:numFmt w:val="bullet"/>
      <w:isLgl w:val="false"/>
      <w:suff w:val="tab"/>
      <w:lvlText w:val=""/>
      <w:lvlJc w:val="left"/>
      <w:pPr>
        <w:ind w:left="5029" w:hanging="360"/>
      </w:pPr>
      <w:rPr>
        <w:rFonts w:hint="default" w:ascii="Wingdings" w:hAnsi="Wingdings"/>
      </w:rPr>
    </w:lvl>
    <w:lvl w:ilvl="6">
      <w:start w:val="1"/>
      <w:numFmt w:val="bullet"/>
      <w:isLgl w:val="false"/>
      <w:suff w:val="tab"/>
      <w:lvlText w:val=""/>
      <w:lvlJc w:val="left"/>
      <w:pPr>
        <w:ind w:left="5749" w:hanging="360"/>
      </w:pPr>
      <w:rPr>
        <w:rFonts w:hint="default" w:ascii="Symbol" w:hAnsi="Symbol"/>
      </w:rPr>
    </w:lvl>
    <w:lvl w:ilvl="7">
      <w:start w:val="1"/>
      <w:numFmt w:val="bullet"/>
      <w:isLgl w:val="false"/>
      <w:suff w:val="tab"/>
      <w:lvlText w:val="o"/>
      <w:lvlJc w:val="left"/>
      <w:pPr>
        <w:ind w:left="6469" w:hanging="360"/>
      </w:pPr>
      <w:rPr>
        <w:rFonts w:hint="default" w:ascii="Courier New" w:hAnsi="Courier New" w:cs="Courier New"/>
      </w:rPr>
    </w:lvl>
    <w:lvl w:ilvl="8">
      <w:start w:val="1"/>
      <w:numFmt w:val="bullet"/>
      <w:isLgl w:val="false"/>
      <w:suff w:val="tab"/>
      <w:lvlText w:val=""/>
      <w:lvlJc w:val="left"/>
      <w:pPr>
        <w:ind w:left="7189" w:hanging="360"/>
      </w:pPr>
      <w:rPr>
        <w:rFonts w:hint="default" w:ascii="Wingdings" w:hAnsi="Wingdings"/>
      </w:rPr>
    </w:lvl>
  </w:abstractNum>
  <w:abstractNum w:abstractNumId="89">
    <w:multiLevelType w:val="hybridMultilevel"/>
    <w:lvl w:ilvl="0">
      <w:start w:val="1"/>
      <w:numFmt w:val="bullet"/>
      <w:isLgl w:val="false"/>
      <w:suff w:val="tab"/>
      <w:lvlText w:val=""/>
      <w:lvlJc w:val="left"/>
      <w:pPr>
        <w:ind w:left="2126" w:hanging="360"/>
      </w:pPr>
      <w:rPr>
        <w:rFonts w:hint="default" w:ascii="Symbol" w:hAnsi="Symbol"/>
      </w:rPr>
    </w:lvl>
    <w:lvl w:ilvl="1">
      <w:start w:val="1"/>
      <w:numFmt w:val="bullet"/>
      <w:isLgl w:val="false"/>
      <w:suff w:val="tab"/>
      <w:lvlText w:val="o"/>
      <w:lvlJc w:val="left"/>
      <w:pPr>
        <w:ind w:left="2846" w:hanging="360"/>
      </w:pPr>
      <w:rPr>
        <w:rFonts w:hint="default" w:ascii="Courier New" w:hAnsi="Courier New" w:eastAsia="Courier New" w:cs="Courier New"/>
      </w:rPr>
    </w:lvl>
    <w:lvl w:ilvl="2">
      <w:start w:val="1"/>
      <w:numFmt w:val="bullet"/>
      <w:isLgl w:val="false"/>
      <w:suff w:val="tab"/>
      <w:lvlText w:val="§"/>
      <w:lvlJc w:val="left"/>
      <w:pPr>
        <w:ind w:left="3566" w:hanging="360"/>
      </w:pPr>
      <w:rPr>
        <w:rFonts w:hint="default" w:ascii="Wingdings" w:hAnsi="Wingdings" w:eastAsia="Wingdings" w:cs="Wingdings"/>
      </w:rPr>
    </w:lvl>
    <w:lvl w:ilvl="3">
      <w:start w:val="1"/>
      <w:numFmt w:val="bullet"/>
      <w:isLgl w:val="false"/>
      <w:suff w:val="tab"/>
      <w:lvlText w:val="·"/>
      <w:lvlJc w:val="left"/>
      <w:pPr>
        <w:ind w:left="4286" w:hanging="360"/>
      </w:pPr>
      <w:rPr>
        <w:rFonts w:hint="default" w:ascii="Symbol" w:hAnsi="Symbol" w:eastAsia="Symbol" w:cs="Symbol"/>
      </w:rPr>
    </w:lvl>
    <w:lvl w:ilvl="4">
      <w:start w:val="1"/>
      <w:numFmt w:val="bullet"/>
      <w:isLgl w:val="false"/>
      <w:suff w:val="tab"/>
      <w:lvlText w:val="o"/>
      <w:lvlJc w:val="left"/>
      <w:pPr>
        <w:ind w:left="5006" w:hanging="360"/>
      </w:pPr>
      <w:rPr>
        <w:rFonts w:hint="default" w:ascii="Courier New" w:hAnsi="Courier New" w:eastAsia="Courier New" w:cs="Courier New"/>
      </w:rPr>
    </w:lvl>
    <w:lvl w:ilvl="5">
      <w:start w:val="1"/>
      <w:numFmt w:val="bullet"/>
      <w:isLgl w:val="false"/>
      <w:suff w:val="tab"/>
      <w:lvlText w:val="§"/>
      <w:lvlJc w:val="left"/>
      <w:pPr>
        <w:ind w:left="5726" w:hanging="360"/>
      </w:pPr>
      <w:rPr>
        <w:rFonts w:hint="default" w:ascii="Wingdings" w:hAnsi="Wingdings" w:eastAsia="Wingdings" w:cs="Wingdings"/>
      </w:rPr>
    </w:lvl>
    <w:lvl w:ilvl="6">
      <w:start w:val="1"/>
      <w:numFmt w:val="bullet"/>
      <w:isLgl w:val="false"/>
      <w:suff w:val="tab"/>
      <w:lvlText w:val="·"/>
      <w:lvlJc w:val="left"/>
      <w:pPr>
        <w:ind w:left="6446" w:hanging="360"/>
      </w:pPr>
      <w:rPr>
        <w:rFonts w:hint="default" w:ascii="Symbol" w:hAnsi="Symbol" w:eastAsia="Symbol" w:cs="Symbol"/>
      </w:rPr>
    </w:lvl>
    <w:lvl w:ilvl="7">
      <w:start w:val="1"/>
      <w:numFmt w:val="bullet"/>
      <w:isLgl w:val="false"/>
      <w:suff w:val="tab"/>
      <w:lvlText w:val="o"/>
      <w:lvlJc w:val="left"/>
      <w:pPr>
        <w:ind w:left="7166" w:hanging="360"/>
      </w:pPr>
      <w:rPr>
        <w:rFonts w:hint="default" w:ascii="Courier New" w:hAnsi="Courier New" w:eastAsia="Courier New" w:cs="Courier New"/>
      </w:rPr>
    </w:lvl>
    <w:lvl w:ilvl="8">
      <w:start w:val="1"/>
      <w:numFmt w:val="bullet"/>
      <w:isLgl w:val="false"/>
      <w:suff w:val="tab"/>
      <w:lvlText w:val="§"/>
      <w:lvlJc w:val="left"/>
      <w:pPr>
        <w:ind w:left="7886" w:hanging="360"/>
      </w:pPr>
      <w:rPr>
        <w:rFonts w:hint="default" w:ascii="Wingdings" w:hAnsi="Wingdings" w:eastAsia="Wingdings" w:cs="Wingdings"/>
      </w:rPr>
    </w:lvl>
  </w:abstractNum>
  <w:abstractNum w:abstractNumId="90">
    <w:multiLevelType w:val="hybridMultilevel"/>
    <w:lvl w:ilvl="0">
      <w:start w:val="1"/>
      <w:numFmt w:val="bullet"/>
      <w:isLgl w:val="false"/>
      <w:suff w:val="tab"/>
      <w:lvlText w:val=""/>
      <w:lvlJc w:val="left"/>
      <w:pPr>
        <w:ind w:left="1287" w:hanging="360"/>
      </w:pPr>
      <w:rPr>
        <w:rFonts w:hint="default" w:ascii="Symbol" w:hAnsi="Symbol"/>
      </w:rPr>
    </w:lvl>
    <w:lvl w:ilvl="1">
      <w:start w:val="1"/>
      <w:numFmt w:val="bullet"/>
      <w:isLgl w:val="false"/>
      <w:suff w:val="tab"/>
      <w:lvlText w:val="o"/>
      <w:lvlJc w:val="left"/>
      <w:pPr>
        <w:ind w:left="2007" w:hanging="360"/>
      </w:pPr>
      <w:rPr>
        <w:rFonts w:hint="default" w:ascii="Courier New" w:hAnsi="Courier New" w:cs="Courier New"/>
      </w:rPr>
    </w:lvl>
    <w:lvl w:ilvl="2">
      <w:start w:val="1"/>
      <w:numFmt w:val="bullet"/>
      <w:isLgl w:val="false"/>
      <w:suff w:val="tab"/>
      <w:lvlText w:val=""/>
      <w:lvlJc w:val="left"/>
      <w:pPr>
        <w:ind w:left="2727" w:hanging="360"/>
      </w:pPr>
      <w:rPr>
        <w:rFonts w:hint="default" w:ascii="Wingdings" w:hAnsi="Wingdings"/>
      </w:rPr>
    </w:lvl>
    <w:lvl w:ilvl="3">
      <w:start w:val="1"/>
      <w:numFmt w:val="bullet"/>
      <w:isLgl w:val="false"/>
      <w:suff w:val="tab"/>
      <w:lvlText w:val=""/>
      <w:lvlJc w:val="left"/>
      <w:pPr>
        <w:ind w:left="3447" w:hanging="360"/>
      </w:pPr>
      <w:rPr>
        <w:rFonts w:hint="default" w:ascii="Symbol" w:hAnsi="Symbol"/>
      </w:rPr>
    </w:lvl>
    <w:lvl w:ilvl="4">
      <w:start w:val="1"/>
      <w:numFmt w:val="bullet"/>
      <w:isLgl w:val="false"/>
      <w:suff w:val="tab"/>
      <w:lvlText w:val="o"/>
      <w:lvlJc w:val="left"/>
      <w:pPr>
        <w:ind w:left="4167" w:hanging="360"/>
      </w:pPr>
      <w:rPr>
        <w:rFonts w:hint="default" w:ascii="Courier New" w:hAnsi="Courier New" w:cs="Courier New"/>
      </w:rPr>
    </w:lvl>
    <w:lvl w:ilvl="5">
      <w:start w:val="1"/>
      <w:numFmt w:val="bullet"/>
      <w:isLgl w:val="false"/>
      <w:suff w:val="tab"/>
      <w:lvlText w:val=""/>
      <w:lvlJc w:val="left"/>
      <w:pPr>
        <w:ind w:left="4887" w:hanging="360"/>
      </w:pPr>
      <w:rPr>
        <w:rFonts w:hint="default" w:ascii="Wingdings" w:hAnsi="Wingdings"/>
      </w:rPr>
    </w:lvl>
    <w:lvl w:ilvl="6">
      <w:start w:val="1"/>
      <w:numFmt w:val="bullet"/>
      <w:isLgl w:val="false"/>
      <w:suff w:val="tab"/>
      <w:lvlText w:val=""/>
      <w:lvlJc w:val="left"/>
      <w:pPr>
        <w:ind w:left="5607" w:hanging="360"/>
      </w:pPr>
      <w:rPr>
        <w:rFonts w:hint="default" w:ascii="Symbol" w:hAnsi="Symbol"/>
      </w:rPr>
    </w:lvl>
    <w:lvl w:ilvl="7">
      <w:start w:val="1"/>
      <w:numFmt w:val="bullet"/>
      <w:isLgl w:val="false"/>
      <w:suff w:val="tab"/>
      <w:lvlText w:val="o"/>
      <w:lvlJc w:val="left"/>
      <w:pPr>
        <w:ind w:left="6327" w:hanging="360"/>
      </w:pPr>
      <w:rPr>
        <w:rFonts w:hint="default" w:ascii="Courier New" w:hAnsi="Courier New" w:cs="Courier New"/>
      </w:rPr>
    </w:lvl>
    <w:lvl w:ilvl="8">
      <w:start w:val="1"/>
      <w:numFmt w:val="bullet"/>
      <w:isLgl w:val="false"/>
      <w:suff w:val="tab"/>
      <w:lvlText w:val=""/>
      <w:lvlJc w:val="left"/>
      <w:pPr>
        <w:ind w:left="7047" w:hanging="360"/>
      </w:pPr>
      <w:rPr>
        <w:rFonts w:hint="default" w:ascii="Wingdings" w:hAnsi="Wingdings"/>
      </w:rPr>
    </w:lvl>
  </w:abstractNum>
  <w:abstractNum w:abstractNumId="91">
    <w:multiLevelType w:val="hybridMultilevel"/>
    <w:lvl w:ilvl="0">
      <w:start w:val="1"/>
      <w:numFmt w:val="bullet"/>
      <w:isLgl w:val="false"/>
      <w:suff w:val="tab"/>
      <w:lvlText w:val=""/>
      <w:lvlJc w:val="left"/>
      <w:pPr>
        <w:ind w:left="720" w:hanging="360"/>
      </w:pPr>
      <w:rPr>
        <w:rFonts w:hint="default" w:ascii="Symbol" w:hAnsi="Symbol"/>
      </w:rPr>
    </w:lvl>
    <w:lvl w:ilvl="1">
      <w:start w:val="1"/>
      <w:numFmt w:val="bullet"/>
      <w:isLgl w:val="false"/>
      <w:suff w:val="tab"/>
      <w:lvlText w:val="o"/>
      <w:lvlJc w:val="left"/>
      <w:pPr>
        <w:ind w:left="1440" w:hanging="360"/>
      </w:pPr>
      <w:rPr>
        <w:rFonts w:hint="default" w:ascii="Courier New" w:hAnsi="Courier New" w:cs="Courier New"/>
      </w:rPr>
    </w:lvl>
    <w:lvl w:ilvl="2">
      <w:start w:val="1"/>
      <w:numFmt w:val="bullet"/>
      <w:isLgl w:val="false"/>
      <w:suff w:val="tab"/>
      <w:lvlText w:val=""/>
      <w:lvlJc w:val="left"/>
      <w:pPr>
        <w:ind w:left="2160" w:hanging="360"/>
      </w:pPr>
      <w:rPr>
        <w:rFonts w:hint="default" w:ascii="Wingdings" w:hAnsi="Wingdings"/>
      </w:rPr>
    </w:lvl>
    <w:lvl w:ilvl="3">
      <w:start w:val="1"/>
      <w:numFmt w:val="bullet"/>
      <w:isLgl w:val="false"/>
      <w:suff w:val="tab"/>
      <w:lvlText w:val=""/>
      <w:lvlJc w:val="left"/>
      <w:pPr>
        <w:ind w:left="2880" w:hanging="360"/>
      </w:pPr>
      <w:rPr>
        <w:rFonts w:hint="default" w:ascii="Symbol" w:hAnsi="Symbol"/>
      </w:rPr>
    </w:lvl>
    <w:lvl w:ilvl="4">
      <w:start w:val="1"/>
      <w:numFmt w:val="bullet"/>
      <w:isLgl w:val="false"/>
      <w:suff w:val="tab"/>
      <w:lvlText w:val="o"/>
      <w:lvlJc w:val="left"/>
      <w:pPr>
        <w:ind w:left="3600" w:hanging="360"/>
      </w:pPr>
      <w:rPr>
        <w:rFonts w:hint="default" w:ascii="Courier New" w:hAnsi="Courier New" w:cs="Courier New"/>
      </w:rPr>
    </w:lvl>
    <w:lvl w:ilvl="5">
      <w:start w:val="1"/>
      <w:numFmt w:val="bullet"/>
      <w:isLgl w:val="false"/>
      <w:suff w:val="tab"/>
      <w:lvlText w:val=""/>
      <w:lvlJc w:val="left"/>
      <w:pPr>
        <w:ind w:left="4320" w:hanging="360"/>
      </w:pPr>
      <w:rPr>
        <w:rFonts w:hint="default" w:ascii="Wingdings" w:hAnsi="Wingdings"/>
      </w:rPr>
    </w:lvl>
    <w:lvl w:ilvl="6">
      <w:start w:val="1"/>
      <w:numFmt w:val="bullet"/>
      <w:isLgl w:val="false"/>
      <w:suff w:val="tab"/>
      <w:lvlText w:val=""/>
      <w:lvlJc w:val="left"/>
      <w:pPr>
        <w:ind w:left="5040" w:hanging="360"/>
      </w:pPr>
      <w:rPr>
        <w:rFonts w:hint="default" w:ascii="Symbol" w:hAnsi="Symbol"/>
      </w:rPr>
    </w:lvl>
    <w:lvl w:ilvl="7">
      <w:start w:val="1"/>
      <w:numFmt w:val="bullet"/>
      <w:isLgl w:val="false"/>
      <w:suff w:val="tab"/>
      <w:lvlText w:val="o"/>
      <w:lvlJc w:val="left"/>
      <w:pPr>
        <w:ind w:left="5760" w:hanging="360"/>
      </w:pPr>
      <w:rPr>
        <w:rFonts w:hint="default" w:ascii="Courier New" w:hAnsi="Courier New" w:cs="Courier New"/>
      </w:rPr>
    </w:lvl>
    <w:lvl w:ilvl="8">
      <w:start w:val="1"/>
      <w:numFmt w:val="bullet"/>
      <w:isLgl w:val="false"/>
      <w:suff w:val="tab"/>
      <w:lvlText w:val=""/>
      <w:lvlJc w:val="left"/>
      <w:pPr>
        <w:ind w:left="6480" w:hanging="360"/>
      </w:pPr>
      <w:rPr>
        <w:rFonts w:hint="default" w:ascii="Wingdings" w:hAnsi="Wingdings"/>
      </w:rPr>
    </w:lvl>
  </w:abstractNum>
  <w:abstractNum w:abstractNumId="92">
    <w:multiLevelType w:val="hybridMultilevel"/>
    <w:lvl w:ilvl="0">
      <w:start w:val="1"/>
      <w:numFmt w:val="bullet"/>
      <w:isLgl w:val="false"/>
      <w:suff w:val="tab"/>
      <w:lvlText w:val=""/>
      <w:lvlJc w:val="left"/>
      <w:pPr>
        <w:ind w:left="0"/>
      </w:pPr>
      <w:rPr>
        <w:rFonts w:hint="default" w:ascii="Symbol" w:hAnsi="Symbol"/>
        <w:b w:val="0"/>
        <w:i w:val="0"/>
        <w:strike w:val="0"/>
        <w:color w:val="000000"/>
        <w:sz w:val="28"/>
        <w:szCs w:val="28"/>
        <w:u w:val="none"/>
        <w:vertAlign w:val="baseline"/>
      </w:rPr>
    </w:lvl>
    <w:lvl w:ilvl="1">
      <w:start w:val="1"/>
      <w:numFmt w:val="bullet"/>
      <w:isLgl w:val="false"/>
      <w:suff w:val="tab"/>
      <w:lvlText w:val="o"/>
      <w:lvlJc w:val="left"/>
      <w:pPr>
        <w:ind w:left="1788"/>
      </w:pPr>
      <w:rPr>
        <w:rFonts w:ascii="Times New Roman" w:hAnsi="Times New Roman" w:eastAsia="Times New Roman" w:cs="Times New Roman"/>
        <w:b w:val="0"/>
        <w:i w:val="0"/>
        <w:strike w:val="0"/>
        <w:color w:val="000000"/>
        <w:sz w:val="28"/>
        <w:szCs w:val="28"/>
        <w:u w:val="none"/>
        <w:vertAlign w:val="baseline"/>
      </w:rPr>
    </w:lvl>
    <w:lvl w:ilvl="2">
      <w:start w:val="1"/>
      <w:numFmt w:val="bullet"/>
      <w:isLgl w:val="false"/>
      <w:suff w:val="tab"/>
      <w:lvlText w:val="▪"/>
      <w:lvlJc w:val="left"/>
      <w:pPr>
        <w:ind w:left="2508"/>
      </w:pPr>
      <w:rPr>
        <w:rFonts w:ascii="Times New Roman" w:hAnsi="Times New Roman" w:eastAsia="Times New Roman" w:cs="Times New Roman"/>
        <w:b w:val="0"/>
        <w:i w:val="0"/>
        <w:strike w:val="0"/>
        <w:color w:val="000000"/>
        <w:sz w:val="28"/>
        <w:szCs w:val="28"/>
        <w:u w:val="none"/>
        <w:vertAlign w:val="baseline"/>
      </w:rPr>
    </w:lvl>
    <w:lvl w:ilvl="3">
      <w:start w:val="1"/>
      <w:numFmt w:val="bullet"/>
      <w:isLgl w:val="false"/>
      <w:suff w:val="tab"/>
      <w:lvlText w:val="•"/>
      <w:lvlJc w:val="left"/>
      <w:pPr>
        <w:ind w:left="3228"/>
      </w:pPr>
      <w:rPr>
        <w:rFonts w:ascii="Times New Roman" w:hAnsi="Times New Roman" w:eastAsia="Times New Roman" w:cs="Times New Roman"/>
        <w:b w:val="0"/>
        <w:i w:val="0"/>
        <w:strike w:val="0"/>
        <w:color w:val="000000"/>
        <w:sz w:val="28"/>
        <w:szCs w:val="28"/>
        <w:u w:val="none"/>
        <w:vertAlign w:val="baseline"/>
      </w:rPr>
    </w:lvl>
    <w:lvl w:ilvl="4">
      <w:start w:val="1"/>
      <w:numFmt w:val="bullet"/>
      <w:isLgl w:val="false"/>
      <w:suff w:val="tab"/>
      <w:lvlText w:val="o"/>
      <w:lvlJc w:val="left"/>
      <w:pPr>
        <w:ind w:left="3948"/>
      </w:pPr>
      <w:rPr>
        <w:rFonts w:ascii="Times New Roman" w:hAnsi="Times New Roman" w:eastAsia="Times New Roman" w:cs="Times New Roman"/>
        <w:b w:val="0"/>
        <w:i w:val="0"/>
        <w:strike w:val="0"/>
        <w:color w:val="000000"/>
        <w:sz w:val="28"/>
        <w:szCs w:val="28"/>
        <w:u w:val="none"/>
        <w:vertAlign w:val="baseline"/>
      </w:rPr>
    </w:lvl>
    <w:lvl w:ilvl="5">
      <w:start w:val="1"/>
      <w:numFmt w:val="bullet"/>
      <w:isLgl w:val="false"/>
      <w:suff w:val="tab"/>
      <w:lvlText w:val="▪"/>
      <w:lvlJc w:val="left"/>
      <w:pPr>
        <w:ind w:left="4668"/>
      </w:pPr>
      <w:rPr>
        <w:rFonts w:ascii="Times New Roman" w:hAnsi="Times New Roman" w:eastAsia="Times New Roman" w:cs="Times New Roman"/>
        <w:b w:val="0"/>
        <w:i w:val="0"/>
        <w:strike w:val="0"/>
        <w:color w:val="000000"/>
        <w:sz w:val="28"/>
        <w:szCs w:val="28"/>
        <w:u w:val="none"/>
        <w:vertAlign w:val="baseline"/>
      </w:rPr>
    </w:lvl>
    <w:lvl w:ilvl="6">
      <w:start w:val="1"/>
      <w:numFmt w:val="bullet"/>
      <w:isLgl w:val="false"/>
      <w:suff w:val="tab"/>
      <w:lvlText w:val="•"/>
      <w:lvlJc w:val="left"/>
      <w:pPr>
        <w:ind w:left="5388"/>
      </w:pPr>
      <w:rPr>
        <w:rFonts w:ascii="Times New Roman" w:hAnsi="Times New Roman" w:eastAsia="Times New Roman" w:cs="Times New Roman"/>
        <w:b w:val="0"/>
        <w:i w:val="0"/>
        <w:strike w:val="0"/>
        <w:color w:val="000000"/>
        <w:sz w:val="28"/>
        <w:szCs w:val="28"/>
        <w:u w:val="none"/>
        <w:vertAlign w:val="baseline"/>
      </w:rPr>
    </w:lvl>
    <w:lvl w:ilvl="7">
      <w:start w:val="1"/>
      <w:numFmt w:val="bullet"/>
      <w:isLgl w:val="false"/>
      <w:suff w:val="tab"/>
      <w:lvlText w:val="o"/>
      <w:lvlJc w:val="left"/>
      <w:pPr>
        <w:ind w:left="6108"/>
      </w:pPr>
      <w:rPr>
        <w:rFonts w:ascii="Times New Roman" w:hAnsi="Times New Roman" w:eastAsia="Times New Roman" w:cs="Times New Roman"/>
        <w:b w:val="0"/>
        <w:i w:val="0"/>
        <w:strike w:val="0"/>
        <w:color w:val="000000"/>
        <w:sz w:val="28"/>
        <w:szCs w:val="28"/>
        <w:u w:val="none"/>
        <w:vertAlign w:val="baseline"/>
      </w:rPr>
    </w:lvl>
    <w:lvl w:ilvl="8">
      <w:start w:val="1"/>
      <w:numFmt w:val="bullet"/>
      <w:isLgl w:val="false"/>
      <w:suff w:val="tab"/>
      <w:lvlText w:val="▪"/>
      <w:lvlJc w:val="left"/>
      <w:pPr>
        <w:ind w:left="6828"/>
      </w:pPr>
      <w:rPr>
        <w:rFonts w:ascii="Times New Roman" w:hAnsi="Times New Roman" w:eastAsia="Times New Roman" w:cs="Times New Roman"/>
        <w:b w:val="0"/>
        <w:i w:val="0"/>
        <w:strike w:val="0"/>
        <w:color w:val="000000"/>
        <w:sz w:val="28"/>
        <w:szCs w:val="28"/>
        <w:u w:val="none"/>
        <w:vertAlign w:val="baseline"/>
      </w:rPr>
    </w:lvl>
  </w:abstractNum>
  <w:abstractNum w:abstractNumId="93">
    <w:multiLevelType w:val="hybridMultilevel"/>
    <w:lvl w:ilvl="0">
      <w:start w:val="1"/>
      <w:numFmt w:val="bullet"/>
      <w:isLgl w:val="false"/>
      <w:suff w:val="tab"/>
      <w:lvlText w:val=""/>
      <w:lvlJc w:val="left"/>
      <w:pPr>
        <w:ind w:left="720" w:hanging="360"/>
      </w:pPr>
      <w:rPr>
        <w:rFonts w:hint="default" w:ascii="Symbol" w:hAnsi="Symbol"/>
      </w:rPr>
    </w:lvl>
    <w:lvl w:ilvl="1">
      <w:start w:val="1"/>
      <w:numFmt w:val="bullet"/>
      <w:isLgl w:val="false"/>
      <w:suff w:val="tab"/>
      <w:lvlText w:val="o"/>
      <w:lvlJc w:val="left"/>
      <w:pPr>
        <w:ind w:left="1440" w:hanging="360"/>
      </w:pPr>
      <w:rPr>
        <w:rFonts w:hint="default" w:ascii="Courier New" w:hAnsi="Courier New" w:cs="Courier New"/>
      </w:rPr>
    </w:lvl>
    <w:lvl w:ilvl="2">
      <w:start w:val="1"/>
      <w:numFmt w:val="bullet"/>
      <w:isLgl w:val="false"/>
      <w:suff w:val="tab"/>
      <w:lvlText w:val=""/>
      <w:lvlJc w:val="left"/>
      <w:pPr>
        <w:ind w:left="2160" w:hanging="360"/>
      </w:pPr>
      <w:rPr>
        <w:rFonts w:hint="default" w:ascii="Wingdings" w:hAnsi="Wingdings"/>
      </w:rPr>
    </w:lvl>
    <w:lvl w:ilvl="3">
      <w:start w:val="1"/>
      <w:numFmt w:val="bullet"/>
      <w:isLgl w:val="false"/>
      <w:suff w:val="tab"/>
      <w:lvlText w:val=""/>
      <w:lvlJc w:val="left"/>
      <w:pPr>
        <w:ind w:left="2880" w:hanging="360"/>
      </w:pPr>
      <w:rPr>
        <w:rFonts w:hint="default" w:ascii="Symbol" w:hAnsi="Symbol"/>
      </w:rPr>
    </w:lvl>
    <w:lvl w:ilvl="4">
      <w:start w:val="1"/>
      <w:numFmt w:val="bullet"/>
      <w:isLgl w:val="false"/>
      <w:suff w:val="tab"/>
      <w:lvlText w:val="o"/>
      <w:lvlJc w:val="left"/>
      <w:pPr>
        <w:ind w:left="3600" w:hanging="360"/>
      </w:pPr>
      <w:rPr>
        <w:rFonts w:hint="default" w:ascii="Courier New" w:hAnsi="Courier New" w:cs="Courier New"/>
      </w:rPr>
    </w:lvl>
    <w:lvl w:ilvl="5">
      <w:start w:val="1"/>
      <w:numFmt w:val="bullet"/>
      <w:isLgl w:val="false"/>
      <w:suff w:val="tab"/>
      <w:lvlText w:val=""/>
      <w:lvlJc w:val="left"/>
      <w:pPr>
        <w:ind w:left="4320" w:hanging="360"/>
      </w:pPr>
      <w:rPr>
        <w:rFonts w:hint="default" w:ascii="Wingdings" w:hAnsi="Wingdings"/>
      </w:rPr>
    </w:lvl>
    <w:lvl w:ilvl="6">
      <w:start w:val="1"/>
      <w:numFmt w:val="bullet"/>
      <w:isLgl w:val="false"/>
      <w:suff w:val="tab"/>
      <w:lvlText w:val=""/>
      <w:lvlJc w:val="left"/>
      <w:pPr>
        <w:ind w:left="5040" w:hanging="360"/>
      </w:pPr>
      <w:rPr>
        <w:rFonts w:hint="default" w:ascii="Symbol" w:hAnsi="Symbol"/>
      </w:rPr>
    </w:lvl>
    <w:lvl w:ilvl="7">
      <w:start w:val="1"/>
      <w:numFmt w:val="bullet"/>
      <w:isLgl w:val="false"/>
      <w:suff w:val="tab"/>
      <w:lvlText w:val="o"/>
      <w:lvlJc w:val="left"/>
      <w:pPr>
        <w:ind w:left="5760" w:hanging="360"/>
      </w:pPr>
      <w:rPr>
        <w:rFonts w:hint="default" w:ascii="Courier New" w:hAnsi="Courier New" w:cs="Courier New"/>
      </w:rPr>
    </w:lvl>
    <w:lvl w:ilvl="8">
      <w:start w:val="1"/>
      <w:numFmt w:val="bullet"/>
      <w:isLgl w:val="false"/>
      <w:suff w:val="tab"/>
      <w:lvlText w:val=""/>
      <w:lvlJc w:val="left"/>
      <w:pPr>
        <w:ind w:left="6480" w:hanging="360"/>
      </w:pPr>
      <w:rPr>
        <w:rFonts w:hint="default" w:ascii="Wingdings" w:hAnsi="Wingdings"/>
      </w:rPr>
    </w:lvl>
  </w:abstractNum>
  <w:abstractNum w:abstractNumId="94">
    <w:multiLevelType w:val="hybridMultilevel"/>
    <w:lvl w:ilvl="0">
      <w:start w:val="1"/>
      <w:numFmt w:val="decimal"/>
      <w:isLgl w:val="false"/>
      <w:suff w:val="tab"/>
      <w:lvlText w:val="%1)"/>
      <w:lvlJc w:val="left"/>
      <w:pPr>
        <w:ind w:left="720" w:hanging="360"/>
      </w:pPr>
    </w:lvl>
    <w:lvl w:ilvl="1">
      <w:start w:val="1"/>
      <w:numFmt w:val="lowerLetter"/>
      <w:isLgl w:val="false"/>
      <w:suff w:val="tab"/>
      <w:lvlText w:val="%2."/>
      <w:lvlJc w:val="left"/>
      <w:pPr>
        <w:ind w:left="1440" w:hanging="360"/>
      </w:pPr>
    </w:lvl>
    <w:lvl w:ilvl="2">
      <w:start w:val="1"/>
      <w:numFmt w:val="lowerRoman"/>
      <w:isLgl w:val="false"/>
      <w:suff w:val="tab"/>
      <w:lvlText w:val="%3."/>
      <w:lvlJc w:val="right"/>
      <w:pPr>
        <w:ind w:left="2160" w:hanging="180"/>
      </w:pPr>
    </w:lvl>
    <w:lvl w:ilvl="3">
      <w:start w:val="1"/>
      <w:numFmt w:val="decimal"/>
      <w:isLgl w:val="false"/>
      <w:suff w:val="tab"/>
      <w:lvlText w:val="%4."/>
      <w:lvlJc w:val="left"/>
      <w:pPr>
        <w:ind w:left="2880" w:hanging="360"/>
      </w:pPr>
    </w:lvl>
    <w:lvl w:ilvl="4">
      <w:start w:val="1"/>
      <w:numFmt w:val="lowerLetter"/>
      <w:isLgl w:val="false"/>
      <w:suff w:val="tab"/>
      <w:lvlText w:val="%5."/>
      <w:lvlJc w:val="left"/>
      <w:pPr>
        <w:ind w:left="3600" w:hanging="360"/>
      </w:pPr>
    </w:lvl>
    <w:lvl w:ilvl="5">
      <w:start w:val="1"/>
      <w:numFmt w:val="lowerRoman"/>
      <w:isLgl w:val="false"/>
      <w:suff w:val="tab"/>
      <w:lvlText w:val="%6."/>
      <w:lvlJc w:val="right"/>
      <w:pPr>
        <w:ind w:left="4320" w:hanging="180"/>
      </w:pPr>
    </w:lvl>
    <w:lvl w:ilvl="6">
      <w:start w:val="1"/>
      <w:numFmt w:val="decimal"/>
      <w:isLgl w:val="false"/>
      <w:suff w:val="tab"/>
      <w:lvlText w:val="%7."/>
      <w:lvlJc w:val="left"/>
      <w:pPr>
        <w:ind w:left="5040" w:hanging="360"/>
      </w:pPr>
    </w:lvl>
    <w:lvl w:ilvl="7">
      <w:start w:val="1"/>
      <w:numFmt w:val="lowerLetter"/>
      <w:isLgl w:val="false"/>
      <w:suff w:val="tab"/>
      <w:lvlText w:val="%8."/>
      <w:lvlJc w:val="left"/>
      <w:pPr>
        <w:ind w:left="5760" w:hanging="360"/>
      </w:pPr>
    </w:lvl>
    <w:lvl w:ilvl="8">
      <w:start w:val="1"/>
      <w:numFmt w:val="lowerRoman"/>
      <w:isLgl w:val="false"/>
      <w:suff w:val="tab"/>
      <w:lvlText w:val="%9."/>
      <w:lvlJc w:val="right"/>
      <w:pPr>
        <w:ind w:left="6480" w:hanging="180"/>
      </w:pPr>
    </w:lvl>
  </w:abstractNum>
  <w:abstractNum w:abstractNumId="95">
    <w:multiLevelType w:val="hybridMultilevel"/>
    <w:lvl w:ilvl="0">
      <w:start w:val="1"/>
      <w:numFmt w:val="bullet"/>
      <w:isLgl w:val="false"/>
      <w:suff w:val="tab"/>
      <w:lvlText w:val=""/>
      <w:lvlJc w:val="left"/>
      <w:pPr>
        <w:ind w:left="0"/>
      </w:pPr>
      <w:rPr>
        <w:rFonts w:hint="default" w:ascii="Symbol" w:hAnsi="Symbol"/>
        <w:b w:val="0"/>
        <w:i w:val="0"/>
        <w:strike w:val="0"/>
        <w:color w:val="000000"/>
        <w:sz w:val="28"/>
        <w:szCs w:val="28"/>
        <w:u w:val="none"/>
        <w:vertAlign w:val="baseline"/>
      </w:rPr>
    </w:lvl>
    <w:lvl w:ilvl="1">
      <w:start w:val="1"/>
      <w:numFmt w:val="bullet"/>
      <w:isLgl w:val="false"/>
      <w:suff w:val="tab"/>
      <w:lvlText w:val="o"/>
      <w:lvlJc w:val="left"/>
      <w:pPr>
        <w:ind w:left="1788"/>
      </w:pPr>
      <w:rPr>
        <w:rFonts w:ascii="Times New Roman" w:hAnsi="Times New Roman" w:eastAsia="Times New Roman" w:cs="Times New Roman"/>
        <w:b w:val="0"/>
        <w:i w:val="0"/>
        <w:strike w:val="0"/>
        <w:color w:val="000000"/>
        <w:sz w:val="28"/>
        <w:szCs w:val="28"/>
        <w:u w:val="none"/>
        <w:vertAlign w:val="baseline"/>
      </w:rPr>
    </w:lvl>
    <w:lvl w:ilvl="2">
      <w:start w:val="1"/>
      <w:numFmt w:val="bullet"/>
      <w:isLgl w:val="false"/>
      <w:suff w:val="tab"/>
      <w:lvlText w:val="▪"/>
      <w:lvlJc w:val="left"/>
      <w:pPr>
        <w:ind w:left="2508"/>
      </w:pPr>
      <w:rPr>
        <w:rFonts w:ascii="Times New Roman" w:hAnsi="Times New Roman" w:eastAsia="Times New Roman" w:cs="Times New Roman"/>
        <w:b w:val="0"/>
        <w:i w:val="0"/>
        <w:strike w:val="0"/>
        <w:color w:val="000000"/>
        <w:sz w:val="28"/>
        <w:szCs w:val="28"/>
        <w:u w:val="none"/>
        <w:vertAlign w:val="baseline"/>
      </w:rPr>
    </w:lvl>
    <w:lvl w:ilvl="3">
      <w:start w:val="1"/>
      <w:numFmt w:val="bullet"/>
      <w:isLgl w:val="false"/>
      <w:suff w:val="tab"/>
      <w:lvlText w:val="•"/>
      <w:lvlJc w:val="left"/>
      <w:pPr>
        <w:ind w:left="3228"/>
      </w:pPr>
      <w:rPr>
        <w:rFonts w:ascii="Times New Roman" w:hAnsi="Times New Roman" w:eastAsia="Times New Roman" w:cs="Times New Roman"/>
        <w:b w:val="0"/>
        <w:i w:val="0"/>
        <w:strike w:val="0"/>
        <w:color w:val="000000"/>
        <w:sz w:val="28"/>
        <w:szCs w:val="28"/>
        <w:u w:val="none"/>
        <w:vertAlign w:val="baseline"/>
      </w:rPr>
    </w:lvl>
    <w:lvl w:ilvl="4">
      <w:start w:val="1"/>
      <w:numFmt w:val="bullet"/>
      <w:isLgl w:val="false"/>
      <w:suff w:val="tab"/>
      <w:lvlText w:val="o"/>
      <w:lvlJc w:val="left"/>
      <w:pPr>
        <w:ind w:left="3948"/>
      </w:pPr>
      <w:rPr>
        <w:rFonts w:ascii="Times New Roman" w:hAnsi="Times New Roman" w:eastAsia="Times New Roman" w:cs="Times New Roman"/>
        <w:b w:val="0"/>
        <w:i w:val="0"/>
        <w:strike w:val="0"/>
        <w:color w:val="000000"/>
        <w:sz w:val="28"/>
        <w:szCs w:val="28"/>
        <w:u w:val="none"/>
        <w:vertAlign w:val="baseline"/>
      </w:rPr>
    </w:lvl>
    <w:lvl w:ilvl="5">
      <w:start w:val="1"/>
      <w:numFmt w:val="bullet"/>
      <w:isLgl w:val="false"/>
      <w:suff w:val="tab"/>
      <w:lvlText w:val="▪"/>
      <w:lvlJc w:val="left"/>
      <w:pPr>
        <w:ind w:left="4668"/>
      </w:pPr>
      <w:rPr>
        <w:rFonts w:ascii="Times New Roman" w:hAnsi="Times New Roman" w:eastAsia="Times New Roman" w:cs="Times New Roman"/>
        <w:b w:val="0"/>
        <w:i w:val="0"/>
        <w:strike w:val="0"/>
        <w:color w:val="000000"/>
        <w:sz w:val="28"/>
        <w:szCs w:val="28"/>
        <w:u w:val="none"/>
        <w:vertAlign w:val="baseline"/>
      </w:rPr>
    </w:lvl>
    <w:lvl w:ilvl="6">
      <w:start w:val="1"/>
      <w:numFmt w:val="bullet"/>
      <w:isLgl w:val="false"/>
      <w:suff w:val="tab"/>
      <w:lvlText w:val="•"/>
      <w:lvlJc w:val="left"/>
      <w:pPr>
        <w:ind w:left="5388"/>
      </w:pPr>
      <w:rPr>
        <w:rFonts w:ascii="Times New Roman" w:hAnsi="Times New Roman" w:eastAsia="Times New Roman" w:cs="Times New Roman"/>
        <w:b w:val="0"/>
        <w:i w:val="0"/>
        <w:strike w:val="0"/>
        <w:color w:val="000000"/>
        <w:sz w:val="28"/>
        <w:szCs w:val="28"/>
        <w:u w:val="none"/>
        <w:vertAlign w:val="baseline"/>
      </w:rPr>
    </w:lvl>
    <w:lvl w:ilvl="7">
      <w:start w:val="1"/>
      <w:numFmt w:val="bullet"/>
      <w:isLgl w:val="false"/>
      <w:suff w:val="tab"/>
      <w:lvlText w:val="o"/>
      <w:lvlJc w:val="left"/>
      <w:pPr>
        <w:ind w:left="6108"/>
      </w:pPr>
      <w:rPr>
        <w:rFonts w:ascii="Times New Roman" w:hAnsi="Times New Roman" w:eastAsia="Times New Roman" w:cs="Times New Roman"/>
        <w:b w:val="0"/>
        <w:i w:val="0"/>
        <w:strike w:val="0"/>
        <w:color w:val="000000"/>
        <w:sz w:val="28"/>
        <w:szCs w:val="28"/>
        <w:u w:val="none"/>
        <w:vertAlign w:val="baseline"/>
      </w:rPr>
    </w:lvl>
    <w:lvl w:ilvl="8">
      <w:start w:val="1"/>
      <w:numFmt w:val="bullet"/>
      <w:isLgl w:val="false"/>
      <w:suff w:val="tab"/>
      <w:lvlText w:val="▪"/>
      <w:lvlJc w:val="left"/>
      <w:pPr>
        <w:ind w:left="6828"/>
      </w:pPr>
      <w:rPr>
        <w:rFonts w:ascii="Times New Roman" w:hAnsi="Times New Roman" w:eastAsia="Times New Roman" w:cs="Times New Roman"/>
        <w:b w:val="0"/>
        <w:i w:val="0"/>
        <w:strike w:val="0"/>
        <w:color w:val="000000"/>
        <w:sz w:val="28"/>
        <w:szCs w:val="28"/>
        <w:u w:val="none"/>
        <w:vertAlign w:val="baseline"/>
      </w:rPr>
    </w:lvl>
  </w:abstractNum>
  <w:abstractNum w:abstractNumId="96">
    <w:multiLevelType w:val="hybridMultilevel"/>
    <w:lvl w:ilvl="0">
      <w:start w:val="1"/>
      <w:numFmt w:val="bullet"/>
      <w:isLgl w:val="false"/>
      <w:suff w:val="tab"/>
      <w:lvlText w:val="–"/>
      <w:lvlJc w:val="left"/>
      <w:pPr>
        <w:ind w:left="1418" w:hanging="360"/>
      </w:pPr>
      <w:rPr>
        <w:rFonts w:ascii="Arial" w:hAnsi="Arial" w:eastAsia="Arial" w:cs="Arial"/>
        <w:sz w:val="24"/>
      </w:rPr>
    </w:lvl>
    <w:lvl w:ilvl="1">
      <w:start w:val="1"/>
      <w:numFmt w:val="bullet"/>
      <w:isLgl w:val="false"/>
      <w:suff w:val="tab"/>
      <w:lvlText w:val="o"/>
      <w:lvlJc w:val="left"/>
      <w:pPr>
        <w:ind w:left="2138" w:hanging="360"/>
      </w:pPr>
      <w:rPr>
        <w:rFonts w:hint="default" w:ascii="Courier New" w:hAnsi="Courier New" w:eastAsia="Courier New" w:cs="Courier New"/>
      </w:rPr>
    </w:lvl>
    <w:lvl w:ilvl="2">
      <w:start w:val="1"/>
      <w:numFmt w:val="bullet"/>
      <w:isLgl w:val="false"/>
      <w:suff w:val="tab"/>
      <w:lvlText w:val="§"/>
      <w:lvlJc w:val="left"/>
      <w:pPr>
        <w:ind w:left="2858" w:hanging="360"/>
      </w:pPr>
      <w:rPr>
        <w:rFonts w:hint="default" w:ascii="Wingdings" w:hAnsi="Wingdings" w:eastAsia="Wingdings" w:cs="Wingdings"/>
      </w:rPr>
    </w:lvl>
    <w:lvl w:ilvl="3">
      <w:start w:val="1"/>
      <w:numFmt w:val="bullet"/>
      <w:isLgl w:val="false"/>
      <w:suff w:val="tab"/>
      <w:lvlText w:val="·"/>
      <w:lvlJc w:val="left"/>
      <w:pPr>
        <w:ind w:left="3578" w:hanging="360"/>
      </w:pPr>
      <w:rPr>
        <w:rFonts w:hint="default" w:ascii="Symbol" w:hAnsi="Symbol" w:eastAsia="Symbol" w:cs="Symbol"/>
      </w:rPr>
    </w:lvl>
    <w:lvl w:ilvl="4">
      <w:start w:val="1"/>
      <w:numFmt w:val="bullet"/>
      <w:isLgl w:val="false"/>
      <w:suff w:val="tab"/>
      <w:lvlText w:val="o"/>
      <w:lvlJc w:val="left"/>
      <w:pPr>
        <w:ind w:left="4298" w:hanging="360"/>
      </w:pPr>
      <w:rPr>
        <w:rFonts w:hint="default" w:ascii="Courier New" w:hAnsi="Courier New" w:eastAsia="Courier New" w:cs="Courier New"/>
      </w:rPr>
    </w:lvl>
    <w:lvl w:ilvl="5">
      <w:start w:val="1"/>
      <w:numFmt w:val="bullet"/>
      <w:isLgl w:val="false"/>
      <w:suff w:val="tab"/>
      <w:lvlText w:val="§"/>
      <w:lvlJc w:val="left"/>
      <w:pPr>
        <w:ind w:left="5018" w:hanging="360"/>
      </w:pPr>
      <w:rPr>
        <w:rFonts w:hint="default" w:ascii="Wingdings" w:hAnsi="Wingdings" w:eastAsia="Wingdings" w:cs="Wingdings"/>
      </w:rPr>
    </w:lvl>
    <w:lvl w:ilvl="6">
      <w:start w:val="1"/>
      <w:numFmt w:val="bullet"/>
      <w:isLgl w:val="false"/>
      <w:suff w:val="tab"/>
      <w:lvlText w:val="·"/>
      <w:lvlJc w:val="left"/>
      <w:pPr>
        <w:ind w:left="5738" w:hanging="360"/>
      </w:pPr>
      <w:rPr>
        <w:rFonts w:hint="default" w:ascii="Symbol" w:hAnsi="Symbol" w:eastAsia="Symbol" w:cs="Symbol"/>
      </w:rPr>
    </w:lvl>
    <w:lvl w:ilvl="7">
      <w:start w:val="1"/>
      <w:numFmt w:val="bullet"/>
      <w:isLgl w:val="false"/>
      <w:suff w:val="tab"/>
      <w:lvlText w:val="o"/>
      <w:lvlJc w:val="left"/>
      <w:pPr>
        <w:ind w:left="6458" w:hanging="360"/>
      </w:pPr>
      <w:rPr>
        <w:rFonts w:hint="default" w:ascii="Courier New" w:hAnsi="Courier New" w:eastAsia="Courier New" w:cs="Courier New"/>
      </w:rPr>
    </w:lvl>
    <w:lvl w:ilvl="8">
      <w:start w:val="1"/>
      <w:numFmt w:val="bullet"/>
      <w:isLgl w:val="false"/>
      <w:suff w:val="tab"/>
      <w:lvlText w:val="§"/>
      <w:lvlJc w:val="left"/>
      <w:pPr>
        <w:ind w:left="7178" w:hanging="360"/>
      </w:pPr>
      <w:rPr>
        <w:rFonts w:hint="default" w:ascii="Wingdings" w:hAnsi="Wingdings" w:eastAsia="Wingdings" w:cs="Wingdings"/>
      </w:rPr>
    </w:lvl>
  </w:abstractNum>
  <w:abstractNum w:abstractNumId="97">
    <w:multiLevelType w:val="hybridMultilevel"/>
    <w:lvl w:ilvl="0">
      <w:start w:val="1"/>
      <w:numFmt w:val="bullet"/>
      <w:isLgl w:val="false"/>
      <w:suff w:val="tab"/>
      <w:lvlText w:val=""/>
      <w:lvlJc w:val="left"/>
      <w:pPr>
        <w:ind w:left="0"/>
      </w:pPr>
      <w:rPr>
        <w:rFonts w:hint="default" w:ascii="Symbol" w:hAnsi="Symbol"/>
        <w:b w:val="0"/>
        <w:i w:val="0"/>
        <w:strike w:val="0"/>
        <w:color w:val="000000"/>
        <w:sz w:val="28"/>
        <w:szCs w:val="28"/>
        <w:u w:val="none"/>
        <w:vertAlign w:val="baseline"/>
      </w:rPr>
    </w:lvl>
    <w:lvl w:ilvl="1">
      <w:start w:val="1"/>
      <w:numFmt w:val="bullet"/>
      <w:isLgl w:val="false"/>
      <w:suff w:val="tab"/>
      <w:lvlText w:val="o"/>
      <w:lvlJc w:val="left"/>
      <w:pPr>
        <w:ind w:left="1788"/>
      </w:pPr>
      <w:rPr>
        <w:rFonts w:ascii="Times New Roman" w:hAnsi="Times New Roman" w:eastAsia="Times New Roman" w:cs="Times New Roman"/>
        <w:b w:val="0"/>
        <w:i w:val="0"/>
        <w:strike w:val="0"/>
        <w:color w:val="000000"/>
        <w:sz w:val="28"/>
        <w:szCs w:val="28"/>
        <w:u w:val="none"/>
        <w:vertAlign w:val="baseline"/>
      </w:rPr>
    </w:lvl>
    <w:lvl w:ilvl="2">
      <w:start w:val="1"/>
      <w:numFmt w:val="bullet"/>
      <w:isLgl w:val="false"/>
      <w:suff w:val="tab"/>
      <w:lvlText w:val="▪"/>
      <w:lvlJc w:val="left"/>
      <w:pPr>
        <w:ind w:left="2508"/>
      </w:pPr>
      <w:rPr>
        <w:rFonts w:ascii="Times New Roman" w:hAnsi="Times New Roman" w:eastAsia="Times New Roman" w:cs="Times New Roman"/>
        <w:b w:val="0"/>
        <w:i w:val="0"/>
        <w:strike w:val="0"/>
        <w:color w:val="000000"/>
        <w:sz w:val="28"/>
        <w:szCs w:val="28"/>
        <w:u w:val="none"/>
        <w:vertAlign w:val="baseline"/>
      </w:rPr>
    </w:lvl>
    <w:lvl w:ilvl="3">
      <w:start w:val="1"/>
      <w:numFmt w:val="bullet"/>
      <w:isLgl w:val="false"/>
      <w:suff w:val="tab"/>
      <w:lvlText w:val="•"/>
      <w:lvlJc w:val="left"/>
      <w:pPr>
        <w:ind w:left="3228"/>
      </w:pPr>
      <w:rPr>
        <w:rFonts w:ascii="Times New Roman" w:hAnsi="Times New Roman" w:eastAsia="Times New Roman" w:cs="Times New Roman"/>
        <w:b w:val="0"/>
        <w:i w:val="0"/>
        <w:strike w:val="0"/>
        <w:color w:val="000000"/>
        <w:sz w:val="28"/>
        <w:szCs w:val="28"/>
        <w:u w:val="none"/>
        <w:vertAlign w:val="baseline"/>
      </w:rPr>
    </w:lvl>
    <w:lvl w:ilvl="4">
      <w:start w:val="1"/>
      <w:numFmt w:val="bullet"/>
      <w:isLgl w:val="false"/>
      <w:suff w:val="tab"/>
      <w:lvlText w:val="o"/>
      <w:lvlJc w:val="left"/>
      <w:pPr>
        <w:ind w:left="3948"/>
      </w:pPr>
      <w:rPr>
        <w:rFonts w:ascii="Times New Roman" w:hAnsi="Times New Roman" w:eastAsia="Times New Roman" w:cs="Times New Roman"/>
        <w:b w:val="0"/>
        <w:i w:val="0"/>
        <w:strike w:val="0"/>
        <w:color w:val="000000"/>
        <w:sz w:val="28"/>
        <w:szCs w:val="28"/>
        <w:u w:val="none"/>
        <w:vertAlign w:val="baseline"/>
      </w:rPr>
    </w:lvl>
    <w:lvl w:ilvl="5">
      <w:start w:val="1"/>
      <w:numFmt w:val="bullet"/>
      <w:isLgl w:val="false"/>
      <w:suff w:val="tab"/>
      <w:lvlText w:val="▪"/>
      <w:lvlJc w:val="left"/>
      <w:pPr>
        <w:ind w:left="4668"/>
      </w:pPr>
      <w:rPr>
        <w:rFonts w:ascii="Times New Roman" w:hAnsi="Times New Roman" w:eastAsia="Times New Roman" w:cs="Times New Roman"/>
        <w:b w:val="0"/>
        <w:i w:val="0"/>
        <w:strike w:val="0"/>
        <w:color w:val="000000"/>
        <w:sz w:val="28"/>
        <w:szCs w:val="28"/>
        <w:u w:val="none"/>
        <w:vertAlign w:val="baseline"/>
      </w:rPr>
    </w:lvl>
    <w:lvl w:ilvl="6">
      <w:start w:val="1"/>
      <w:numFmt w:val="bullet"/>
      <w:isLgl w:val="false"/>
      <w:suff w:val="tab"/>
      <w:lvlText w:val="•"/>
      <w:lvlJc w:val="left"/>
      <w:pPr>
        <w:ind w:left="5388"/>
      </w:pPr>
      <w:rPr>
        <w:rFonts w:ascii="Times New Roman" w:hAnsi="Times New Roman" w:eastAsia="Times New Roman" w:cs="Times New Roman"/>
        <w:b w:val="0"/>
        <w:i w:val="0"/>
        <w:strike w:val="0"/>
        <w:color w:val="000000"/>
        <w:sz w:val="28"/>
        <w:szCs w:val="28"/>
        <w:u w:val="none"/>
        <w:vertAlign w:val="baseline"/>
      </w:rPr>
    </w:lvl>
    <w:lvl w:ilvl="7">
      <w:start w:val="1"/>
      <w:numFmt w:val="bullet"/>
      <w:isLgl w:val="false"/>
      <w:suff w:val="tab"/>
      <w:lvlText w:val="o"/>
      <w:lvlJc w:val="left"/>
      <w:pPr>
        <w:ind w:left="6108"/>
      </w:pPr>
      <w:rPr>
        <w:rFonts w:ascii="Times New Roman" w:hAnsi="Times New Roman" w:eastAsia="Times New Roman" w:cs="Times New Roman"/>
        <w:b w:val="0"/>
        <w:i w:val="0"/>
        <w:strike w:val="0"/>
        <w:color w:val="000000"/>
        <w:sz w:val="28"/>
        <w:szCs w:val="28"/>
        <w:u w:val="none"/>
        <w:vertAlign w:val="baseline"/>
      </w:rPr>
    </w:lvl>
    <w:lvl w:ilvl="8">
      <w:start w:val="1"/>
      <w:numFmt w:val="bullet"/>
      <w:isLgl w:val="false"/>
      <w:suff w:val="tab"/>
      <w:lvlText w:val="▪"/>
      <w:lvlJc w:val="left"/>
      <w:pPr>
        <w:ind w:left="6828"/>
      </w:pPr>
      <w:rPr>
        <w:rFonts w:ascii="Times New Roman" w:hAnsi="Times New Roman" w:eastAsia="Times New Roman" w:cs="Times New Roman"/>
        <w:b w:val="0"/>
        <w:i w:val="0"/>
        <w:strike w:val="0"/>
        <w:color w:val="000000"/>
        <w:sz w:val="28"/>
        <w:szCs w:val="28"/>
        <w:u w:val="none"/>
        <w:vertAlign w:val="baseline"/>
      </w:rPr>
    </w:lvl>
  </w:abstractNum>
  <w:abstractNum w:abstractNumId="98">
    <w:multiLevelType w:val="hybridMultilevel"/>
    <w:lvl w:ilvl="0">
      <w:start w:val="1"/>
      <w:numFmt w:val="bullet"/>
      <w:isLgl w:val="false"/>
      <w:suff w:val="tab"/>
      <w:lvlText w:val=""/>
      <w:lvlJc w:val="left"/>
      <w:pPr>
        <w:ind w:left="720" w:hanging="360"/>
      </w:pPr>
      <w:rPr>
        <w:rFonts w:hint="default" w:ascii="Symbol" w:hAnsi="Symbol"/>
      </w:rPr>
    </w:lvl>
    <w:lvl w:ilvl="1">
      <w:start w:val="1"/>
      <w:numFmt w:val="bullet"/>
      <w:isLgl w:val="false"/>
      <w:suff w:val="tab"/>
      <w:lvlText w:val="o"/>
      <w:lvlJc w:val="left"/>
      <w:pPr>
        <w:ind w:left="1440" w:hanging="360"/>
      </w:pPr>
      <w:rPr>
        <w:rFonts w:hint="default" w:ascii="Courier New" w:hAnsi="Courier New" w:cs="Courier New"/>
      </w:rPr>
    </w:lvl>
    <w:lvl w:ilvl="2">
      <w:start w:val="1"/>
      <w:numFmt w:val="bullet"/>
      <w:isLgl w:val="false"/>
      <w:suff w:val="tab"/>
      <w:lvlText w:val=""/>
      <w:lvlJc w:val="left"/>
      <w:pPr>
        <w:ind w:left="2160" w:hanging="360"/>
      </w:pPr>
      <w:rPr>
        <w:rFonts w:hint="default" w:ascii="Wingdings" w:hAnsi="Wingdings"/>
      </w:rPr>
    </w:lvl>
    <w:lvl w:ilvl="3">
      <w:start w:val="1"/>
      <w:numFmt w:val="bullet"/>
      <w:isLgl w:val="false"/>
      <w:suff w:val="tab"/>
      <w:lvlText w:val=""/>
      <w:lvlJc w:val="left"/>
      <w:pPr>
        <w:ind w:left="2880" w:hanging="360"/>
      </w:pPr>
      <w:rPr>
        <w:rFonts w:hint="default" w:ascii="Symbol" w:hAnsi="Symbol"/>
      </w:rPr>
    </w:lvl>
    <w:lvl w:ilvl="4">
      <w:start w:val="1"/>
      <w:numFmt w:val="bullet"/>
      <w:isLgl w:val="false"/>
      <w:suff w:val="tab"/>
      <w:lvlText w:val="o"/>
      <w:lvlJc w:val="left"/>
      <w:pPr>
        <w:ind w:left="3600" w:hanging="360"/>
      </w:pPr>
      <w:rPr>
        <w:rFonts w:hint="default" w:ascii="Courier New" w:hAnsi="Courier New" w:cs="Courier New"/>
      </w:rPr>
    </w:lvl>
    <w:lvl w:ilvl="5">
      <w:start w:val="1"/>
      <w:numFmt w:val="bullet"/>
      <w:isLgl w:val="false"/>
      <w:suff w:val="tab"/>
      <w:lvlText w:val=""/>
      <w:lvlJc w:val="left"/>
      <w:pPr>
        <w:ind w:left="4320" w:hanging="360"/>
      </w:pPr>
      <w:rPr>
        <w:rFonts w:hint="default" w:ascii="Wingdings" w:hAnsi="Wingdings"/>
      </w:rPr>
    </w:lvl>
    <w:lvl w:ilvl="6">
      <w:start w:val="1"/>
      <w:numFmt w:val="bullet"/>
      <w:isLgl w:val="false"/>
      <w:suff w:val="tab"/>
      <w:lvlText w:val=""/>
      <w:lvlJc w:val="left"/>
      <w:pPr>
        <w:ind w:left="5040" w:hanging="360"/>
      </w:pPr>
      <w:rPr>
        <w:rFonts w:hint="default" w:ascii="Symbol" w:hAnsi="Symbol"/>
      </w:rPr>
    </w:lvl>
    <w:lvl w:ilvl="7">
      <w:start w:val="1"/>
      <w:numFmt w:val="bullet"/>
      <w:isLgl w:val="false"/>
      <w:suff w:val="tab"/>
      <w:lvlText w:val="o"/>
      <w:lvlJc w:val="left"/>
      <w:pPr>
        <w:ind w:left="5760" w:hanging="360"/>
      </w:pPr>
      <w:rPr>
        <w:rFonts w:hint="default" w:ascii="Courier New" w:hAnsi="Courier New" w:cs="Courier New"/>
      </w:rPr>
    </w:lvl>
    <w:lvl w:ilvl="8">
      <w:start w:val="1"/>
      <w:numFmt w:val="bullet"/>
      <w:isLgl w:val="false"/>
      <w:suff w:val="tab"/>
      <w:lvlText w:val=""/>
      <w:lvlJc w:val="left"/>
      <w:pPr>
        <w:ind w:left="6480" w:hanging="360"/>
      </w:pPr>
      <w:rPr>
        <w:rFonts w:hint="default" w:ascii="Wingdings" w:hAnsi="Wingdings"/>
      </w:rPr>
    </w:lvl>
  </w:abstractNum>
  <w:abstractNum w:abstractNumId="99">
    <w:multiLevelType w:val="hybridMultilevel"/>
    <w:lvl w:ilvl="0">
      <w:start w:val="1"/>
      <w:numFmt w:val="bullet"/>
      <w:isLgl w:val="false"/>
      <w:suff w:val="tab"/>
      <w:lvlText w:val=""/>
      <w:lvlJc w:val="left"/>
      <w:pPr>
        <w:ind w:left="2126" w:hanging="360"/>
      </w:pPr>
      <w:rPr>
        <w:rFonts w:hint="default" w:ascii="Symbol" w:hAnsi="Symbol"/>
      </w:rPr>
    </w:lvl>
    <w:lvl w:ilvl="1">
      <w:start w:val="1"/>
      <w:numFmt w:val="bullet"/>
      <w:isLgl w:val="false"/>
      <w:suff w:val="tab"/>
      <w:lvlText w:val="o"/>
      <w:lvlJc w:val="left"/>
      <w:pPr>
        <w:ind w:left="2846" w:hanging="360"/>
      </w:pPr>
      <w:rPr>
        <w:rFonts w:hint="default" w:ascii="Courier New" w:hAnsi="Courier New" w:eastAsia="Courier New" w:cs="Courier New"/>
      </w:rPr>
    </w:lvl>
    <w:lvl w:ilvl="2">
      <w:start w:val="1"/>
      <w:numFmt w:val="bullet"/>
      <w:isLgl w:val="false"/>
      <w:suff w:val="tab"/>
      <w:lvlText w:val="§"/>
      <w:lvlJc w:val="left"/>
      <w:pPr>
        <w:ind w:left="3566" w:hanging="360"/>
      </w:pPr>
      <w:rPr>
        <w:rFonts w:hint="default" w:ascii="Wingdings" w:hAnsi="Wingdings" w:eastAsia="Wingdings" w:cs="Wingdings"/>
      </w:rPr>
    </w:lvl>
    <w:lvl w:ilvl="3">
      <w:start w:val="1"/>
      <w:numFmt w:val="bullet"/>
      <w:isLgl w:val="false"/>
      <w:suff w:val="tab"/>
      <w:lvlText w:val="·"/>
      <w:lvlJc w:val="left"/>
      <w:pPr>
        <w:ind w:left="4286" w:hanging="360"/>
      </w:pPr>
      <w:rPr>
        <w:rFonts w:hint="default" w:ascii="Symbol" w:hAnsi="Symbol" w:eastAsia="Symbol" w:cs="Symbol"/>
      </w:rPr>
    </w:lvl>
    <w:lvl w:ilvl="4">
      <w:start w:val="1"/>
      <w:numFmt w:val="bullet"/>
      <w:isLgl w:val="false"/>
      <w:suff w:val="tab"/>
      <w:lvlText w:val="o"/>
      <w:lvlJc w:val="left"/>
      <w:pPr>
        <w:ind w:left="5006" w:hanging="360"/>
      </w:pPr>
      <w:rPr>
        <w:rFonts w:hint="default" w:ascii="Courier New" w:hAnsi="Courier New" w:eastAsia="Courier New" w:cs="Courier New"/>
      </w:rPr>
    </w:lvl>
    <w:lvl w:ilvl="5">
      <w:start w:val="1"/>
      <w:numFmt w:val="bullet"/>
      <w:isLgl w:val="false"/>
      <w:suff w:val="tab"/>
      <w:lvlText w:val="§"/>
      <w:lvlJc w:val="left"/>
      <w:pPr>
        <w:ind w:left="5726" w:hanging="360"/>
      </w:pPr>
      <w:rPr>
        <w:rFonts w:hint="default" w:ascii="Wingdings" w:hAnsi="Wingdings" w:eastAsia="Wingdings" w:cs="Wingdings"/>
      </w:rPr>
    </w:lvl>
    <w:lvl w:ilvl="6">
      <w:start w:val="1"/>
      <w:numFmt w:val="bullet"/>
      <w:isLgl w:val="false"/>
      <w:suff w:val="tab"/>
      <w:lvlText w:val="·"/>
      <w:lvlJc w:val="left"/>
      <w:pPr>
        <w:ind w:left="6446" w:hanging="360"/>
      </w:pPr>
      <w:rPr>
        <w:rFonts w:hint="default" w:ascii="Symbol" w:hAnsi="Symbol" w:eastAsia="Symbol" w:cs="Symbol"/>
      </w:rPr>
    </w:lvl>
    <w:lvl w:ilvl="7">
      <w:start w:val="1"/>
      <w:numFmt w:val="bullet"/>
      <w:isLgl w:val="false"/>
      <w:suff w:val="tab"/>
      <w:lvlText w:val="o"/>
      <w:lvlJc w:val="left"/>
      <w:pPr>
        <w:ind w:left="7166" w:hanging="360"/>
      </w:pPr>
      <w:rPr>
        <w:rFonts w:hint="default" w:ascii="Courier New" w:hAnsi="Courier New" w:eastAsia="Courier New" w:cs="Courier New"/>
      </w:rPr>
    </w:lvl>
    <w:lvl w:ilvl="8">
      <w:start w:val="1"/>
      <w:numFmt w:val="bullet"/>
      <w:isLgl w:val="false"/>
      <w:suff w:val="tab"/>
      <w:lvlText w:val="§"/>
      <w:lvlJc w:val="left"/>
      <w:pPr>
        <w:ind w:left="7886" w:hanging="360"/>
      </w:pPr>
      <w:rPr>
        <w:rFonts w:hint="default" w:ascii="Wingdings" w:hAnsi="Wingdings" w:eastAsia="Wingdings" w:cs="Wingdings"/>
      </w:rPr>
    </w:lvl>
  </w:abstractNum>
  <w:abstractNum w:abstractNumId="100">
    <w:multiLevelType w:val="hybridMultilevel"/>
    <w:lvl w:ilvl="0">
      <w:start w:val="1"/>
      <w:numFmt w:val="bullet"/>
      <w:isLgl w:val="false"/>
      <w:suff w:val="tab"/>
      <w:lvlText w:val=""/>
      <w:lvlJc w:val="left"/>
      <w:pPr>
        <w:ind w:left="720" w:hanging="360"/>
      </w:pPr>
      <w:rPr>
        <w:rFonts w:hint="default" w:ascii="Symbol" w:hAnsi="Symbol"/>
      </w:rPr>
    </w:lvl>
    <w:lvl w:ilvl="1">
      <w:start w:val="1"/>
      <w:numFmt w:val="bullet"/>
      <w:isLgl w:val="false"/>
      <w:suff w:val="tab"/>
      <w:lvlText w:val="o"/>
      <w:lvlJc w:val="left"/>
      <w:pPr>
        <w:ind w:left="1440" w:hanging="360"/>
      </w:pPr>
      <w:rPr>
        <w:rFonts w:hint="default" w:ascii="Courier New" w:hAnsi="Courier New" w:eastAsia="Courier New" w:cs="Courier New"/>
      </w:rPr>
    </w:lvl>
    <w:lvl w:ilvl="2">
      <w:start w:val="1"/>
      <w:numFmt w:val="bullet"/>
      <w:isLgl w:val="false"/>
      <w:suff w:val="tab"/>
      <w:lvlText w:val="§"/>
      <w:lvlJc w:val="left"/>
      <w:pPr>
        <w:ind w:left="2160" w:hanging="360"/>
      </w:pPr>
      <w:rPr>
        <w:rFonts w:hint="default" w:ascii="Wingdings" w:hAnsi="Wingdings" w:eastAsia="Wingdings" w:cs="Wingdings"/>
      </w:rPr>
    </w:lvl>
    <w:lvl w:ilvl="3">
      <w:start w:val="1"/>
      <w:numFmt w:val="bullet"/>
      <w:isLgl w:val="false"/>
      <w:suff w:val="tab"/>
      <w:lvlText w:val="·"/>
      <w:lvlJc w:val="left"/>
      <w:pPr>
        <w:ind w:left="2880" w:hanging="360"/>
      </w:pPr>
      <w:rPr>
        <w:rFonts w:hint="default" w:ascii="Symbol" w:hAnsi="Symbol" w:eastAsia="Symbol" w:cs="Symbol"/>
      </w:rPr>
    </w:lvl>
    <w:lvl w:ilvl="4">
      <w:start w:val="1"/>
      <w:numFmt w:val="bullet"/>
      <w:isLgl w:val="false"/>
      <w:suff w:val="tab"/>
      <w:lvlText w:val="o"/>
      <w:lvlJc w:val="left"/>
      <w:pPr>
        <w:ind w:left="3600" w:hanging="360"/>
      </w:pPr>
      <w:rPr>
        <w:rFonts w:hint="default" w:ascii="Courier New" w:hAnsi="Courier New" w:eastAsia="Courier New" w:cs="Courier New"/>
      </w:rPr>
    </w:lvl>
    <w:lvl w:ilvl="5">
      <w:start w:val="1"/>
      <w:numFmt w:val="bullet"/>
      <w:isLgl w:val="false"/>
      <w:suff w:val="tab"/>
      <w:lvlText w:val="§"/>
      <w:lvlJc w:val="left"/>
      <w:pPr>
        <w:ind w:left="4320" w:hanging="360"/>
      </w:pPr>
      <w:rPr>
        <w:rFonts w:hint="default" w:ascii="Wingdings" w:hAnsi="Wingdings" w:eastAsia="Wingdings" w:cs="Wingdings"/>
      </w:rPr>
    </w:lvl>
    <w:lvl w:ilvl="6">
      <w:start w:val="1"/>
      <w:numFmt w:val="bullet"/>
      <w:isLgl w:val="false"/>
      <w:suff w:val="tab"/>
      <w:lvlText w:val="·"/>
      <w:lvlJc w:val="left"/>
      <w:pPr>
        <w:ind w:left="5040" w:hanging="360"/>
      </w:pPr>
      <w:rPr>
        <w:rFonts w:hint="default" w:ascii="Symbol" w:hAnsi="Symbol" w:eastAsia="Symbol" w:cs="Symbol"/>
      </w:rPr>
    </w:lvl>
    <w:lvl w:ilvl="7">
      <w:start w:val="1"/>
      <w:numFmt w:val="bullet"/>
      <w:isLgl w:val="false"/>
      <w:suff w:val="tab"/>
      <w:lvlText w:val="o"/>
      <w:lvlJc w:val="left"/>
      <w:pPr>
        <w:ind w:left="5760" w:hanging="360"/>
      </w:pPr>
      <w:rPr>
        <w:rFonts w:hint="default" w:ascii="Courier New" w:hAnsi="Courier New" w:eastAsia="Courier New" w:cs="Courier New"/>
      </w:rPr>
    </w:lvl>
    <w:lvl w:ilvl="8">
      <w:start w:val="1"/>
      <w:numFmt w:val="bullet"/>
      <w:isLgl w:val="false"/>
      <w:suff w:val="tab"/>
      <w:lvlText w:val="§"/>
      <w:lvlJc w:val="left"/>
      <w:pPr>
        <w:ind w:left="6480" w:hanging="360"/>
      </w:pPr>
      <w:rPr>
        <w:rFonts w:hint="default" w:ascii="Wingdings" w:hAnsi="Wingdings" w:eastAsia="Wingdings" w:cs="Wingdings"/>
      </w:rPr>
    </w:lvl>
  </w:abstractNum>
  <w:abstractNum w:abstractNumId="101">
    <w:multiLevelType w:val="hybridMultilevel"/>
    <w:lvl w:ilvl="0">
      <w:start w:val="1"/>
      <w:numFmt w:val="bullet"/>
      <w:isLgl w:val="false"/>
      <w:suff w:val="tab"/>
      <w:lvlText w:val=""/>
      <w:lvlJc w:val="left"/>
      <w:pPr>
        <w:ind w:left="2126" w:hanging="360"/>
      </w:pPr>
      <w:rPr>
        <w:rFonts w:hint="default" w:ascii="Symbol" w:hAnsi="Symbol"/>
      </w:rPr>
    </w:lvl>
    <w:lvl w:ilvl="1">
      <w:start w:val="1"/>
      <w:numFmt w:val="bullet"/>
      <w:isLgl w:val="false"/>
      <w:suff w:val="tab"/>
      <w:lvlText w:val="o"/>
      <w:lvlJc w:val="left"/>
      <w:pPr>
        <w:ind w:left="2846" w:hanging="360"/>
      </w:pPr>
      <w:rPr>
        <w:rFonts w:hint="default" w:ascii="Courier New" w:hAnsi="Courier New" w:eastAsia="Courier New" w:cs="Courier New"/>
      </w:rPr>
    </w:lvl>
    <w:lvl w:ilvl="2">
      <w:start w:val="1"/>
      <w:numFmt w:val="bullet"/>
      <w:isLgl w:val="false"/>
      <w:suff w:val="tab"/>
      <w:lvlText w:val="§"/>
      <w:lvlJc w:val="left"/>
      <w:pPr>
        <w:ind w:left="3566" w:hanging="360"/>
      </w:pPr>
      <w:rPr>
        <w:rFonts w:hint="default" w:ascii="Wingdings" w:hAnsi="Wingdings" w:eastAsia="Wingdings" w:cs="Wingdings"/>
      </w:rPr>
    </w:lvl>
    <w:lvl w:ilvl="3">
      <w:start w:val="1"/>
      <w:numFmt w:val="bullet"/>
      <w:isLgl w:val="false"/>
      <w:suff w:val="tab"/>
      <w:lvlText w:val="·"/>
      <w:lvlJc w:val="left"/>
      <w:pPr>
        <w:ind w:left="4286" w:hanging="360"/>
      </w:pPr>
      <w:rPr>
        <w:rFonts w:hint="default" w:ascii="Symbol" w:hAnsi="Symbol" w:eastAsia="Symbol" w:cs="Symbol"/>
      </w:rPr>
    </w:lvl>
    <w:lvl w:ilvl="4">
      <w:start w:val="1"/>
      <w:numFmt w:val="bullet"/>
      <w:isLgl w:val="false"/>
      <w:suff w:val="tab"/>
      <w:lvlText w:val="o"/>
      <w:lvlJc w:val="left"/>
      <w:pPr>
        <w:ind w:left="5006" w:hanging="360"/>
      </w:pPr>
      <w:rPr>
        <w:rFonts w:hint="default" w:ascii="Courier New" w:hAnsi="Courier New" w:eastAsia="Courier New" w:cs="Courier New"/>
      </w:rPr>
    </w:lvl>
    <w:lvl w:ilvl="5">
      <w:start w:val="1"/>
      <w:numFmt w:val="bullet"/>
      <w:isLgl w:val="false"/>
      <w:suff w:val="tab"/>
      <w:lvlText w:val="§"/>
      <w:lvlJc w:val="left"/>
      <w:pPr>
        <w:ind w:left="5726" w:hanging="360"/>
      </w:pPr>
      <w:rPr>
        <w:rFonts w:hint="default" w:ascii="Wingdings" w:hAnsi="Wingdings" w:eastAsia="Wingdings" w:cs="Wingdings"/>
      </w:rPr>
    </w:lvl>
    <w:lvl w:ilvl="6">
      <w:start w:val="1"/>
      <w:numFmt w:val="bullet"/>
      <w:isLgl w:val="false"/>
      <w:suff w:val="tab"/>
      <w:lvlText w:val="·"/>
      <w:lvlJc w:val="left"/>
      <w:pPr>
        <w:ind w:left="6446" w:hanging="360"/>
      </w:pPr>
      <w:rPr>
        <w:rFonts w:hint="default" w:ascii="Symbol" w:hAnsi="Symbol" w:eastAsia="Symbol" w:cs="Symbol"/>
      </w:rPr>
    </w:lvl>
    <w:lvl w:ilvl="7">
      <w:start w:val="1"/>
      <w:numFmt w:val="bullet"/>
      <w:isLgl w:val="false"/>
      <w:suff w:val="tab"/>
      <w:lvlText w:val="o"/>
      <w:lvlJc w:val="left"/>
      <w:pPr>
        <w:ind w:left="7166" w:hanging="360"/>
      </w:pPr>
      <w:rPr>
        <w:rFonts w:hint="default" w:ascii="Courier New" w:hAnsi="Courier New" w:eastAsia="Courier New" w:cs="Courier New"/>
      </w:rPr>
    </w:lvl>
    <w:lvl w:ilvl="8">
      <w:start w:val="1"/>
      <w:numFmt w:val="bullet"/>
      <w:isLgl w:val="false"/>
      <w:suff w:val="tab"/>
      <w:lvlText w:val="§"/>
      <w:lvlJc w:val="left"/>
      <w:pPr>
        <w:ind w:left="7886" w:hanging="360"/>
      </w:pPr>
      <w:rPr>
        <w:rFonts w:hint="default" w:ascii="Wingdings" w:hAnsi="Wingdings" w:eastAsia="Wingdings" w:cs="Wingdings"/>
      </w:rPr>
    </w:lvl>
  </w:abstractNum>
  <w:abstractNum w:abstractNumId="102">
    <w:multiLevelType w:val="hybridMultilevel"/>
    <w:lvl w:ilvl="0">
      <w:start w:val="1"/>
      <w:numFmt w:val="bullet"/>
      <w:isLgl w:val="false"/>
      <w:suff w:val="tab"/>
      <w:lvlText w:val=""/>
      <w:lvlJc w:val="left"/>
      <w:pPr>
        <w:ind w:left="720" w:hanging="360"/>
      </w:pPr>
      <w:rPr>
        <w:rFonts w:hint="default" w:ascii="Symbol" w:hAnsi="Symbol"/>
        <w:b/>
      </w:rPr>
    </w:lvl>
    <w:lvl w:ilvl="1">
      <w:start w:val="1"/>
      <w:numFmt w:val="bullet"/>
      <w:isLgl w:val="false"/>
      <w:suff w:val="tab"/>
      <w:lvlText w:val="o"/>
      <w:lvlJc w:val="left"/>
      <w:pPr>
        <w:ind w:left="1440" w:hanging="360"/>
      </w:pPr>
      <w:rPr>
        <w:rFonts w:hint="default" w:ascii="Courier New" w:hAnsi="Courier New" w:eastAsia="Courier New" w:cs="Courier New"/>
      </w:rPr>
    </w:lvl>
    <w:lvl w:ilvl="2">
      <w:start w:val="1"/>
      <w:numFmt w:val="bullet"/>
      <w:isLgl w:val="false"/>
      <w:suff w:val="tab"/>
      <w:lvlText w:val="§"/>
      <w:lvlJc w:val="left"/>
      <w:pPr>
        <w:ind w:left="2160" w:hanging="360"/>
      </w:pPr>
      <w:rPr>
        <w:rFonts w:hint="default" w:ascii="Wingdings" w:hAnsi="Wingdings" w:eastAsia="Wingdings" w:cs="Wingdings"/>
      </w:rPr>
    </w:lvl>
    <w:lvl w:ilvl="3">
      <w:start w:val="1"/>
      <w:numFmt w:val="bullet"/>
      <w:isLgl w:val="false"/>
      <w:suff w:val="tab"/>
      <w:lvlText w:val="·"/>
      <w:lvlJc w:val="left"/>
      <w:pPr>
        <w:ind w:left="2880" w:hanging="360"/>
      </w:pPr>
      <w:rPr>
        <w:rFonts w:hint="default" w:ascii="Symbol" w:hAnsi="Symbol" w:eastAsia="Symbol" w:cs="Symbol"/>
      </w:rPr>
    </w:lvl>
    <w:lvl w:ilvl="4">
      <w:start w:val="1"/>
      <w:numFmt w:val="bullet"/>
      <w:isLgl w:val="false"/>
      <w:suff w:val="tab"/>
      <w:lvlText w:val="o"/>
      <w:lvlJc w:val="left"/>
      <w:pPr>
        <w:ind w:left="3600" w:hanging="360"/>
      </w:pPr>
      <w:rPr>
        <w:rFonts w:hint="default" w:ascii="Courier New" w:hAnsi="Courier New" w:eastAsia="Courier New" w:cs="Courier New"/>
      </w:rPr>
    </w:lvl>
    <w:lvl w:ilvl="5">
      <w:start w:val="1"/>
      <w:numFmt w:val="bullet"/>
      <w:isLgl w:val="false"/>
      <w:suff w:val="tab"/>
      <w:lvlText w:val="§"/>
      <w:lvlJc w:val="left"/>
      <w:pPr>
        <w:ind w:left="4320" w:hanging="360"/>
      </w:pPr>
      <w:rPr>
        <w:rFonts w:hint="default" w:ascii="Wingdings" w:hAnsi="Wingdings" w:eastAsia="Wingdings" w:cs="Wingdings"/>
      </w:rPr>
    </w:lvl>
    <w:lvl w:ilvl="6">
      <w:start w:val="1"/>
      <w:numFmt w:val="bullet"/>
      <w:isLgl w:val="false"/>
      <w:suff w:val="tab"/>
      <w:lvlText w:val="·"/>
      <w:lvlJc w:val="left"/>
      <w:pPr>
        <w:ind w:left="5040" w:hanging="360"/>
      </w:pPr>
      <w:rPr>
        <w:rFonts w:hint="default" w:ascii="Symbol" w:hAnsi="Symbol" w:eastAsia="Symbol" w:cs="Symbol"/>
      </w:rPr>
    </w:lvl>
    <w:lvl w:ilvl="7">
      <w:start w:val="1"/>
      <w:numFmt w:val="bullet"/>
      <w:isLgl w:val="false"/>
      <w:suff w:val="tab"/>
      <w:lvlText w:val="o"/>
      <w:lvlJc w:val="left"/>
      <w:pPr>
        <w:ind w:left="5760" w:hanging="360"/>
      </w:pPr>
      <w:rPr>
        <w:rFonts w:hint="default" w:ascii="Courier New" w:hAnsi="Courier New" w:eastAsia="Courier New" w:cs="Courier New"/>
      </w:rPr>
    </w:lvl>
    <w:lvl w:ilvl="8">
      <w:start w:val="1"/>
      <w:numFmt w:val="bullet"/>
      <w:isLgl w:val="false"/>
      <w:suff w:val="tab"/>
      <w:lvlText w:val="§"/>
      <w:lvlJc w:val="left"/>
      <w:pPr>
        <w:ind w:left="6480" w:hanging="360"/>
      </w:pPr>
      <w:rPr>
        <w:rFonts w:hint="default" w:ascii="Wingdings" w:hAnsi="Wingdings" w:eastAsia="Wingdings" w:cs="Wingdings"/>
      </w:rPr>
    </w:lvl>
  </w:abstractNum>
  <w:abstractNum w:abstractNumId="103">
    <w:multiLevelType w:val="hybridMultilevel"/>
    <w:lvl w:ilvl="0">
      <w:start w:val="1"/>
      <w:numFmt w:val="bullet"/>
      <w:isLgl w:val="false"/>
      <w:suff w:val="tab"/>
      <w:lvlText w:val=""/>
      <w:lvlJc w:val="left"/>
      <w:pPr>
        <w:ind w:left="0"/>
      </w:pPr>
      <w:rPr>
        <w:rFonts w:hint="default" w:ascii="Symbol" w:hAnsi="Symbol"/>
        <w:b w:val="0"/>
        <w:i w:val="0"/>
        <w:strike w:val="0"/>
        <w:color w:val="000000"/>
        <w:sz w:val="28"/>
        <w:szCs w:val="28"/>
        <w:u w:val="none"/>
        <w:vertAlign w:val="baseline"/>
      </w:rPr>
    </w:lvl>
    <w:lvl w:ilvl="1">
      <w:start w:val="1"/>
      <w:numFmt w:val="bullet"/>
      <w:isLgl w:val="false"/>
      <w:suff w:val="tab"/>
      <w:lvlText w:val="o"/>
      <w:lvlJc w:val="left"/>
      <w:pPr>
        <w:ind w:left="1788"/>
      </w:pPr>
      <w:rPr>
        <w:rFonts w:ascii="Times New Roman" w:hAnsi="Times New Roman" w:eastAsia="Times New Roman" w:cs="Times New Roman"/>
        <w:b w:val="0"/>
        <w:i w:val="0"/>
        <w:strike w:val="0"/>
        <w:color w:val="000000"/>
        <w:sz w:val="28"/>
        <w:szCs w:val="28"/>
        <w:u w:val="none"/>
        <w:vertAlign w:val="baseline"/>
      </w:rPr>
    </w:lvl>
    <w:lvl w:ilvl="2">
      <w:start w:val="1"/>
      <w:numFmt w:val="bullet"/>
      <w:isLgl w:val="false"/>
      <w:suff w:val="tab"/>
      <w:lvlText w:val="▪"/>
      <w:lvlJc w:val="left"/>
      <w:pPr>
        <w:ind w:left="2508"/>
      </w:pPr>
      <w:rPr>
        <w:rFonts w:ascii="Times New Roman" w:hAnsi="Times New Roman" w:eastAsia="Times New Roman" w:cs="Times New Roman"/>
        <w:b w:val="0"/>
        <w:i w:val="0"/>
        <w:strike w:val="0"/>
        <w:color w:val="000000"/>
        <w:sz w:val="28"/>
        <w:szCs w:val="28"/>
        <w:u w:val="none"/>
        <w:vertAlign w:val="baseline"/>
      </w:rPr>
    </w:lvl>
    <w:lvl w:ilvl="3">
      <w:start w:val="1"/>
      <w:numFmt w:val="bullet"/>
      <w:isLgl w:val="false"/>
      <w:suff w:val="tab"/>
      <w:lvlText w:val="•"/>
      <w:lvlJc w:val="left"/>
      <w:pPr>
        <w:ind w:left="3228"/>
      </w:pPr>
      <w:rPr>
        <w:rFonts w:ascii="Times New Roman" w:hAnsi="Times New Roman" w:eastAsia="Times New Roman" w:cs="Times New Roman"/>
        <w:b w:val="0"/>
        <w:i w:val="0"/>
        <w:strike w:val="0"/>
        <w:color w:val="000000"/>
        <w:sz w:val="28"/>
        <w:szCs w:val="28"/>
        <w:u w:val="none"/>
        <w:vertAlign w:val="baseline"/>
      </w:rPr>
    </w:lvl>
    <w:lvl w:ilvl="4">
      <w:start w:val="1"/>
      <w:numFmt w:val="bullet"/>
      <w:isLgl w:val="false"/>
      <w:suff w:val="tab"/>
      <w:lvlText w:val="o"/>
      <w:lvlJc w:val="left"/>
      <w:pPr>
        <w:ind w:left="3948"/>
      </w:pPr>
      <w:rPr>
        <w:rFonts w:ascii="Times New Roman" w:hAnsi="Times New Roman" w:eastAsia="Times New Roman" w:cs="Times New Roman"/>
        <w:b w:val="0"/>
        <w:i w:val="0"/>
        <w:strike w:val="0"/>
        <w:color w:val="000000"/>
        <w:sz w:val="28"/>
        <w:szCs w:val="28"/>
        <w:u w:val="none"/>
        <w:vertAlign w:val="baseline"/>
      </w:rPr>
    </w:lvl>
    <w:lvl w:ilvl="5">
      <w:start w:val="1"/>
      <w:numFmt w:val="bullet"/>
      <w:isLgl w:val="false"/>
      <w:suff w:val="tab"/>
      <w:lvlText w:val="▪"/>
      <w:lvlJc w:val="left"/>
      <w:pPr>
        <w:ind w:left="4668"/>
      </w:pPr>
      <w:rPr>
        <w:rFonts w:ascii="Times New Roman" w:hAnsi="Times New Roman" w:eastAsia="Times New Roman" w:cs="Times New Roman"/>
        <w:b w:val="0"/>
        <w:i w:val="0"/>
        <w:strike w:val="0"/>
        <w:color w:val="000000"/>
        <w:sz w:val="28"/>
        <w:szCs w:val="28"/>
        <w:u w:val="none"/>
        <w:vertAlign w:val="baseline"/>
      </w:rPr>
    </w:lvl>
    <w:lvl w:ilvl="6">
      <w:start w:val="1"/>
      <w:numFmt w:val="bullet"/>
      <w:isLgl w:val="false"/>
      <w:suff w:val="tab"/>
      <w:lvlText w:val="•"/>
      <w:lvlJc w:val="left"/>
      <w:pPr>
        <w:ind w:left="5388"/>
      </w:pPr>
      <w:rPr>
        <w:rFonts w:ascii="Times New Roman" w:hAnsi="Times New Roman" w:eastAsia="Times New Roman" w:cs="Times New Roman"/>
        <w:b w:val="0"/>
        <w:i w:val="0"/>
        <w:strike w:val="0"/>
        <w:color w:val="000000"/>
        <w:sz w:val="28"/>
        <w:szCs w:val="28"/>
        <w:u w:val="none"/>
        <w:vertAlign w:val="baseline"/>
      </w:rPr>
    </w:lvl>
    <w:lvl w:ilvl="7">
      <w:start w:val="1"/>
      <w:numFmt w:val="bullet"/>
      <w:isLgl w:val="false"/>
      <w:suff w:val="tab"/>
      <w:lvlText w:val="o"/>
      <w:lvlJc w:val="left"/>
      <w:pPr>
        <w:ind w:left="6108"/>
      </w:pPr>
      <w:rPr>
        <w:rFonts w:ascii="Times New Roman" w:hAnsi="Times New Roman" w:eastAsia="Times New Roman" w:cs="Times New Roman"/>
        <w:b w:val="0"/>
        <w:i w:val="0"/>
        <w:strike w:val="0"/>
        <w:color w:val="000000"/>
        <w:sz w:val="28"/>
        <w:szCs w:val="28"/>
        <w:u w:val="none"/>
        <w:vertAlign w:val="baseline"/>
      </w:rPr>
    </w:lvl>
    <w:lvl w:ilvl="8">
      <w:start w:val="1"/>
      <w:numFmt w:val="bullet"/>
      <w:isLgl w:val="false"/>
      <w:suff w:val="tab"/>
      <w:lvlText w:val="▪"/>
      <w:lvlJc w:val="left"/>
      <w:pPr>
        <w:ind w:left="6828"/>
      </w:pPr>
      <w:rPr>
        <w:rFonts w:ascii="Times New Roman" w:hAnsi="Times New Roman" w:eastAsia="Times New Roman" w:cs="Times New Roman"/>
        <w:b w:val="0"/>
        <w:i w:val="0"/>
        <w:strike w:val="0"/>
        <w:color w:val="000000"/>
        <w:sz w:val="28"/>
        <w:szCs w:val="28"/>
        <w:u w:val="none"/>
        <w:vertAlign w:val="baseline"/>
      </w:rPr>
    </w:lvl>
  </w:abstractNum>
  <w:abstractNum w:abstractNumId="104">
    <w:multiLevelType w:val="hybridMultilevel"/>
    <w:lvl w:ilvl="0">
      <w:start w:val="1"/>
      <w:numFmt w:val="bullet"/>
      <w:isLgl w:val="false"/>
      <w:suff w:val="tab"/>
      <w:lvlText w:val=""/>
      <w:lvlJc w:val="left"/>
      <w:pPr>
        <w:ind w:left="720" w:hanging="360"/>
      </w:pPr>
      <w:rPr>
        <w:rFonts w:hint="default" w:ascii="Symbol" w:hAnsi="Symbol"/>
      </w:rPr>
    </w:lvl>
    <w:lvl w:ilvl="1">
      <w:start w:val="1"/>
      <w:numFmt w:val="bullet"/>
      <w:isLgl w:val="false"/>
      <w:suff w:val="tab"/>
      <w:lvlText w:val="o"/>
      <w:lvlJc w:val="left"/>
      <w:pPr>
        <w:ind w:left="1440" w:hanging="360"/>
      </w:pPr>
      <w:rPr>
        <w:rFonts w:hint="default" w:ascii="Courier New" w:hAnsi="Courier New" w:cs="Courier New"/>
      </w:rPr>
    </w:lvl>
    <w:lvl w:ilvl="2">
      <w:start w:val="1"/>
      <w:numFmt w:val="bullet"/>
      <w:isLgl w:val="false"/>
      <w:suff w:val="tab"/>
      <w:lvlText w:val=""/>
      <w:lvlJc w:val="left"/>
      <w:pPr>
        <w:ind w:left="2160" w:hanging="360"/>
      </w:pPr>
      <w:rPr>
        <w:rFonts w:hint="default" w:ascii="Wingdings" w:hAnsi="Wingdings"/>
      </w:rPr>
    </w:lvl>
    <w:lvl w:ilvl="3">
      <w:start w:val="1"/>
      <w:numFmt w:val="bullet"/>
      <w:isLgl w:val="false"/>
      <w:suff w:val="tab"/>
      <w:lvlText w:val=""/>
      <w:lvlJc w:val="left"/>
      <w:pPr>
        <w:ind w:left="2880" w:hanging="360"/>
      </w:pPr>
      <w:rPr>
        <w:rFonts w:hint="default" w:ascii="Symbol" w:hAnsi="Symbol"/>
      </w:rPr>
    </w:lvl>
    <w:lvl w:ilvl="4">
      <w:start w:val="1"/>
      <w:numFmt w:val="bullet"/>
      <w:isLgl w:val="false"/>
      <w:suff w:val="tab"/>
      <w:lvlText w:val="o"/>
      <w:lvlJc w:val="left"/>
      <w:pPr>
        <w:ind w:left="3600" w:hanging="360"/>
      </w:pPr>
      <w:rPr>
        <w:rFonts w:hint="default" w:ascii="Courier New" w:hAnsi="Courier New" w:cs="Courier New"/>
      </w:rPr>
    </w:lvl>
    <w:lvl w:ilvl="5">
      <w:start w:val="1"/>
      <w:numFmt w:val="bullet"/>
      <w:isLgl w:val="false"/>
      <w:suff w:val="tab"/>
      <w:lvlText w:val=""/>
      <w:lvlJc w:val="left"/>
      <w:pPr>
        <w:ind w:left="4320" w:hanging="360"/>
      </w:pPr>
      <w:rPr>
        <w:rFonts w:hint="default" w:ascii="Wingdings" w:hAnsi="Wingdings"/>
      </w:rPr>
    </w:lvl>
    <w:lvl w:ilvl="6">
      <w:start w:val="1"/>
      <w:numFmt w:val="bullet"/>
      <w:isLgl w:val="false"/>
      <w:suff w:val="tab"/>
      <w:lvlText w:val=""/>
      <w:lvlJc w:val="left"/>
      <w:pPr>
        <w:ind w:left="5040" w:hanging="360"/>
      </w:pPr>
      <w:rPr>
        <w:rFonts w:hint="default" w:ascii="Symbol" w:hAnsi="Symbol"/>
      </w:rPr>
    </w:lvl>
    <w:lvl w:ilvl="7">
      <w:start w:val="1"/>
      <w:numFmt w:val="bullet"/>
      <w:isLgl w:val="false"/>
      <w:suff w:val="tab"/>
      <w:lvlText w:val="o"/>
      <w:lvlJc w:val="left"/>
      <w:pPr>
        <w:ind w:left="5760" w:hanging="360"/>
      </w:pPr>
      <w:rPr>
        <w:rFonts w:hint="default" w:ascii="Courier New" w:hAnsi="Courier New" w:cs="Courier New"/>
      </w:rPr>
    </w:lvl>
    <w:lvl w:ilvl="8">
      <w:start w:val="1"/>
      <w:numFmt w:val="bullet"/>
      <w:isLgl w:val="false"/>
      <w:suff w:val="tab"/>
      <w:lvlText w:val=""/>
      <w:lvlJc w:val="left"/>
      <w:pPr>
        <w:ind w:left="6480" w:hanging="360"/>
      </w:pPr>
      <w:rPr>
        <w:rFonts w:hint="default" w:ascii="Wingdings" w:hAnsi="Wingdings"/>
      </w:rPr>
    </w:lvl>
  </w:abstractNum>
  <w:abstractNum w:abstractNumId="105">
    <w:multiLevelType w:val="hybridMultilevel"/>
    <w:lvl w:ilvl="0">
      <w:start w:val="1"/>
      <w:numFmt w:val="bullet"/>
      <w:isLgl w:val="false"/>
      <w:suff w:val="tab"/>
      <w:lvlText w:val=""/>
      <w:lvlJc w:val="left"/>
      <w:pPr>
        <w:ind w:left="720" w:hanging="360"/>
      </w:pPr>
      <w:rPr>
        <w:rFonts w:hint="default" w:ascii="Symbol" w:hAnsi="Symbol"/>
      </w:rPr>
    </w:lvl>
    <w:lvl w:ilvl="1">
      <w:start w:val="1"/>
      <w:numFmt w:val="bullet"/>
      <w:isLgl w:val="false"/>
      <w:suff w:val="tab"/>
      <w:lvlText w:val="o"/>
      <w:lvlJc w:val="left"/>
      <w:pPr>
        <w:ind w:left="1440" w:hanging="360"/>
      </w:pPr>
      <w:rPr>
        <w:rFonts w:hint="default" w:ascii="Courier New" w:hAnsi="Courier New" w:cs="Courier New"/>
      </w:rPr>
    </w:lvl>
    <w:lvl w:ilvl="2">
      <w:start w:val="1"/>
      <w:numFmt w:val="bullet"/>
      <w:isLgl w:val="false"/>
      <w:suff w:val="tab"/>
      <w:lvlText w:val=""/>
      <w:lvlJc w:val="left"/>
      <w:pPr>
        <w:ind w:left="2160" w:hanging="360"/>
      </w:pPr>
      <w:rPr>
        <w:rFonts w:hint="default" w:ascii="Wingdings" w:hAnsi="Wingdings"/>
      </w:rPr>
    </w:lvl>
    <w:lvl w:ilvl="3">
      <w:start w:val="1"/>
      <w:numFmt w:val="bullet"/>
      <w:isLgl w:val="false"/>
      <w:suff w:val="tab"/>
      <w:lvlText w:val=""/>
      <w:lvlJc w:val="left"/>
      <w:pPr>
        <w:ind w:left="2880" w:hanging="360"/>
      </w:pPr>
      <w:rPr>
        <w:rFonts w:hint="default" w:ascii="Symbol" w:hAnsi="Symbol"/>
      </w:rPr>
    </w:lvl>
    <w:lvl w:ilvl="4">
      <w:start w:val="1"/>
      <w:numFmt w:val="bullet"/>
      <w:isLgl w:val="false"/>
      <w:suff w:val="tab"/>
      <w:lvlText w:val="o"/>
      <w:lvlJc w:val="left"/>
      <w:pPr>
        <w:ind w:left="3600" w:hanging="360"/>
      </w:pPr>
      <w:rPr>
        <w:rFonts w:hint="default" w:ascii="Courier New" w:hAnsi="Courier New" w:cs="Courier New"/>
      </w:rPr>
    </w:lvl>
    <w:lvl w:ilvl="5">
      <w:start w:val="1"/>
      <w:numFmt w:val="bullet"/>
      <w:isLgl w:val="false"/>
      <w:suff w:val="tab"/>
      <w:lvlText w:val=""/>
      <w:lvlJc w:val="left"/>
      <w:pPr>
        <w:ind w:left="4320" w:hanging="360"/>
      </w:pPr>
      <w:rPr>
        <w:rFonts w:hint="default" w:ascii="Wingdings" w:hAnsi="Wingdings"/>
      </w:rPr>
    </w:lvl>
    <w:lvl w:ilvl="6">
      <w:start w:val="1"/>
      <w:numFmt w:val="bullet"/>
      <w:isLgl w:val="false"/>
      <w:suff w:val="tab"/>
      <w:lvlText w:val=""/>
      <w:lvlJc w:val="left"/>
      <w:pPr>
        <w:ind w:left="5040" w:hanging="360"/>
      </w:pPr>
      <w:rPr>
        <w:rFonts w:hint="default" w:ascii="Symbol" w:hAnsi="Symbol"/>
      </w:rPr>
    </w:lvl>
    <w:lvl w:ilvl="7">
      <w:start w:val="1"/>
      <w:numFmt w:val="bullet"/>
      <w:isLgl w:val="false"/>
      <w:suff w:val="tab"/>
      <w:lvlText w:val="o"/>
      <w:lvlJc w:val="left"/>
      <w:pPr>
        <w:ind w:left="5760" w:hanging="360"/>
      </w:pPr>
      <w:rPr>
        <w:rFonts w:hint="default" w:ascii="Courier New" w:hAnsi="Courier New" w:cs="Courier New"/>
      </w:rPr>
    </w:lvl>
    <w:lvl w:ilvl="8">
      <w:start w:val="1"/>
      <w:numFmt w:val="bullet"/>
      <w:isLgl w:val="false"/>
      <w:suff w:val="tab"/>
      <w:lvlText w:val=""/>
      <w:lvlJc w:val="left"/>
      <w:pPr>
        <w:ind w:left="6480" w:hanging="360"/>
      </w:pPr>
      <w:rPr>
        <w:rFonts w:hint="default" w:ascii="Wingdings" w:hAnsi="Wingdings"/>
      </w:rPr>
    </w:lvl>
  </w:abstractNum>
  <w:abstractNum w:abstractNumId="106">
    <w:multiLevelType w:val="hybridMultilevel"/>
    <w:lvl w:ilvl="0">
      <w:start w:val="1"/>
      <w:numFmt w:val="bullet"/>
      <w:isLgl w:val="false"/>
      <w:suff w:val="tab"/>
      <w:lvlText w:val=""/>
      <w:lvlJc w:val="left"/>
      <w:pPr>
        <w:ind w:left="720" w:hanging="360"/>
      </w:pPr>
      <w:rPr>
        <w:rFonts w:ascii="Symbol" w:hAnsi="Symbol"/>
      </w:rPr>
    </w:lvl>
    <w:lvl w:ilvl="1">
      <w:start w:val="1"/>
      <w:numFmt w:val="bullet"/>
      <w:isLgl w:val="false"/>
      <w:suff w:val="tab"/>
      <w:lvlText w:val="o"/>
      <w:lvlJc w:val="left"/>
      <w:pPr>
        <w:ind w:left="1440" w:hanging="360"/>
      </w:pPr>
      <w:rPr>
        <w:rFonts w:hint="default" w:ascii="Courier New" w:hAnsi="Courier New" w:cs="Courier New"/>
      </w:rPr>
    </w:lvl>
    <w:lvl w:ilvl="2">
      <w:start w:val="1"/>
      <w:numFmt w:val="bullet"/>
      <w:isLgl w:val="false"/>
      <w:suff w:val="tab"/>
      <w:lvlText w:val=""/>
      <w:lvlJc w:val="left"/>
      <w:pPr>
        <w:ind w:left="2160" w:hanging="360"/>
      </w:pPr>
      <w:rPr>
        <w:rFonts w:hint="default" w:ascii="Wingdings" w:hAnsi="Wingdings"/>
      </w:rPr>
    </w:lvl>
    <w:lvl w:ilvl="3">
      <w:start w:val="1"/>
      <w:numFmt w:val="bullet"/>
      <w:isLgl w:val="false"/>
      <w:suff w:val="tab"/>
      <w:lvlText w:val=""/>
      <w:lvlJc w:val="left"/>
      <w:pPr>
        <w:ind w:left="2880" w:hanging="360"/>
      </w:pPr>
      <w:rPr>
        <w:rFonts w:hint="default" w:ascii="Symbol" w:hAnsi="Symbol"/>
      </w:rPr>
    </w:lvl>
    <w:lvl w:ilvl="4">
      <w:start w:val="1"/>
      <w:numFmt w:val="bullet"/>
      <w:isLgl w:val="false"/>
      <w:suff w:val="tab"/>
      <w:lvlText w:val="o"/>
      <w:lvlJc w:val="left"/>
      <w:pPr>
        <w:ind w:left="3600" w:hanging="360"/>
      </w:pPr>
      <w:rPr>
        <w:rFonts w:hint="default" w:ascii="Courier New" w:hAnsi="Courier New" w:cs="Courier New"/>
      </w:rPr>
    </w:lvl>
    <w:lvl w:ilvl="5">
      <w:start w:val="1"/>
      <w:numFmt w:val="bullet"/>
      <w:isLgl w:val="false"/>
      <w:suff w:val="tab"/>
      <w:lvlText w:val=""/>
      <w:lvlJc w:val="left"/>
      <w:pPr>
        <w:ind w:left="4320" w:hanging="360"/>
      </w:pPr>
      <w:rPr>
        <w:rFonts w:hint="default" w:ascii="Wingdings" w:hAnsi="Wingdings"/>
      </w:rPr>
    </w:lvl>
    <w:lvl w:ilvl="6">
      <w:start w:val="1"/>
      <w:numFmt w:val="bullet"/>
      <w:isLgl w:val="false"/>
      <w:suff w:val="tab"/>
      <w:lvlText w:val=""/>
      <w:lvlJc w:val="left"/>
      <w:pPr>
        <w:ind w:left="5040" w:hanging="360"/>
      </w:pPr>
      <w:rPr>
        <w:rFonts w:hint="default" w:ascii="Symbol" w:hAnsi="Symbol"/>
      </w:rPr>
    </w:lvl>
    <w:lvl w:ilvl="7">
      <w:start w:val="1"/>
      <w:numFmt w:val="bullet"/>
      <w:isLgl w:val="false"/>
      <w:suff w:val="tab"/>
      <w:lvlText w:val="o"/>
      <w:lvlJc w:val="left"/>
      <w:pPr>
        <w:ind w:left="5760" w:hanging="360"/>
      </w:pPr>
      <w:rPr>
        <w:rFonts w:hint="default" w:ascii="Courier New" w:hAnsi="Courier New" w:cs="Courier New"/>
      </w:rPr>
    </w:lvl>
    <w:lvl w:ilvl="8">
      <w:start w:val="1"/>
      <w:numFmt w:val="bullet"/>
      <w:isLgl w:val="false"/>
      <w:suff w:val="tab"/>
      <w:lvlText w:val=""/>
      <w:lvlJc w:val="left"/>
      <w:pPr>
        <w:ind w:left="6480" w:hanging="360"/>
      </w:pPr>
      <w:rPr>
        <w:rFonts w:hint="default" w:ascii="Wingdings" w:hAnsi="Wingdings"/>
      </w:rPr>
    </w:lvl>
  </w:abstractNum>
  <w:abstractNum w:abstractNumId="107">
    <w:multiLevelType w:val="hybridMultilevel"/>
    <w:lvl w:ilvl="0">
      <w:start w:val="1"/>
      <w:numFmt w:val="bullet"/>
      <w:isLgl w:val="false"/>
      <w:suff w:val="tab"/>
      <w:lvlText w:val=""/>
      <w:lvlJc w:val="left"/>
      <w:pPr>
        <w:ind w:left="1287" w:hanging="360"/>
      </w:pPr>
      <w:rPr>
        <w:rFonts w:hint="default" w:ascii="Symbol" w:hAnsi="Symbol"/>
      </w:rPr>
    </w:lvl>
    <w:lvl w:ilvl="1">
      <w:start w:val="1"/>
      <w:numFmt w:val="bullet"/>
      <w:isLgl w:val="false"/>
      <w:suff w:val="tab"/>
      <w:lvlText w:val="o"/>
      <w:lvlJc w:val="left"/>
      <w:pPr>
        <w:ind w:left="2007" w:hanging="360"/>
      </w:pPr>
      <w:rPr>
        <w:rFonts w:hint="default" w:ascii="Courier New" w:hAnsi="Courier New" w:cs="Courier New"/>
      </w:rPr>
    </w:lvl>
    <w:lvl w:ilvl="2">
      <w:start w:val="1"/>
      <w:numFmt w:val="bullet"/>
      <w:isLgl w:val="false"/>
      <w:suff w:val="tab"/>
      <w:lvlText w:val=""/>
      <w:lvlJc w:val="left"/>
      <w:pPr>
        <w:ind w:left="2727" w:hanging="360"/>
      </w:pPr>
      <w:rPr>
        <w:rFonts w:hint="default" w:ascii="Wingdings" w:hAnsi="Wingdings"/>
      </w:rPr>
    </w:lvl>
    <w:lvl w:ilvl="3">
      <w:start w:val="1"/>
      <w:numFmt w:val="bullet"/>
      <w:isLgl w:val="false"/>
      <w:suff w:val="tab"/>
      <w:lvlText w:val=""/>
      <w:lvlJc w:val="left"/>
      <w:pPr>
        <w:ind w:left="3447" w:hanging="360"/>
      </w:pPr>
      <w:rPr>
        <w:rFonts w:hint="default" w:ascii="Symbol" w:hAnsi="Symbol"/>
      </w:rPr>
    </w:lvl>
    <w:lvl w:ilvl="4">
      <w:start w:val="1"/>
      <w:numFmt w:val="bullet"/>
      <w:isLgl w:val="false"/>
      <w:suff w:val="tab"/>
      <w:lvlText w:val="o"/>
      <w:lvlJc w:val="left"/>
      <w:pPr>
        <w:ind w:left="4167" w:hanging="360"/>
      </w:pPr>
      <w:rPr>
        <w:rFonts w:hint="default" w:ascii="Courier New" w:hAnsi="Courier New" w:cs="Courier New"/>
      </w:rPr>
    </w:lvl>
    <w:lvl w:ilvl="5">
      <w:start w:val="1"/>
      <w:numFmt w:val="bullet"/>
      <w:isLgl w:val="false"/>
      <w:suff w:val="tab"/>
      <w:lvlText w:val=""/>
      <w:lvlJc w:val="left"/>
      <w:pPr>
        <w:ind w:left="4887" w:hanging="360"/>
      </w:pPr>
      <w:rPr>
        <w:rFonts w:hint="default" w:ascii="Wingdings" w:hAnsi="Wingdings"/>
      </w:rPr>
    </w:lvl>
    <w:lvl w:ilvl="6">
      <w:start w:val="1"/>
      <w:numFmt w:val="bullet"/>
      <w:isLgl w:val="false"/>
      <w:suff w:val="tab"/>
      <w:lvlText w:val=""/>
      <w:lvlJc w:val="left"/>
      <w:pPr>
        <w:ind w:left="5607" w:hanging="360"/>
      </w:pPr>
      <w:rPr>
        <w:rFonts w:hint="default" w:ascii="Symbol" w:hAnsi="Symbol"/>
      </w:rPr>
    </w:lvl>
    <w:lvl w:ilvl="7">
      <w:start w:val="1"/>
      <w:numFmt w:val="bullet"/>
      <w:isLgl w:val="false"/>
      <w:suff w:val="tab"/>
      <w:lvlText w:val="o"/>
      <w:lvlJc w:val="left"/>
      <w:pPr>
        <w:ind w:left="6327" w:hanging="360"/>
      </w:pPr>
      <w:rPr>
        <w:rFonts w:hint="default" w:ascii="Courier New" w:hAnsi="Courier New" w:cs="Courier New"/>
      </w:rPr>
    </w:lvl>
    <w:lvl w:ilvl="8">
      <w:start w:val="1"/>
      <w:numFmt w:val="bullet"/>
      <w:isLgl w:val="false"/>
      <w:suff w:val="tab"/>
      <w:lvlText w:val=""/>
      <w:lvlJc w:val="left"/>
      <w:pPr>
        <w:ind w:left="7047" w:hanging="360"/>
      </w:pPr>
      <w:rPr>
        <w:rFonts w:hint="default" w:ascii="Wingdings" w:hAnsi="Wingdings"/>
      </w:rPr>
    </w:lvl>
  </w:abstractNum>
  <w:abstractNum w:abstractNumId="108">
    <w:multiLevelType w:val="hybridMultilevel"/>
    <w:lvl w:ilvl="0">
      <w:start w:val="1"/>
      <w:numFmt w:val="bullet"/>
      <w:isLgl w:val="false"/>
      <w:suff w:val="tab"/>
      <w:lvlText w:val=""/>
      <w:lvlJc w:val="left"/>
      <w:pPr>
        <w:ind w:left="1429" w:hanging="360"/>
      </w:pPr>
      <w:rPr>
        <w:rFonts w:hint="default" w:ascii="Symbol" w:hAnsi="Symbol"/>
      </w:rPr>
    </w:lvl>
    <w:lvl w:ilvl="1">
      <w:start w:val="1"/>
      <w:numFmt w:val="bullet"/>
      <w:isLgl w:val="false"/>
      <w:suff w:val="tab"/>
      <w:lvlText w:val="o"/>
      <w:lvlJc w:val="left"/>
      <w:pPr>
        <w:ind w:left="2149" w:hanging="360"/>
      </w:pPr>
      <w:rPr>
        <w:rFonts w:hint="default" w:ascii="Courier New" w:hAnsi="Courier New" w:cs="Courier New"/>
      </w:rPr>
    </w:lvl>
    <w:lvl w:ilvl="2">
      <w:start w:val="1"/>
      <w:numFmt w:val="bullet"/>
      <w:isLgl w:val="false"/>
      <w:suff w:val="tab"/>
      <w:lvlText w:val=""/>
      <w:lvlJc w:val="left"/>
      <w:pPr>
        <w:ind w:left="2869" w:hanging="360"/>
      </w:pPr>
      <w:rPr>
        <w:rFonts w:hint="default" w:ascii="Wingdings" w:hAnsi="Wingdings"/>
      </w:rPr>
    </w:lvl>
    <w:lvl w:ilvl="3">
      <w:start w:val="1"/>
      <w:numFmt w:val="bullet"/>
      <w:isLgl w:val="false"/>
      <w:suff w:val="tab"/>
      <w:lvlText w:val=""/>
      <w:lvlJc w:val="left"/>
      <w:pPr>
        <w:ind w:left="3589" w:hanging="360"/>
      </w:pPr>
      <w:rPr>
        <w:rFonts w:hint="default" w:ascii="Symbol" w:hAnsi="Symbol"/>
      </w:rPr>
    </w:lvl>
    <w:lvl w:ilvl="4">
      <w:start w:val="1"/>
      <w:numFmt w:val="bullet"/>
      <w:isLgl w:val="false"/>
      <w:suff w:val="tab"/>
      <w:lvlText w:val="o"/>
      <w:lvlJc w:val="left"/>
      <w:pPr>
        <w:ind w:left="4309" w:hanging="360"/>
      </w:pPr>
      <w:rPr>
        <w:rFonts w:hint="default" w:ascii="Courier New" w:hAnsi="Courier New" w:cs="Courier New"/>
      </w:rPr>
    </w:lvl>
    <w:lvl w:ilvl="5">
      <w:start w:val="1"/>
      <w:numFmt w:val="bullet"/>
      <w:isLgl w:val="false"/>
      <w:suff w:val="tab"/>
      <w:lvlText w:val=""/>
      <w:lvlJc w:val="left"/>
      <w:pPr>
        <w:ind w:left="5029" w:hanging="360"/>
      </w:pPr>
      <w:rPr>
        <w:rFonts w:hint="default" w:ascii="Wingdings" w:hAnsi="Wingdings"/>
      </w:rPr>
    </w:lvl>
    <w:lvl w:ilvl="6">
      <w:start w:val="1"/>
      <w:numFmt w:val="bullet"/>
      <w:isLgl w:val="false"/>
      <w:suff w:val="tab"/>
      <w:lvlText w:val=""/>
      <w:lvlJc w:val="left"/>
      <w:pPr>
        <w:ind w:left="5749" w:hanging="360"/>
      </w:pPr>
      <w:rPr>
        <w:rFonts w:hint="default" w:ascii="Symbol" w:hAnsi="Symbol"/>
      </w:rPr>
    </w:lvl>
    <w:lvl w:ilvl="7">
      <w:start w:val="1"/>
      <w:numFmt w:val="bullet"/>
      <w:isLgl w:val="false"/>
      <w:suff w:val="tab"/>
      <w:lvlText w:val="o"/>
      <w:lvlJc w:val="left"/>
      <w:pPr>
        <w:ind w:left="6469" w:hanging="360"/>
      </w:pPr>
      <w:rPr>
        <w:rFonts w:hint="default" w:ascii="Courier New" w:hAnsi="Courier New" w:cs="Courier New"/>
      </w:rPr>
    </w:lvl>
    <w:lvl w:ilvl="8">
      <w:start w:val="1"/>
      <w:numFmt w:val="bullet"/>
      <w:isLgl w:val="false"/>
      <w:suff w:val="tab"/>
      <w:lvlText w:val=""/>
      <w:lvlJc w:val="left"/>
      <w:pPr>
        <w:ind w:left="7189" w:hanging="360"/>
      </w:pPr>
      <w:rPr>
        <w:rFonts w:hint="default" w:ascii="Wingdings" w:hAnsi="Wingdings"/>
      </w:rPr>
    </w:lvl>
  </w:abstractNum>
  <w:abstractNum w:abstractNumId="109">
    <w:multiLevelType w:val="hybridMultilevel"/>
    <w:lvl w:ilvl="0">
      <w:start w:val="1"/>
      <w:numFmt w:val="bullet"/>
      <w:isLgl w:val="false"/>
      <w:suff w:val="tab"/>
      <w:lvlText w:val="–"/>
      <w:lvlJc w:val="left"/>
      <w:pPr>
        <w:ind w:left="720" w:hanging="360"/>
      </w:pPr>
      <w:rPr>
        <w:rFonts w:ascii="Arial" w:hAnsi="Arial" w:eastAsia="Arial" w:cs="Arial"/>
      </w:rPr>
    </w:lvl>
    <w:lvl w:ilvl="1">
      <w:start w:val="1"/>
      <w:numFmt w:val="bullet"/>
      <w:isLgl w:val="false"/>
      <w:suff w:val="tab"/>
      <w:lvlText w:val="o"/>
      <w:lvlJc w:val="left"/>
      <w:pPr>
        <w:ind w:left="1440" w:hanging="360"/>
      </w:pPr>
      <w:rPr>
        <w:rFonts w:hint="default" w:ascii="Courier New" w:hAnsi="Courier New" w:eastAsia="Courier New" w:cs="Courier New"/>
      </w:rPr>
    </w:lvl>
    <w:lvl w:ilvl="2">
      <w:start w:val="1"/>
      <w:numFmt w:val="bullet"/>
      <w:isLgl w:val="false"/>
      <w:suff w:val="tab"/>
      <w:lvlText w:val="§"/>
      <w:lvlJc w:val="left"/>
      <w:pPr>
        <w:ind w:left="2160" w:hanging="360"/>
      </w:pPr>
      <w:rPr>
        <w:rFonts w:hint="default" w:ascii="Wingdings" w:hAnsi="Wingdings" w:eastAsia="Wingdings" w:cs="Wingdings"/>
      </w:rPr>
    </w:lvl>
    <w:lvl w:ilvl="3">
      <w:start w:val="1"/>
      <w:numFmt w:val="bullet"/>
      <w:isLgl w:val="false"/>
      <w:suff w:val="tab"/>
      <w:lvlText w:val="·"/>
      <w:lvlJc w:val="left"/>
      <w:pPr>
        <w:ind w:left="2880" w:hanging="360"/>
      </w:pPr>
      <w:rPr>
        <w:rFonts w:hint="default" w:ascii="Symbol" w:hAnsi="Symbol" w:eastAsia="Symbol" w:cs="Symbol"/>
      </w:rPr>
    </w:lvl>
    <w:lvl w:ilvl="4">
      <w:start w:val="1"/>
      <w:numFmt w:val="bullet"/>
      <w:isLgl w:val="false"/>
      <w:suff w:val="tab"/>
      <w:lvlText w:val="o"/>
      <w:lvlJc w:val="left"/>
      <w:pPr>
        <w:ind w:left="3600" w:hanging="360"/>
      </w:pPr>
      <w:rPr>
        <w:rFonts w:hint="default" w:ascii="Courier New" w:hAnsi="Courier New" w:eastAsia="Courier New" w:cs="Courier New"/>
      </w:rPr>
    </w:lvl>
    <w:lvl w:ilvl="5">
      <w:start w:val="1"/>
      <w:numFmt w:val="bullet"/>
      <w:isLgl w:val="false"/>
      <w:suff w:val="tab"/>
      <w:lvlText w:val="§"/>
      <w:lvlJc w:val="left"/>
      <w:pPr>
        <w:ind w:left="4320" w:hanging="360"/>
      </w:pPr>
      <w:rPr>
        <w:rFonts w:hint="default" w:ascii="Wingdings" w:hAnsi="Wingdings" w:eastAsia="Wingdings" w:cs="Wingdings"/>
      </w:rPr>
    </w:lvl>
    <w:lvl w:ilvl="6">
      <w:start w:val="1"/>
      <w:numFmt w:val="bullet"/>
      <w:isLgl w:val="false"/>
      <w:suff w:val="tab"/>
      <w:lvlText w:val="·"/>
      <w:lvlJc w:val="left"/>
      <w:pPr>
        <w:ind w:left="5040" w:hanging="360"/>
      </w:pPr>
      <w:rPr>
        <w:rFonts w:hint="default" w:ascii="Symbol" w:hAnsi="Symbol" w:eastAsia="Symbol" w:cs="Symbol"/>
      </w:rPr>
    </w:lvl>
    <w:lvl w:ilvl="7">
      <w:start w:val="1"/>
      <w:numFmt w:val="bullet"/>
      <w:isLgl w:val="false"/>
      <w:suff w:val="tab"/>
      <w:lvlText w:val="o"/>
      <w:lvlJc w:val="left"/>
      <w:pPr>
        <w:ind w:left="5760" w:hanging="360"/>
      </w:pPr>
      <w:rPr>
        <w:rFonts w:hint="default" w:ascii="Courier New" w:hAnsi="Courier New" w:eastAsia="Courier New" w:cs="Courier New"/>
      </w:rPr>
    </w:lvl>
    <w:lvl w:ilvl="8">
      <w:start w:val="1"/>
      <w:numFmt w:val="bullet"/>
      <w:isLgl w:val="false"/>
      <w:suff w:val="tab"/>
      <w:lvlText w:val="§"/>
      <w:lvlJc w:val="left"/>
      <w:pPr>
        <w:ind w:left="6480" w:hanging="360"/>
      </w:pPr>
      <w:rPr>
        <w:rFonts w:hint="default" w:ascii="Wingdings" w:hAnsi="Wingdings" w:eastAsia="Wingdings" w:cs="Wingdings"/>
      </w:rPr>
    </w:lvl>
  </w:abstractNum>
  <w:abstractNum w:abstractNumId="110">
    <w:multiLevelType w:val="hybridMultilevel"/>
    <w:lvl w:ilvl="0">
      <w:start w:val="1"/>
      <w:numFmt w:val="bullet"/>
      <w:isLgl w:val="false"/>
      <w:suff w:val="tab"/>
      <w:lvlText w:val=""/>
      <w:lvlJc w:val="left"/>
      <w:pPr>
        <w:ind w:left="720" w:hanging="360"/>
      </w:pPr>
      <w:rPr>
        <w:rFonts w:hint="default" w:ascii="Symbol" w:hAnsi="Symbol"/>
      </w:rPr>
    </w:lvl>
    <w:lvl w:ilvl="1">
      <w:start w:val="1"/>
      <w:numFmt w:val="bullet"/>
      <w:isLgl w:val="false"/>
      <w:suff w:val="tab"/>
      <w:lvlText w:val="o"/>
      <w:lvlJc w:val="left"/>
      <w:pPr>
        <w:ind w:left="1440" w:hanging="360"/>
      </w:pPr>
      <w:rPr>
        <w:rFonts w:hint="default" w:ascii="Courier New" w:hAnsi="Courier New" w:cs="Courier New"/>
      </w:rPr>
    </w:lvl>
    <w:lvl w:ilvl="2">
      <w:start w:val="1"/>
      <w:numFmt w:val="bullet"/>
      <w:isLgl w:val="false"/>
      <w:suff w:val="tab"/>
      <w:lvlText w:val=""/>
      <w:lvlJc w:val="left"/>
      <w:pPr>
        <w:ind w:left="2160" w:hanging="360"/>
      </w:pPr>
      <w:rPr>
        <w:rFonts w:hint="default" w:ascii="Wingdings" w:hAnsi="Wingdings"/>
      </w:rPr>
    </w:lvl>
    <w:lvl w:ilvl="3">
      <w:start w:val="1"/>
      <w:numFmt w:val="bullet"/>
      <w:isLgl w:val="false"/>
      <w:suff w:val="tab"/>
      <w:lvlText w:val=""/>
      <w:lvlJc w:val="left"/>
      <w:pPr>
        <w:ind w:left="2880" w:hanging="360"/>
      </w:pPr>
      <w:rPr>
        <w:rFonts w:hint="default" w:ascii="Symbol" w:hAnsi="Symbol"/>
      </w:rPr>
    </w:lvl>
    <w:lvl w:ilvl="4">
      <w:start w:val="1"/>
      <w:numFmt w:val="bullet"/>
      <w:isLgl w:val="false"/>
      <w:suff w:val="tab"/>
      <w:lvlText w:val="o"/>
      <w:lvlJc w:val="left"/>
      <w:pPr>
        <w:ind w:left="3600" w:hanging="360"/>
      </w:pPr>
      <w:rPr>
        <w:rFonts w:hint="default" w:ascii="Courier New" w:hAnsi="Courier New" w:cs="Courier New"/>
      </w:rPr>
    </w:lvl>
    <w:lvl w:ilvl="5">
      <w:start w:val="1"/>
      <w:numFmt w:val="bullet"/>
      <w:isLgl w:val="false"/>
      <w:suff w:val="tab"/>
      <w:lvlText w:val=""/>
      <w:lvlJc w:val="left"/>
      <w:pPr>
        <w:ind w:left="4320" w:hanging="360"/>
      </w:pPr>
      <w:rPr>
        <w:rFonts w:hint="default" w:ascii="Wingdings" w:hAnsi="Wingdings"/>
      </w:rPr>
    </w:lvl>
    <w:lvl w:ilvl="6">
      <w:start w:val="1"/>
      <w:numFmt w:val="bullet"/>
      <w:isLgl w:val="false"/>
      <w:suff w:val="tab"/>
      <w:lvlText w:val=""/>
      <w:lvlJc w:val="left"/>
      <w:pPr>
        <w:ind w:left="5040" w:hanging="360"/>
      </w:pPr>
      <w:rPr>
        <w:rFonts w:hint="default" w:ascii="Symbol" w:hAnsi="Symbol"/>
      </w:rPr>
    </w:lvl>
    <w:lvl w:ilvl="7">
      <w:start w:val="1"/>
      <w:numFmt w:val="bullet"/>
      <w:isLgl w:val="false"/>
      <w:suff w:val="tab"/>
      <w:lvlText w:val="o"/>
      <w:lvlJc w:val="left"/>
      <w:pPr>
        <w:ind w:left="5760" w:hanging="360"/>
      </w:pPr>
      <w:rPr>
        <w:rFonts w:hint="default" w:ascii="Courier New" w:hAnsi="Courier New" w:cs="Courier New"/>
      </w:rPr>
    </w:lvl>
    <w:lvl w:ilvl="8">
      <w:start w:val="1"/>
      <w:numFmt w:val="bullet"/>
      <w:isLgl w:val="false"/>
      <w:suff w:val="tab"/>
      <w:lvlText w:val=""/>
      <w:lvlJc w:val="left"/>
      <w:pPr>
        <w:ind w:left="6480" w:hanging="360"/>
      </w:pPr>
      <w:rPr>
        <w:rFonts w:hint="default" w:ascii="Wingdings" w:hAnsi="Wingdings"/>
      </w:rPr>
    </w:lvl>
  </w:abstractNum>
  <w:abstractNum w:abstractNumId="111">
    <w:multiLevelType w:val="hybridMultilevel"/>
    <w:lvl w:ilvl="0">
      <w:start w:val="1"/>
      <w:numFmt w:val="bullet"/>
      <w:isLgl w:val="false"/>
      <w:suff w:val="tab"/>
      <w:lvlText w:val=""/>
      <w:lvlJc w:val="left"/>
      <w:pPr>
        <w:ind w:left="1428" w:hanging="360"/>
      </w:pPr>
      <w:rPr>
        <w:rFonts w:hint="default" w:ascii="Symbol" w:hAnsi="Symbol"/>
      </w:rPr>
    </w:lvl>
    <w:lvl w:ilvl="1">
      <w:start w:val="1"/>
      <w:numFmt w:val="bullet"/>
      <w:isLgl w:val="false"/>
      <w:suff w:val="tab"/>
      <w:lvlText w:val="o"/>
      <w:lvlJc w:val="left"/>
      <w:pPr>
        <w:ind w:left="2148" w:hanging="360"/>
      </w:pPr>
      <w:rPr>
        <w:rFonts w:hint="default" w:ascii="Courier New" w:hAnsi="Courier New" w:cs="Courier New"/>
      </w:rPr>
    </w:lvl>
    <w:lvl w:ilvl="2">
      <w:start w:val="1"/>
      <w:numFmt w:val="bullet"/>
      <w:isLgl w:val="false"/>
      <w:suff w:val="tab"/>
      <w:lvlText w:val=""/>
      <w:lvlJc w:val="left"/>
      <w:pPr>
        <w:ind w:left="2868" w:hanging="360"/>
      </w:pPr>
      <w:rPr>
        <w:rFonts w:hint="default" w:ascii="Wingdings" w:hAnsi="Wingdings"/>
      </w:rPr>
    </w:lvl>
    <w:lvl w:ilvl="3">
      <w:start w:val="1"/>
      <w:numFmt w:val="bullet"/>
      <w:isLgl w:val="false"/>
      <w:suff w:val="tab"/>
      <w:lvlText w:val=""/>
      <w:lvlJc w:val="left"/>
      <w:pPr>
        <w:ind w:left="3588" w:hanging="360"/>
      </w:pPr>
      <w:rPr>
        <w:rFonts w:hint="default" w:ascii="Symbol" w:hAnsi="Symbol"/>
      </w:rPr>
    </w:lvl>
    <w:lvl w:ilvl="4">
      <w:start w:val="1"/>
      <w:numFmt w:val="bullet"/>
      <w:isLgl w:val="false"/>
      <w:suff w:val="tab"/>
      <w:lvlText w:val="o"/>
      <w:lvlJc w:val="left"/>
      <w:pPr>
        <w:ind w:left="4308" w:hanging="360"/>
      </w:pPr>
      <w:rPr>
        <w:rFonts w:hint="default" w:ascii="Courier New" w:hAnsi="Courier New" w:cs="Courier New"/>
      </w:rPr>
    </w:lvl>
    <w:lvl w:ilvl="5">
      <w:start w:val="1"/>
      <w:numFmt w:val="bullet"/>
      <w:isLgl w:val="false"/>
      <w:suff w:val="tab"/>
      <w:lvlText w:val=""/>
      <w:lvlJc w:val="left"/>
      <w:pPr>
        <w:ind w:left="5028" w:hanging="360"/>
      </w:pPr>
      <w:rPr>
        <w:rFonts w:hint="default" w:ascii="Wingdings" w:hAnsi="Wingdings"/>
      </w:rPr>
    </w:lvl>
    <w:lvl w:ilvl="6">
      <w:start w:val="1"/>
      <w:numFmt w:val="bullet"/>
      <w:isLgl w:val="false"/>
      <w:suff w:val="tab"/>
      <w:lvlText w:val=""/>
      <w:lvlJc w:val="left"/>
      <w:pPr>
        <w:ind w:left="5748" w:hanging="360"/>
      </w:pPr>
      <w:rPr>
        <w:rFonts w:hint="default" w:ascii="Symbol" w:hAnsi="Symbol"/>
      </w:rPr>
    </w:lvl>
    <w:lvl w:ilvl="7">
      <w:start w:val="1"/>
      <w:numFmt w:val="bullet"/>
      <w:isLgl w:val="false"/>
      <w:suff w:val="tab"/>
      <w:lvlText w:val="o"/>
      <w:lvlJc w:val="left"/>
      <w:pPr>
        <w:ind w:left="6468" w:hanging="360"/>
      </w:pPr>
      <w:rPr>
        <w:rFonts w:hint="default" w:ascii="Courier New" w:hAnsi="Courier New" w:cs="Courier New"/>
      </w:rPr>
    </w:lvl>
    <w:lvl w:ilvl="8">
      <w:start w:val="1"/>
      <w:numFmt w:val="bullet"/>
      <w:isLgl w:val="false"/>
      <w:suff w:val="tab"/>
      <w:lvlText w:val=""/>
      <w:lvlJc w:val="left"/>
      <w:pPr>
        <w:ind w:left="7188" w:hanging="360"/>
      </w:pPr>
      <w:rPr>
        <w:rFonts w:hint="default" w:ascii="Wingdings" w:hAnsi="Wingdings"/>
      </w:rPr>
    </w:lvl>
  </w:abstractNum>
  <w:abstractNum w:abstractNumId="112">
    <w:multiLevelType w:val="hybridMultilevel"/>
    <w:lvl w:ilvl="0">
      <w:start w:val="1"/>
      <w:numFmt w:val="bullet"/>
      <w:isLgl w:val="false"/>
      <w:suff w:val="tab"/>
      <w:lvlText w:val=""/>
      <w:lvlJc w:val="left"/>
      <w:pPr>
        <w:ind w:left="1428" w:hanging="360"/>
      </w:pPr>
      <w:rPr>
        <w:rFonts w:hint="default" w:ascii="Symbol" w:hAnsi="Symbol"/>
      </w:rPr>
    </w:lvl>
    <w:lvl w:ilvl="1">
      <w:start w:val="1"/>
      <w:numFmt w:val="bullet"/>
      <w:isLgl w:val="false"/>
      <w:suff w:val="tab"/>
      <w:lvlText w:val="o"/>
      <w:lvlJc w:val="left"/>
      <w:pPr>
        <w:ind w:left="2148" w:hanging="360"/>
      </w:pPr>
      <w:rPr>
        <w:rFonts w:hint="default" w:ascii="Courier New" w:hAnsi="Courier New" w:cs="Courier New"/>
      </w:rPr>
    </w:lvl>
    <w:lvl w:ilvl="2">
      <w:start w:val="1"/>
      <w:numFmt w:val="bullet"/>
      <w:isLgl w:val="false"/>
      <w:suff w:val="tab"/>
      <w:lvlText w:val=""/>
      <w:lvlJc w:val="left"/>
      <w:pPr>
        <w:ind w:left="2868" w:hanging="360"/>
      </w:pPr>
      <w:rPr>
        <w:rFonts w:hint="default" w:ascii="Wingdings" w:hAnsi="Wingdings"/>
      </w:rPr>
    </w:lvl>
    <w:lvl w:ilvl="3">
      <w:start w:val="1"/>
      <w:numFmt w:val="bullet"/>
      <w:isLgl w:val="false"/>
      <w:suff w:val="tab"/>
      <w:lvlText w:val=""/>
      <w:lvlJc w:val="left"/>
      <w:pPr>
        <w:ind w:left="3588" w:hanging="360"/>
      </w:pPr>
      <w:rPr>
        <w:rFonts w:hint="default" w:ascii="Symbol" w:hAnsi="Symbol"/>
      </w:rPr>
    </w:lvl>
    <w:lvl w:ilvl="4">
      <w:start w:val="1"/>
      <w:numFmt w:val="bullet"/>
      <w:isLgl w:val="false"/>
      <w:suff w:val="tab"/>
      <w:lvlText w:val="o"/>
      <w:lvlJc w:val="left"/>
      <w:pPr>
        <w:ind w:left="4308" w:hanging="360"/>
      </w:pPr>
      <w:rPr>
        <w:rFonts w:hint="default" w:ascii="Courier New" w:hAnsi="Courier New" w:cs="Courier New"/>
      </w:rPr>
    </w:lvl>
    <w:lvl w:ilvl="5">
      <w:start w:val="1"/>
      <w:numFmt w:val="bullet"/>
      <w:isLgl w:val="false"/>
      <w:suff w:val="tab"/>
      <w:lvlText w:val=""/>
      <w:lvlJc w:val="left"/>
      <w:pPr>
        <w:ind w:left="5028" w:hanging="360"/>
      </w:pPr>
      <w:rPr>
        <w:rFonts w:hint="default" w:ascii="Wingdings" w:hAnsi="Wingdings"/>
      </w:rPr>
    </w:lvl>
    <w:lvl w:ilvl="6">
      <w:start w:val="1"/>
      <w:numFmt w:val="bullet"/>
      <w:isLgl w:val="false"/>
      <w:suff w:val="tab"/>
      <w:lvlText w:val=""/>
      <w:lvlJc w:val="left"/>
      <w:pPr>
        <w:ind w:left="5748" w:hanging="360"/>
      </w:pPr>
      <w:rPr>
        <w:rFonts w:hint="default" w:ascii="Symbol" w:hAnsi="Symbol"/>
      </w:rPr>
    </w:lvl>
    <w:lvl w:ilvl="7">
      <w:start w:val="1"/>
      <w:numFmt w:val="bullet"/>
      <w:isLgl w:val="false"/>
      <w:suff w:val="tab"/>
      <w:lvlText w:val="o"/>
      <w:lvlJc w:val="left"/>
      <w:pPr>
        <w:ind w:left="6468" w:hanging="360"/>
      </w:pPr>
      <w:rPr>
        <w:rFonts w:hint="default" w:ascii="Courier New" w:hAnsi="Courier New" w:cs="Courier New"/>
      </w:rPr>
    </w:lvl>
    <w:lvl w:ilvl="8">
      <w:start w:val="1"/>
      <w:numFmt w:val="bullet"/>
      <w:isLgl w:val="false"/>
      <w:suff w:val="tab"/>
      <w:lvlText w:val=""/>
      <w:lvlJc w:val="left"/>
      <w:pPr>
        <w:ind w:left="7188" w:hanging="360"/>
      </w:pPr>
      <w:rPr>
        <w:rFonts w:hint="default" w:ascii="Wingdings" w:hAnsi="Wingdings"/>
      </w:rPr>
    </w:lvl>
  </w:abstractNum>
  <w:abstractNum w:abstractNumId="113">
    <w:multiLevelType w:val="hybridMultilevel"/>
    <w:lvl w:ilvl="0">
      <w:start w:val="1"/>
      <w:numFmt w:val="bullet"/>
      <w:isLgl w:val="false"/>
      <w:suff w:val="tab"/>
      <w:lvlText w:val=""/>
      <w:lvlJc w:val="left"/>
      <w:pPr>
        <w:ind w:left="1428" w:hanging="360"/>
      </w:pPr>
      <w:rPr>
        <w:rFonts w:hint="default" w:ascii="Symbol" w:hAnsi="Symbol"/>
      </w:rPr>
    </w:lvl>
    <w:lvl w:ilvl="1">
      <w:start w:val="1"/>
      <w:numFmt w:val="bullet"/>
      <w:isLgl w:val="false"/>
      <w:suff w:val="tab"/>
      <w:lvlText w:val="o"/>
      <w:lvlJc w:val="left"/>
      <w:pPr>
        <w:ind w:left="2148" w:hanging="360"/>
      </w:pPr>
      <w:rPr>
        <w:rFonts w:hint="default" w:ascii="Courier New" w:hAnsi="Courier New" w:cs="Courier New"/>
      </w:rPr>
    </w:lvl>
    <w:lvl w:ilvl="2">
      <w:start w:val="1"/>
      <w:numFmt w:val="bullet"/>
      <w:isLgl w:val="false"/>
      <w:suff w:val="tab"/>
      <w:lvlText w:val=""/>
      <w:lvlJc w:val="left"/>
      <w:pPr>
        <w:ind w:left="2868" w:hanging="360"/>
      </w:pPr>
      <w:rPr>
        <w:rFonts w:hint="default" w:ascii="Wingdings" w:hAnsi="Wingdings"/>
      </w:rPr>
    </w:lvl>
    <w:lvl w:ilvl="3">
      <w:start w:val="1"/>
      <w:numFmt w:val="bullet"/>
      <w:isLgl w:val="false"/>
      <w:suff w:val="tab"/>
      <w:lvlText w:val=""/>
      <w:lvlJc w:val="left"/>
      <w:pPr>
        <w:ind w:left="3588" w:hanging="360"/>
      </w:pPr>
      <w:rPr>
        <w:rFonts w:hint="default" w:ascii="Symbol" w:hAnsi="Symbol"/>
      </w:rPr>
    </w:lvl>
    <w:lvl w:ilvl="4">
      <w:start w:val="1"/>
      <w:numFmt w:val="bullet"/>
      <w:isLgl w:val="false"/>
      <w:suff w:val="tab"/>
      <w:lvlText w:val="o"/>
      <w:lvlJc w:val="left"/>
      <w:pPr>
        <w:ind w:left="4308" w:hanging="360"/>
      </w:pPr>
      <w:rPr>
        <w:rFonts w:hint="default" w:ascii="Courier New" w:hAnsi="Courier New" w:cs="Courier New"/>
      </w:rPr>
    </w:lvl>
    <w:lvl w:ilvl="5">
      <w:start w:val="1"/>
      <w:numFmt w:val="bullet"/>
      <w:isLgl w:val="false"/>
      <w:suff w:val="tab"/>
      <w:lvlText w:val=""/>
      <w:lvlJc w:val="left"/>
      <w:pPr>
        <w:ind w:left="5028" w:hanging="360"/>
      </w:pPr>
      <w:rPr>
        <w:rFonts w:hint="default" w:ascii="Wingdings" w:hAnsi="Wingdings"/>
      </w:rPr>
    </w:lvl>
    <w:lvl w:ilvl="6">
      <w:start w:val="1"/>
      <w:numFmt w:val="bullet"/>
      <w:isLgl w:val="false"/>
      <w:suff w:val="tab"/>
      <w:lvlText w:val=""/>
      <w:lvlJc w:val="left"/>
      <w:pPr>
        <w:ind w:left="5748" w:hanging="360"/>
      </w:pPr>
      <w:rPr>
        <w:rFonts w:hint="default" w:ascii="Symbol" w:hAnsi="Symbol"/>
      </w:rPr>
    </w:lvl>
    <w:lvl w:ilvl="7">
      <w:start w:val="1"/>
      <w:numFmt w:val="bullet"/>
      <w:isLgl w:val="false"/>
      <w:suff w:val="tab"/>
      <w:lvlText w:val="o"/>
      <w:lvlJc w:val="left"/>
      <w:pPr>
        <w:ind w:left="6468" w:hanging="360"/>
      </w:pPr>
      <w:rPr>
        <w:rFonts w:hint="default" w:ascii="Courier New" w:hAnsi="Courier New" w:cs="Courier New"/>
      </w:rPr>
    </w:lvl>
    <w:lvl w:ilvl="8">
      <w:start w:val="1"/>
      <w:numFmt w:val="bullet"/>
      <w:isLgl w:val="false"/>
      <w:suff w:val="tab"/>
      <w:lvlText w:val=""/>
      <w:lvlJc w:val="left"/>
      <w:pPr>
        <w:ind w:left="7188" w:hanging="360"/>
      </w:pPr>
      <w:rPr>
        <w:rFonts w:hint="default" w:ascii="Wingdings" w:hAnsi="Wingdings"/>
      </w:rPr>
    </w:lvl>
  </w:abstractNum>
  <w:abstractNum w:abstractNumId="114">
    <w:multiLevelType w:val="hybridMultilevel"/>
    <w:lvl w:ilvl="0">
      <w:start w:val="1"/>
      <w:numFmt w:val="bullet"/>
      <w:isLgl w:val="false"/>
      <w:suff w:val="tab"/>
      <w:lvlText w:val=""/>
      <w:lvlJc w:val="left"/>
      <w:pPr>
        <w:ind w:left="1428" w:hanging="360"/>
      </w:pPr>
      <w:rPr>
        <w:rFonts w:hint="default" w:ascii="Symbol" w:hAnsi="Symbol"/>
      </w:rPr>
    </w:lvl>
    <w:lvl w:ilvl="1">
      <w:start w:val="1"/>
      <w:numFmt w:val="bullet"/>
      <w:isLgl w:val="false"/>
      <w:suff w:val="tab"/>
      <w:lvlText w:val="o"/>
      <w:lvlJc w:val="left"/>
      <w:pPr>
        <w:ind w:left="2148" w:hanging="360"/>
      </w:pPr>
      <w:rPr>
        <w:rFonts w:hint="default" w:ascii="Courier New" w:hAnsi="Courier New" w:cs="Courier New"/>
      </w:rPr>
    </w:lvl>
    <w:lvl w:ilvl="2">
      <w:start w:val="1"/>
      <w:numFmt w:val="bullet"/>
      <w:isLgl w:val="false"/>
      <w:suff w:val="tab"/>
      <w:lvlText w:val=""/>
      <w:lvlJc w:val="left"/>
      <w:pPr>
        <w:ind w:left="2868" w:hanging="360"/>
      </w:pPr>
      <w:rPr>
        <w:rFonts w:hint="default" w:ascii="Wingdings" w:hAnsi="Wingdings"/>
      </w:rPr>
    </w:lvl>
    <w:lvl w:ilvl="3">
      <w:start w:val="1"/>
      <w:numFmt w:val="bullet"/>
      <w:isLgl w:val="false"/>
      <w:suff w:val="tab"/>
      <w:lvlText w:val=""/>
      <w:lvlJc w:val="left"/>
      <w:pPr>
        <w:ind w:left="3588" w:hanging="360"/>
      </w:pPr>
      <w:rPr>
        <w:rFonts w:hint="default" w:ascii="Symbol" w:hAnsi="Symbol"/>
      </w:rPr>
    </w:lvl>
    <w:lvl w:ilvl="4">
      <w:start w:val="1"/>
      <w:numFmt w:val="bullet"/>
      <w:isLgl w:val="false"/>
      <w:suff w:val="tab"/>
      <w:lvlText w:val="o"/>
      <w:lvlJc w:val="left"/>
      <w:pPr>
        <w:ind w:left="4308" w:hanging="360"/>
      </w:pPr>
      <w:rPr>
        <w:rFonts w:hint="default" w:ascii="Courier New" w:hAnsi="Courier New" w:cs="Courier New"/>
      </w:rPr>
    </w:lvl>
    <w:lvl w:ilvl="5">
      <w:start w:val="1"/>
      <w:numFmt w:val="bullet"/>
      <w:isLgl w:val="false"/>
      <w:suff w:val="tab"/>
      <w:lvlText w:val=""/>
      <w:lvlJc w:val="left"/>
      <w:pPr>
        <w:ind w:left="5028" w:hanging="360"/>
      </w:pPr>
      <w:rPr>
        <w:rFonts w:hint="default" w:ascii="Wingdings" w:hAnsi="Wingdings"/>
      </w:rPr>
    </w:lvl>
    <w:lvl w:ilvl="6">
      <w:start w:val="1"/>
      <w:numFmt w:val="bullet"/>
      <w:isLgl w:val="false"/>
      <w:suff w:val="tab"/>
      <w:lvlText w:val=""/>
      <w:lvlJc w:val="left"/>
      <w:pPr>
        <w:ind w:left="5748" w:hanging="360"/>
      </w:pPr>
      <w:rPr>
        <w:rFonts w:hint="default" w:ascii="Symbol" w:hAnsi="Symbol"/>
      </w:rPr>
    </w:lvl>
    <w:lvl w:ilvl="7">
      <w:start w:val="1"/>
      <w:numFmt w:val="bullet"/>
      <w:isLgl w:val="false"/>
      <w:suff w:val="tab"/>
      <w:lvlText w:val="o"/>
      <w:lvlJc w:val="left"/>
      <w:pPr>
        <w:ind w:left="6468" w:hanging="360"/>
      </w:pPr>
      <w:rPr>
        <w:rFonts w:hint="default" w:ascii="Courier New" w:hAnsi="Courier New" w:cs="Courier New"/>
      </w:rPr>
    </w:lvl>
    <w:lvl w:ilvl="8">
      <w:start w:val="1"/>
      <w:numFmt w:val="bullet"/>
      <w:isLgl w:val="false"/>
      <w:suff w:val="tab"/>
      <w:lvlText w:val=""/>
      <w:lvlJc w:val="left"/>
      <w:pPr>
        <w:ind w:left="7188" w:hanging="360"/>
      </w:pPr>
      <w:rPr>
        <w:rFonts w:hint="default" w:ascii="Wingdings" w:hAnsi="Wingdings"/>
      </w:rPr>
    </w:lvl>
  </w:abstractNum>
  <w:abstractNum w:abstractNumId="115">
    <w:multiLevelType w:val="hybridMultilevel"/>
    <w:lvl w:ilvl="0">
      <w:start w:val="1"/>
      <w:numFmt w:val="bullet"/>
      <w:isLgl w:val="false"/>
      <w:suff w:val="tab"/>
      <w:lvlText w:val=""/>
      <w:lvlJc w:val="left"/>
      <w:pPr>
        <w:ind w:left="720" w:hanging="360"/>
      </w:pPr>
      <w:rPr>
        <w:rFonts w:hint="default" w:ascii="Symbol" w:hAnsi="Symbol"/>
      </w:rPr>
    </w:lvl>
    <w:lvl w:ilvl="1">
      <w:start w:val="1"/>
      <w:numFmt w:val="bullet"/>
      <w:isLgl w:val="false"/>
      <w:suff w:val="tab"/>
      <w:lvlText w:val="o"/>
      <w:lvlJc w:val="left"/>
      <w:pPr>
        <w:ind w:left="1440" w:hanging="360"/>
      </w:pPr>
      <w:rPr>
        <w:rFonts w:hint="default" w:ascii="Courier New" w:hAnsi="Courier New" w:cs="Courier New"/>
      </w:rPr>
    </w:lvl>
    <w:lvl w:ilvl="2">
      <w:start w:val="1"/>
      <w:numFmt w:val="bullet"/>
      <w:isLgl w:val="false"/>
      <w:suff w:val="tab"/>
      <w:lvlText w:val=""/>
      <w:lvlJc w:val="left"/>
      <w:pPr>
        <w:ind w:left="2160" w:hanging="360"/>
      </w:pPr>
      <w:rPr>
        <w:rFonts w:hint="default" w:ascii="Wingdings" w:hAnsi="Wingdings"/>
      </w:rPr>
    </w:lvl>
    <w:lvl w:ilvl="3">
      <w:start w:val="1"/>
      <w:numFmt w:val="bullet"/>
      <w:isLgl w:val="false"/>
      <w:suff w:val="tab"/>
      <w:lvlText w:val=""/>
      <w:lvlJc w:val="left"/>
      <w:pPr>
        <w:ind w:left="2880" w:hanging="360"/>
      </w:pPr>
      <w:rPr>
        <w:rFonts w:hint="default" w:ascii="Symbol" w:hAnsi="Symbol"/>
      </w:rPr>
    </w:lvl>
    <w:lvl w:ilvl="4">
      <w:start w:val="1"/>
      <w:numFmt w:val="bullet"/>
      <w:isLgl w:val="false"/>
      <w:suff w:val="tab"/>
      <w:lvlText w:val="o"/>
      <w:lvlJc w:val="left"/>
      <w:pPr>
        <w:ind w:left="3600" w:hanging="360"/>
      </w:pPr>
      <w:rPr>
        <w:rFonts w:hint="default" w:ascii="Courier New" w:hAnsi="Courier New" w:cs="Courier New"/>
      </w:rPr>
    </w:lvl>
    <w:lvl w:ilvl="5">
      <w:start w:val="1"/>
      <w:numFmt w:val="bullet"/>
      <w:isLgl w:val="false"/>
      <w:suff w:val="tab"/>
      <w:lvlText w:val=""/>
      <w:lvlJc w:val="left"/>
      <w:pPr>
        <w:ind w:left="4320" w:hanging="360"/>
      </w:pPr>
      <w:rPr>
        <w:rFonts w:hint="default" w:ascii="Wingdings" w:hAnsi="Wingdings"/>
      </w:rPr>
    </w:lvl>
    <w:lvl w:ilvl="6">
      <w:start w:val="1"/>
      <w:numFmt w:val="bullet"/>
      <w:isLgl w:val="false"/>
      <w:suff w:val="tab"/>
      <w:lvlText w:val=""/>
      <w:lvlJc w:val="left"/>
      <w:pPr>
        <w:ind w:left="5040" w:hanging="360"/>
      </w:pPr>
      <w:rPr>
        <w:rFonts w:hint="default" w:ascii="Symbol" w:hAnsi="Symbol"/>
      </w:rPr>
    </w:lvl>
    <w:lvl w:ilvl="7">
      <w:start w:val="1"/>
      <w:numFmt w:val="bullet"/>
      <w:isLgl w:val="false"/>
      <w:suff w:val="tab"/>
      <w:lvlText w:val="o"/>
      <w:lvlJc w:val="left"/>
      <w:pPr>
        <w:ind w:left="5760" w:hanging="360"/>
      </w:pPr>
      <w:rPr>
        <w:rFonts w:hint="default" w:ascii="Courier New" w:hAnsi="Courier New" w:cs="Courier New"/>
      </w:rPr>
    </w:lvl>
    <w:lvl w:ilvl="8">
      <w:start w:val="1"/>
      <w:numFmt w:val="bullet"/>
      <w:isLgl w:val="false"/>
      <w:suff w:val="tab"/>
      <w:lvlText w:val=""/>
      <w:lvlJc w:val="left"/>
      <w:pPr>
        <w:ind w:left="6480" w:hanging="360"/>
      </w:pPr>
      <w:rPr>
        <w:rFonts w:hint="default" w:ascii="Wingdings" w:hAnsi="Wingdings"/>
      </w:rPr>
    </w:lvl>
  </w:abstractNum>
  <w:abstractNum w:abstractNumId="116">
    <w:multiLevelType w:val="hybridMultilevel"/>
    <w:lvl w:ilvl="0">
      <w:start w:val="1"/>
      <w:numFmt w:val="bullet"/>
      <w:isLgl w:val="false"/>
      <w:suff w:val="tab"/>
      <w:lvlText w:val=""/>
      <w:lvlJc w:val="left"/>
      <w:pPr>
        <w:ind w:left="1287" w:hanging="360"/>
      </w:pPr>
      <w:rPr>
        <w:rFonts w:hint="default" w:ascii="Symbol" w:hAnsi="Symbol"/>
      </w:rPr>
    </w:lvl>
    <w:lvl w:ilvl="1">
      <w:start w:val="1"/>
      <w:numFmt w:val="bullet"/>
      <w:isLgl w:val="false"/>
      <w:suff w:val="tab"/>
      <w:lvlText w:val="o"/>
      <w:lvlJc w:val="left"/>
      <w:pPr>
        <w:ind w:left="2007" w:hanging="360"/>
      </w:pPr>
      <w:rPr>
        <w:rFonts w:hint="default" w:ascii="Courier New" w:hAnsi="Courier New" w:cs="Courier New"/>
      </w:rPr>
    </w:lvl>
    <w:lvl w:ilvl="2">
      <w:start w:val="1"/>
      <w:numFmt w:val="bullet"/>
      <w:isLgl w:val="false"/>
      <w:suff w:val="tab"/>
      <w:lvlText w:val=""/>
      <w:lvlJc w:val="left"/>
      <w:pPr>
        <w:ind w:left="2727" w:hanging="360"/>
      </w:pPr>
      <w:rPr>
        <w:rFonts w:hint="default" w:ascii="Wingdings" w:hAnsi="Wingdings"/>
      </w:rPr>
    </w:lvl>
    <w:lvl w:ilvl="3">
      <w:start w:val="1"/>
      <w:numFmt w:val="bullet"/>
      <w:isLgl w:val="false"/>
      <w:suff w:val="tab"/>
      <w:lvlText w:val=""/>
      <w:lvlJc w:val="left"/>
      <w:pPr>
        <w:ind w:left="3447" w:hanging="360"/>
      </w:pPr>
      <w:rPr>
        <w:rFonts w:hint="default" w:ascii="Symbol" w:hAnsi="Symbol"/>
      </w:rPr>
    </w:lvl>
    <w:lvl w:ilvl="4">
      <w:start w:val="1"/>
      <w:numFmt w:val="bullet"/>
      <w:isLgl w:val="false"/>
      <w:suff w:val="tab"/>
      <w:lvlText w:val="o"/>
      <w:lvlJc w:val="left"/>
      <w:pPr>
        <w:ind w:left="4167" w:hanging="360"/>
      </w:pPr>
      <w:rPr>
        <w:rFonts w:hint="default" w:ascii="Courier New" w:hAnsi="Courier New" w:cs="Courier New"/>
      </w:rPr>
    </w:lvl>
    <w:lvl w:ilvl="5">
      <w:start w:val="1"/>
      <w:numFmt w:val="bullet"/>
      <w:isLgl w:val="false"/>
      <w:suff w:val="tab"/>
      <w:lvlText w:val=""/>
      <w:lvlJc w:val="left"/>
      <w:pPr>
        <w:ind w:left="4887" w:hanging="360"/>
      </w:pPr>
      <w:rPr>
        <w:rFonts w:hint="default" w:ascii="Wingdings" w:hAnsi="Wingdings"/>
      </w:rPr>
    </w:lvl>
    <w:lvl w:ilvl="6">
      <w:start w:val="1"/>
      <w:numFmt w:val="bullet"/>
      <w:isLgl w:val="false"/>
      <w:suff w:val="tab"/>
      <w:lvlText w:val=""/>
      <w:lvlJc w:val="left"/>
      <w:pPr>
        <w:ind w:left="5607" w:hanging="360"/>
      </w:pPr>
      <w:rPr>
        <w:rFonts w:hint="default" w:ascii="Symbol" w:hAnsi="Symbol"/>
      </w:rPr>
    </w:lvl>
    <w:lvl w:ilvl="7">
      <w:start w:val="1"/>
      <w:numFmt w:val="bullet"/>
      <w:isLgl w:val="false"/>
      <w:suff w:val="tab"/>
      <w:lvlText w:val="o"/>
      <w:lvlJc w:val="left"/>
      <w:pPr>
        <w:ind w:left="6327" w:hanging="360"/>
      </w:pPr>
      <w:rPr>
        <w:rFonts w:hint="default" w:ascii="Courier New" w:hAnsi="Courier New" w:cs="Courier New"/>
      </w:rPr>
    </w:lvl>
    <w:lvl w:ilvl="8">
      <w:start w:val="1"/>
      <w:numFmt w:val="bullet"/>
      <w:isLgl w:val="false"/>
      <w:suff w:val="tab"/>
      <w:lvlText w:val=""/>
      <w:lvlJc w:val="left"/>
      <w:pPr>
        <w:ind w:left="7047" w:hanging="360"/>
      </w:pPr>
      <w:rPr>
        <w:rFonts w:hint="default" w:ascii="Wingdings" w:hAnsi="Wingdings"/>
      </w:rPr>
    </w:lvl>
  </w:abstractNum>
  <w:abstractNum w:abstractNumId="117">
    <w:multiLevelType w:val="hybridMultilevel"/>
    <w:lvl w:ilvl="0">
      <w:start w:val="1"/>
      <w:numFmt w:val="bullet"/>
      <w:isLgl w:val="false"/>
      <w:suff w:val="tab"/>
      <w:lvlText w:val=""/>
      <w:lvlJc w:val="left"/>
      <w:pPr>
        <w:ind w:left="1287" w:hanging="360"/>
      </w:pPr>
      <w:rPr>
        <w:rFonts w:hint="default" w:ascii="Symbol" w:hAnsi="Symbol"/>
      </w:rPr>
    </w:lvl>
    <w:lvl w:ilvl="1">
      <w:start w:val="1"/>
      <w:numFmt w:val="bullet"/>
      <w:isLgl w:val="false"/>
      <w:suff w:val="tab"/>
      <w:lvlText w:val="o"/>
      <w:lvlJc w:val="left"/>
      <w:pPr>
        <w:ind w:left="2007" w:hanging="360"/>
      </w:pPr>
      <w:rPr>
        <w:rFonts w:hint="default" w:ascii="Courier New" w:hAnsi="Courier New" w:cs="Courier New"/>
      </w:rPr>
    </w:lvl>
    <w:lvl w:ilvl="2">
      <w:start w:val="1"/>
      <w:numFmt w:val="bullet"/>
      <w:isLgl w:val="false"/>
      <w:suff w:val="tab"/>
      <w:lvlText w:val=""/>
      <w:lvlJc w:val="left"/>
      <w:pPr>
        <w:ind w:left="2727" w:hanging="360"/>
      </w:pPr>
      <w:rPr>
        <w:rFonts w:hint="default" w:ascii="Wingdings" w:hAnsi="Wingdings"/>
      </w:rPr>
    </w:lvl>
    <w:lvl w:ilvl="3">
      <w:start w:val="1"/>
      <w:numFmt w:val="bullet"/>
      <w:isLgl w:val="false"/>
      <w:suff w:val="tab"/>
      <w:lvlText w:val=""/>
      <w:lvlJc w:val="left"/>
      <w:pPr>
        <w:ind w:left="3447" w:hanging="360"/>
      </w:pPr>
      <w:rPr>
        <w:rFonts w:hint="default" w:ascii="Symbol" w:hAnsi="Symbol"/>
      </w:rPr>
    </w:lvl>
    <w:lvl w:ilvl="4">
      <w:start w:val="1"/>
      <w:numFmt w:val="bullet"/>
      <w:isLgl w:val="false"/>
      <w:suff w:val="tab"/>
      <w:lvlText w:val="o"/>
      <w:lvlJc w:val="left"/>
      <w:pPr>
        <w:ind w:left="4167" w:hanging="360"/>
      </w:pPr>
      <w:rPr>
        <w:rFonts w:hint="default" w:ascii="Courier New" w:hAnsi="Courier New" w:cs="Courier New"/>
      </w:rPr>
    </w:lvl>
    <w:lvl w:ilvl="5">
      <w:start w:val="1"/>
      <w:numFmt w:val="bullet"/>
      <w:isLgl w:val="false"/>
      <w:suff w:val="tab"/>
      <w:lvlText w:val=""/>
      <w:lvlJc w:val="left"/>
      <w:pPr>
        <w:ind w:left="4887" w:hanging="360"/>
      </w:pPr>
      <w:rPr>
        <w:rFonts w:hint="default" w:ascii="Wingdings" w:hAnsi="Wingdings"/>
      </w:rPr>
    </w:lvl>
    <w:lvl w:ilvl="6">
      <w:start w:val="1"/>
      <w:numFmt w:val="bullet"/>
      <w:isLgl w:val="false"/>
      <w:suff w:val="tab"/>
      <w:lvlText w:val=""/>
      <w:lvlJc w:val="left"/>
      <w:pPr>
        <w:ind w:left="5607" w:hanging="360"/>
      </w:pPr>
      <w:rPr>
        <w:rFonts w:hint="default" w:ascii="Symbol" w:hAnsi="Symbol"/>
      </w:rPr>
    </w:lvl>
    <w:lvl w:ilvl="7">
      <w:start w:val="1"/>
      <w:numFmt w:val="bullet"/>
      <w:isLgl w:val="false"/>
      <w:suff w:val="tab"/>
      <w:lvlText w:val="o"/>
      <w:lvlJc w:val="left"/>
      <w:pPr>
        <w:ind w:left="6327" w:hanging="360"/>
      </w:pPr>
      <w:rPr>
        <w:rFonts w:hint="default" w:ascii="Courier New" w:hAnsi="Courier New" w:cs="Courier New"/>
      </w:rPr>
    </w:lvl>
    <w:lvl w:ilvl="8">
      <w:start w:val="1"/>
      <w:numFmt w:val="bullet"/>
      <w:isLgl w:val="false"/>
      <w:suff w:val="tab"/>
      <w:lvlText w:val=""/>
      <w:lvlJc w:val="left"/>
      <w:pPr>
        <w:ind w:left="7047" w:hanging="360"/>
      </w:pPr>
      <w:rPr>
        <w:rFonts w:hint="default" w:ascii="Wingdings" w:hAnsi="Wingdings"/>
      </w:rPr>
    </w:lvl>
  </w:abstractNum>
  <w:abstractNum w:abstractNumId="118">
    <w:multiLevelType w:val="hybridMultilevel"/>
    <w:lvl w:ilvl="0">
      <w:start w:val="1"/>
      <w:numFmt w:val="bullet"/>
      <w:isLgl w:val="false"/>
      <w:suff w:val="tab"/>
      <w:lvlText w:val=""/>
      <w:lvlJc w:val="left"/>
      <w:pPr>
        <w:ind w:left="720" w:hanging="360"/>
      </w:pPr>
      <w:rPr>
        <w:rFonts w:hint="default" w:ascii="Symbol" w:hAnsi="Symbol"/>
      </w:rPr>
    </w:lvl>
    <w:lvl w:ilvl="1">
      <w:start w:val="1"/>
      <w:numFmt w:val="bullet"/>
      <w:isLgl w:val="false"/>
      <w:suff w:val="tab"/>
      <w:lvlText w:val="o"/>
      <w:lvlJc w:val="left"/>
      <w:pPr>
        <w:ind w:left="1440" w:hanging="360"/>
      </w:pPr>
      <w:rPr>
        <w:rFonts w:hint="default" w:ascii="Courier New" w:hAnsi="Courier New" w:cs="Courier New"/>
      </w:rPr>
    </w:lvl>
    <w:lvl w:ilvl="2">
      <w:start w:val="1"/>
      <w:numFmt w:val="bullet"/>
      <w:isLgl w:val="false"/>
      <w:suff w:val="tab"/>
      <w:lvlText w:val=""/>
      <w:lvlJc w:val="left"/>
      <w:pPr>
        <w:ind w:left="2160" w:hanging="360"/>
      </w:pPr>
      <w:rPr>
        <w:rFonts w:hint="default" w:ascii="Wingdings" w:hAnsi="Wingdings"/>
      </w:rPr>
    </w:lvl>
    <w:lvl w:ilvl="3">
      <w:start w:val="1"/>
      <w:numFmt w:val="bullet"/>
      <w:isLgl w:val="false"/>
      <w:suff w:val="tab"/>
      <w:lvlText w:val=""/>
      <w:lvlJc w:val="left"/>
      <w:pPr>
        <w:ind w:left="2880" w:hanging="360"/>
      </w:pPr>
      <w:rPr>
        <w:rFonts w:hint="default" w:ascii="Symbol" w:hAnsi="Symbol"/>
      </w:rPr>
    </w:lvl>
    <w:lvl w:ilvl="4">
      <w:start w:val="1"/>
      <w:numFmt w:val="bullet"/>
      <w:isLgl w:val="false"/>
      <w:suff w:val="tab"/>
      <w:lvlText w:val="o"/>
      <w:lvlJc w:val="left"/>
      <w:pPr>
        <w:ind w:left="3600" w:hanging="360"/>
      </w:pPr>
      <w:rPr>
        <w:rFonts w:hint="default" w:ascii="Courier New" w:hAnsi="Courier New" w:cs="Courier New"/>
      </w:rPr>
    </w:lvl>
    <w:lvl w:ilvl="5">
      <w:start w:val="1"/>
      <w:numFmt w:val="bullet"/>
      <w:isLgl w:val="false"/>
      <w:suff w:val="tab"/>
      <w:lvlText w:val=""/>
      <w:lvlJc w:val="left"/>
      <w:pPr>
        <w:ind w:left="4320" w:hanging="360"/>
      </w:pPr>
      <w:rPr>
        <w:rFonts w:hint="default" w:ascii="Wingdings" w:hAnsi="Wingdings"/>
      </w:rPr>
    </w:lvl>
    <w:lvl w:ilvl="6">
      <w:start w:val="1"/>
      <w:numFmt w:val="bullet"/>
      <w:isLgl w:val="false"/>
      <w:suff w:val="tab"/>
      <w:lvlText w:val=""/>
      <w:lvlJc w:val="left"/>
      <w:pPr>
        <w:ind w:left="5040" w:hanging="360"/>
      </w:pPr>
      <w:rPr>
        <w:rFonts w:hint="default" w:ascii="Symbol" w:hAnsi="Symbol"/>
      </w:rPr>
    </w:lvl>
    <w:lvl w:ilvl="7">
      <w:start w:val="1"/>
      <w:numFmt w:val="bullet"/>
      <w:isLgl w:val="false"/>
      <w:suff w:val="tab"/>
      <w:lvlText w:val="o"/>
      <w:lvlJc w:val="left"/>
      <w:pPr>
        <w:ind w:left="5760" w:hanging="360"/>
      </w:pPr>
      <w:rPr>
        <w:rFonts w:hint="default" w:ascii="Courier New" w:hAnsi="Courier New" w:cs="Courier New"/>
      </w:rPr>
    </w:lvl>
    <w:lvl w:ilvl="8">
      <w:start w:val="1"/>
      <w:numFmt w:val="bullet"/>
      <w:isLgl w:val="false"/>
      <w:suff w:val="tab"/>
      <w:lvlText w:val=""/>
      <w:lvlJc w:val="left"/>
      <w:pPr>
        <w:ind w:left="6480" w:hanging="360"/>
      </w:pPr>
      <w:rPr>
        <w:rFonts w:hint="default" w:ascii="Wingdings" w:hAnsi="Wingdings"/>
      </w:rPr>
    </w:lvl>
  </w:abstractNum>
  <w:abstractNum w:abstractNumId="119">
    <w:multiLevelType w:val="hybridMultilevel"/>
    <w:lvl w:ilvl="0">
      <w:start w:val="1"/>
      <w:numFmt w:val="bullet"/>
      <w:isLgl w:val="false"/>
      <w:suff w:val="tab"/>
      <w:lvlText w:val=""/>
      <w:lvlJc w:val="left"/>
      <w:pPr>
        <w:ind w:left="720" w:hanging="360"/>
      </w:pPr>
      <w:rPr>
        <w:rFonts w:ascii="Symbol" w:hAnsi="Symbol"/>
      </w:rPr>
    </w:lvl>
    <w:lvl w:ilvl="1">
      <w:start w:val="1"/>
      <w:numFmt w:val="bullet"/>
      <w:isLgl w:val="false"/>
      <w:suff w:val="tab"/>
      <w:lvlText w:val="o"/>
      <w:lvlJc w:val="left"/>
      <w:pPr>
        <w:ind w:left="1440" w:hanging="360"/>
      </w:pPr>
      <w:rPr>
        <w:rFonts w:hint="default" w:ascii="Courier New" w:hAnsi="Courier New" w:cs="Courier New"/>
      </w:rPr>
    </w:lvl>
    <w:lvl w:ilvl="2">
      <w:start w:val="1"/>
      <w:numFmt w:val="bullet"/>
      <w:isLgl w:val="false"/>
      <w:suff w:val="tab"/>
      <w:lvlText w:val=""/>
      <w:lvlJc w:val="left"/>
      <w:pPr>
        <w:ind w:left="2160" w:hanging="360"/>
      </w:pPr>
      <w:rPr>
        <w:rFonts w:hint="default" w:ascii="Wingdings" w:hAnsi="Wingdings"/>
      </w:rPr>
    </w:lvl>
    <w:lvl w:ilvl="3">
      <w:start w:val="1"/>
      <w:numFmt w:val="bullet"/>
      <w:isLgl w:val="false"/>
      <w:suff w:val="tab"/>
      <w:lvlText w:val=""/>
      <w:lvlJc w:val="left"/>
      <w:pPr>
        <w:ind w:left="2880" w:hanging="360"/>
      </w:pPr>
      <w:rPr>
        <w:rFonts w:hint="default" w:ascii="Symbol" w:hAnsi="Symbol"/>
      </w:rPr>
    </w:lvl>
    <w:lvl w:ilvl="4">
      <w:start w:val="1"/>
      <w:numFmt w:val="bullet"/>
      <w:isLgl w:val="false"/>
      <w:suff w:val="tab"/>
      <w:lvlText w:val="o"/>
      <w:lvlJc w:val="left"/>
      <w:pPr>
        <w:ind w:left="3600" w:hanging="360"/>
      </w:pPr>
      <w:rPr>
        <w:rFonts w:hint="default" w:ascii="Courier New" w:hAnsi="Courier New" w:cs="Courier New"/>
      </w:rPr>
    </w:lvl>
    <w:lvl w:ilvl="5">
      <w:start w:val="1"/>
      <w:numFmt w:val="bullet"/>
      <w:isLgl w:val="false"/>
      <w:suff w:val="tab"/>
      <w:lvlText w:val=""/>
      <w:lvlJc w:val="left"/>
      <w:pPr>
        <w:ind w:left="4320" w:hanging="360"/>
      </w:pPr>
      <w:rPr>
        <w:rFonts w:hint="default" w:ascii="Wingdings" w:hAnsi="Wingdings"/>
      </w:rPr>
    </w:lvl>
    <w:lvl w:ilvl="6">
      <w:start w:val="1"/>
      <w:numFmt w:val="bullet"/>
      <w:isLgl w:val="false"/>
      <w:suff w:val="tab"/>
      <w:lvlText w:val=""/>
      <w:lvlJc w:val="left"/>
      <w:pPr>
        <w:ind w:left="5040" w:hanging="360"/>
      </w:pPr>
      <w:rPr>
        <w:rFonts w:hint="default" w:ascii="Symbol" w:hAnsi="Symbol"/>
      </w:rPr>
    </w:lvl>
    <w:lvl w:ilvl="7">
      <w:start w:val="1"/>
      <w:numFmt w:val="bullet"/>
      <w:isLgl w:val="false"/>
      <w:suff w:val="tab"/>
      <w:lvlText w:val="o"/>
      <w:lvlJc w:val="left"/>
      <w:pPr>
        <w:ind w:left="5760" w:hanging="360"/>
      </w:pPr>
      <w:rPr>
        <w:rFonts w:hint="default" w:ascii="Courier New" w:hAnsi="Courier New" w:cs="Courier New"/>
      </w:rPr>
    </w:lvl>
    <w:lvl w:ilvl="8">
      <w:start w:val="1"/>
      <w:numFmt w:val="bullet"/>
      <w:isLgl w:val="false"/>
      <w:suff w:val="tab"/>
      <w:lvlText w:val=""/>
      <w:lvlJc w:val="left"/>
      <w:pPr>
        <w:ind w:left="6480" w:hanging="360"/>
      </w:pPr>
      <w:rPr>
        <w:rFonts w:hint="default" w:ascii="Wingdings" w:hAnsi="Wingdings"/>
      </w:rPr>
    </w:lvl>
  </w:abstractNum>
  <w:abstractNum w:abstractNumId="120">
    <w:multiLevelType w:val="hybridMultilevel"/>
    <w:lvl w:ilvl="0">
      <w:start w:val="1"/>
      <w:numFmt w:val="bullet"/>
      <w:isLgl w:val="false"/>
      <w:suff w:val="tab"/>
      <w:lvlText w:val=""/>
      <w:lvlJc w:val="left"/>
      <w:pPr>
        <w:ind w:left="1287" w:hanging="360"/>
      </w:pPr>
      <w:rPr>
        <w:rFonts w:ascii="Symbol" w:hAnsi="Symbol"/>
      </w:rPr>
    </w:lvl>
    <w:lvl w:ilvl="1">
      <w:start w:val="1"/>
      <w:numFmt w:val="bullet"/>
      <w:isLgl w:val="false"/>
      <w:suff w:val="tab"/>
      <w:lvlText w:val="o"/>
      <w:lvlJc w:val="left"/>
      <w:pPr>
        <w:ind w:left="2007" w:hanging="360"/>
      </w:pPr>
      <w:rPr>
        <w:rFonts w:hint="default" w:ascii="Courier New" w:hAnsi="Courier New" w:cs="Courier New"/>
      </w:rPr>
    </w:lvl>
    <w:lvl w:ilvl="2">
      <w:start w:val="1"/>
      <w:numFmt w:val="bullet"/>
      <w:isLgl w:val="false"/>
      <w:suff w:val="tab"/>
      <w:lvlText w:val=""/>
      <w:lvlJc w:val="left"/>
      <w:pPr>
        <w:ind w:left="2727" w:hanging="360"/>
      </w:pPr>
      <w:rPr>
        <w:rFonts w:hint="default" w:ascii="Wingdings" w:hAnsi="Wingdings"/>
      </w:rPr>
    </w:lvl>
    <w:lvl w:ilvl="3">
      <w:start w:val="1"/>
      <w:numFmt w:val="bullet"/>
      <w:isLgl w:val="false"/>
      <w:suff w:val="tab"/>
      <w:lvlText w:val=""/>
      <w:lvlJc w:val="left"/>
      <w:pPr>
        <w:ind w:left="3447" w:hanging="360"/>
      </w:pPr>
      <w:rPr>
        <w:rFonts w:hint="default" w:ascii="Symbol" w:hAnsi="Symbol"/>
      </w:rPr>
    </w:lvl>
    <w:lvl w:ilvl="4">
      <w:start w:val="1"/>
      <w:numFmt w:val="bullet"/>
      <w:isLgl w:val="false"/>
      <w:suff w:val="tab"/>
      <w:lvlText w:val="o"/>
      <w:lvlJc w:val="left"/>
      <w:pPr>
        <w:ind w:left="4167" w:hanging="360"/>
      </w:pPr>
      <w:rPr>
        <w:rFonts w:hint="default" w:ascii="Courier New" w:hAnsi="Courier New" w:cs="Courier New"/>
      </w:rPr>
    </w:lvl>
    <w:lvl w:ilvl="5">
      <w:start w:val="1"/>
      <w:numFmt w:val="bullet"/>
      <w:isLgl w:val="false"/>
      <w:suff w:val="tab"/>
      <w:lvlText w:val=""/>
      <w:lvlJc w:val="left"/>
      <w:pPr>
        <w:ind w:left="4887" w:hanging="360"/>
      </w:pPr>
      <w:rPr>
        <w:rFonts w:hint="default" w:ascii="Wingdings" w:hAnsi="Wingdings"/>
      </w:rPr>
    </w:lvl>
    <w:lvl w:ilvl="6">
      <w:start w:val="1"/>
      <w:numFmt w:val="bullet"/>
      <w:isLgl w:val="false"/>
      <w:suff w:val="tab"/>
      <w:lvlText w:val=""/>
      <w:lvlJc w:val="left"/>
      <w:pPr>
        <w:ind w:left="5607" w:hanging="360"/>
      </w:pPr>
      <w:rPr>
        <w:rFonts w:hint="default" w:ascii="Symbol" w:hAnsi="Symbol"/>
      </w:rPr>
    </w:lvl>
    <w:lvl w:ilvl="7">
      <w:start w:val="1"/>
      <w:numFmt w:val="bullet"/>
      <w:isLgl w:val="false"/>
      <w:suff w:val="tab"/>
      <w:lvlText w:val="o"/>
      <w:lvlJc w:val="left"/>
      <w:pPr>
        <w:ind w:left="6327" w:hanging="360"/>
      </w:pPr>
      <w:rPr>
        <w:rFonts w:hint="default" w:ascii="Courier New" w:hAnsi="Courier New" w:cs="Courier New"/>
      </w:rPr>
    </w:lvl>
    <w:lvl w:ilvl="8">
      <w:start w:val="1"/>
      <w:numFmt w:val="bullet"/>
      <w:isLgl w:val="false"/>
      <w:suff w:val="tab"/>
      <w:lvlText w:val=""/>
      <w:lvlJc w:val="left"/>
      <w:pPr>
        <w:ind w:left="7047" w:hanging="360"/>
      </w:pPr>
      <w:rPr>
        <w:rFonts w:hint="default" w:ascii="Wingdings" w:hAnsi="Wingdings"/>
      </w:rPr>
    </w:lvl>
  </w:abstractNum>
  <w:abstractNum w:abstractNumId="121">
    <w:multiLevelType w:val="hybridMultilevel"/>
    <w:lvl w:ilvl="0">
      <w:start w:val="1"/>
      <w:numFmt w:val="bullet"/>
      <w:isLgl w:val="false"/>
      <w:suff w:val="tab"/>
      <w:lvlText w:val=""/>
      <w:lvlJc w:val="left"/>
      <w:pPr>
        <w:ind w:left="1429" w:hanging="360"/>
      </w:pPr>
      <w:rPr>
        <w:rFonts w:ascii="Symbol" w:hAnsi="Symbol"/>
      </w:rPr>
    </w:lvl>
    <w:lvl w:ilvl="1">
      <w:start w:val="1"/>
      <w:numFmt w:val="bullet"/>
      <w:isLgl w:val="false"/>
      <w:suff w:val="tab"/>
      <w:lvlText w:val="o"/>
      <w:lvlJc w:val="left"/>
      <w:pPr>
        <w:ind w:left="2149" w:hanging="360"/>
      </w:pPr>
      <w:rPr>
        <w:rFonts w:hint="default" w:ascii="Courier New" w:hAnsi="Courier New" w:cs="Courier New"/>
      </w:rPr>
    </w:lvl>
    <w:lvl w:ilvl="2">
      <w:start w:val="1"/>
      <w:numFmt w:val="bullet"/>
      <w:isLgl w:val="false"/>
      <w:suff w:val="tab"/>
      <w:lvlText w:val=""/>
      <w:lvlJc w:val="left"/>
      <w:pPr>
        <w:ind w:left="2869" w:hanging="360"/>
      </w:pPr>
      <w:rPr>
        <w:rFonts w:hint="default" w:ascii="Wingdings" w:hAnsi="Wingdings"/>
      </w:rPr>
    </w:lvl>
    <w:lvl w:ilvl="3">
      <w:start w:val="1"/>
      <w:numFmt w:val="bullet"/>
      <w:isLgl w:val="false"/>
      <w:suff w:val="tab"/>
      <w:lvlText w:val=""/>
      <w:lvlJc w:val="left"/>
      <w:pPr>
        <w:ind w:left="3589" w:hanging="360"/>
      </w:pPr>
      <w:rPr>
        <w:rFonts w:hint="default" w:ascii="Symbol" w:hAnsi="Symbol"/>
      </w:rPr>
    </w:lvl>
    <w:lvl w:ilvl="4">
      <w:start w:val="1"/>
      <w:numFmt w:val="bullet"/>
      <w:isLgl w:val="false"/>
      <w:suff w:val="tab"/>
      <w:lvlText w:val="o"/>
      <w:lvlJc w:val="left"/>
      <w:pPr>
        <w:ind w:left="4309" w:hanging="360"/>
      </w:pPr>
      <w:rPr>
        <w:rFonts w:hint="default" w:ascii="Courier New" w:hAnsi="Courier New" w:cs="Courier New"/>
      </w:rPr>
    </w:lvl>
    <w:lvl w:ilvl="5">
      <w:start w:val="1"/>
      <w:numFmt w:val="bullet"/>
      <w:isLgl w:val="false"/>
      <w:suff w:val="tab"/>
      <w:lvlText w:val=""/>
      <w:lvlJc w:val="left"/>
      <w:pPr>
        <w:ind w:left="5029" w:hanging="360"/>
      </w:pPr>
      <w:rPr>
        <w:rFonts w:hint="default" w:ascii="Wingdings" w:hAnsi="Wingdings"/>
      </w:rPr>
    </w:lvl>
    <w:lvl w:ilvl="6">
      <w:start w:val="1"/>
      <w:numFmt w:val="bullet"/>
      <w:isLgl w:val="false"/>
      <w:suff w:val="tab"/>
      <w:lvlText w:val=""/>
      <w:lvlJc w:val="left"/>
      <w:pPr>
        <w:ind w:left="5749" w:hanging="360"/>
      </w:pPr>
      <w:rPr>
        <w:rFonts w:hint="default" w:ascii="Symbol" w:hAnsi="Symbol"/>
      </w:rPr>
    </w:lvl>
    <w:lvl w:ilvl="7">
      <w:start w:val="1"/>
      <w:numFmt w:val="bullet"/>
      <w:isLgl w:val="false"/>
      <w:suff w:val="tab"/>
      <w:lvlText w:val="o"/>
      <w:lvlJc w:val="left"/>
      <w:pPr>
        <w:ind w:left="6469" w:hanging="360"/>
      </w:pPr>
      <w:rPr>
        <w:rFonts w:hint="default" w:ascii="Courier New" w:hAnsi="Courier New" w:cs="Courier New"/>
      </w:rPr>
    </w:lvl>
    <w:lvl w:ilvl="8">
      <w:start w:val="1"/>
      <w:numFmt w:val="bullet"/>
      <w:isLgl w:val="false"/>
      <w:suff w:val="tab"/>
      <w:lvlText w:val=""/>
      <w:lvlJc w:val="left"/>
      <w:pPr>
        <w:ind w:left="7189" w:hanging="360"/>
      </w:pPr>
      <w:rPr>
        <w:rFonts w:hint="default" w:ascii="Wingdings" w:hAnsi="Wingdings"/>
      </w:rPr>
    </w:lvl>
  </w:abstractNum>
  <w:abstractNum w:abstractNumId="122">
    <w:multiLevelType w:val="hybridMultilevel"/>
    <w:lvl w:ilvl="0">
      <w:start w:val="1"/>
      <w:numFmt w:val="bullet"/>
      <w:isLgl w:val="false"/>
      <w:suff w:val="tab"/>
      <w:lvlText w:val=""/>
      <w:lvlJc w:val="left"/>
      <w:pPr>
        <w:ind w:left="720" w:hanging="360"/>
      </w:pPr>
      <w:rPr>
        <w:rFonts w:ascii="Symbol" w:hAnsi="Symbol"/>
      </w:rPr>
    </w:lvl>
    <w:lvl w:ilvl="1">
      <w:start w:val="1"/>
      <w:numFmt w:val="bullet"/>
      <w:isLgl w:val="false"/>
      <w:suff w:val="tab"/>
      <w:lvlText w:val="o"/>
      <w:lvlJc w:val="left"/>
      <w:pPr>
        <w:ind w:left="1440" w:hanging="360"/>
      </w:pPr>
      <w:rPr>
        <w:rFonts w:hint="default" w:ascii="Courier New" w:hAnsi="Courier New" w:cs="Courier New"/>
      </w:rPr>
    </w:lvl>
    <w:lvl w:ilvl="2">
      <w:start w:val="1"/>
      <w:numFmt w:val="bullet"/>
      <w:isLgl w:val="false"/>
      <w:suff w:val="tab"/>
      <w:lvlText w:val=""/>
      <w:lvlJc w:val="left"/>
      <w:pPr>
        <w:ind w:left="2160" w:hanging="360"/>
      </w:pPr>
      <w:rPr>
        <w:rFonts w:hint="default" w:ascii="Wingdings" w:hAnsi="Wingdings"/>
      </w:rPr>
    </w:lvl>
    <w:lvl w:ilvl="3">
      <w:start w:val="1"/>
      <w:numFmt w:val="bullet"/>
      <w:isLgl w:val="false"/>
      <w:suff w:val="tab"/>
      <w:lvlText w:val=""/>
      <w:lvlJc w:val="left"/>
      <w:pPr>
        <w:ind w:left="2880" w:hanging="360"/>
      </w:pPr>
      <w:rPr>
        <w:rFonts w:hint="default" w:ascii="Symbol" w:hAnsi="Symbol"/>
      </w:rPr>
    </w:lvl>
    <w:lvl w:ilvl="4">
      <w:start w:val="1"/>
      <w:numFmt w:val="bullet"/>
      <w:isLgl w:val="false"/>
      <w:suff w:val="tab"/>
      <w:lvlText w:val="o"/>
      <w:lvlJc w:val="left"/>
      <w:pPr>
        <w:ind w:left="3600" w:hanging="360"/>
      </w:pPr>
      <w:rPr>
        <w:rFonts w:hint="default" w:ascii="Courier New" w:hAnsi="Courier New" w:cs="Courier New"/>
      </w:rPr>
    </w:lvl>
    <w:lvl w:ilvl="5">
      <w:start w:val="1"/>
      <w:numFmt w:val="bullet"/>
      <w:isLgl w:val="false"/>
      <w:suff w:val="tab"/>
      <w:lvlText w:val=""/>
      <w:lvlJc w:val="left"/>
      <w:pPr>
        <w:ind w:left="4320" w:hanging="360"/>
      </w:pPr>
      <w:rPr>
        <w:rFonts w:hint="default" w:ascii="Wingdings" w:hAnsi="Wingdings"/>
      </w:rPr>
    </w:lvl>
    <w:lvl w:ilvl="6">
      <w:start w:val="1"/>
      <w:numFmt w:val="bullet"/>
      <w:isLgl w:val="false"/>
      <w:suff w:val="tab"/>
      <w:lvlText w:val=""/>
      <w:lvlJc w:val="left"/>
      <w:pPr>
        <w:ind w:left="5040" w:hanging="360"/>
      </w:pPr>
      <w:rPr>
        <w:rFonts w:hint="default" w:ascii="Symbol" w:hAnsi="Symbol"/>
      </w:rPr>
    </w:lvl>
    <w:lvl w:ilvl="7">
      <w:start w:val="1"/>
      <w:numFmt w:val="bullet"/>
      <w:isLgl w:val="false"/>
      <w:suff w:val="tab"/>
      <w:lvlText w:val="o"/>
      <w:lvlJc w:val="left"/>
      <w:pPr>
        <w:ind w:left="5760" w:hanging="360"/>
      </w:pPr>
      <w:rPr>
        <w:rFonts w:hint="default" w:ascii="Courier New" w:hAnsi="Courier New" w:cs="Courier New"/>
      </w:rPr>
    </w:lvl>
    <w:lvl w:ilvl="8">
      <w:start w:val="1"/>
      <w:numFmt w:val="bullet"/>
      <w:isLgl w:val="false"/>
      <w:suff w:val="tab"/>
      <w:lvlText w:val=""/>
      <w:lvlJc w:val="left"/>
      <w:pPr>
        <w:ind w:left="6480" w:hanging="360"/>
      </w:pPr>
      <w:rPr>
        <w:rFonts w:hint="default" w:ascii="Wingdings" w:hAnsi="Wingdings"/>
      </w:rPr>
    </w:lvl>
  </w:abstractNum>
  <w:abstractNum w:abstractNumId="123">
    <w:multiLevelType w:val="hybridMultilevel"/>
    <w:lvl w:ilvl="0">
      <w:start w:val="1"/>
      <w:numFmt w:val="bullet"/>
      <w:isLgl w:val="false"/>
      <w:suff w:val="tab"/>
      <w:lvlText w:val=""/>
      <w:lvlJc w:val="left"/>
      <w:pPr>
        <w:ind w:left="1287" w:hanging="360"/>
      </w:pPr>
      <w:rPr>
        <w:rFonts w:hint="default" w:ascii="Symbol" w:hAnsi="Symbol"/>
      </w:rPr>
    </w:lvl>
    <w:lvl w:ilvl="1">
      <w:start w:val="1"/>
      <w:numFmt w:val="bullet"/>
      <w:isLgl w:val="false"/>
      <w:suff w:val="tab"/>
      <w:lvlText w:val="o"/>
      <w:lvlJc w:val="left"/>
      <w:pPr>
        <w:ind w:left="2007" w:hanging="360"/>
      </w:pPr>
      <w:rPr>
        <w:rFonts w:hint="default" w:ascii="Courier New" w:hAnsi="Courier New" w:cs="Courier New"/>
      </w:rPr>
    </w:lvl>
    <w:lvl w:ilvl="2">
      <w:start w:val="1"/>
      <w:numFmt w:val="bullet"/>
      <w:isLgl w:val="false"/>
      <w:suff w:val="tab"/>
      <w:lvlText w:val=""/>
      <w:lvlJc w:val="left"/>
      <w:pPr>
        <w:ind w:left="2727" w:hanging="360"/>
      </w:pPr>
      <w:rPr>
        <w:rFonts w:hint="default" w:ascii="Wingdings" w:hAnsi="Wingdings"/>
      </w:rPr>
    </w:lvl>
    <w:lvl w:ilvl="3">
      <w:start w:val="1"/>
      <w:numFmt w:val="bullet"/>
      <w:isLgl w:val="false"/>
      <w:suff w:val="tab"/>
      <w:lvlText w:val=""/>
      <w:lvlJc w:val="left"/>
      <w:pPr>
        <w:ind w:left="3447" w:hanging="360"/>
      </w:pPr>
      <w:rPr>
        <w:rFonts w:hint="default" w:ascii="Symbol" w:hAnsi="Symbol"/>
      </w:rPr>
    </w:lvl>
    <w:lvl w:ilvl="4">
      <w:start w:val="1"/>
      <w:numFmt w:val="bullet"/>
      <w:isLgl w:val="false"/>
      <w:suff w:val="tab"/>
      <w:lvlText w:val="o"/>
      <w:lvlJc w:val="left"/>
      <w:pPr>
        <w:ind w:left="4167" w:hanging="360"/>
      </w:pPr>
      <w:rPr>
        <w:rFonts w:hint="default" w:ascii="Courier New" w:hAnsi="Courier New" w:cs="Courier New"/>
      </w:rPr>
    </w:lvl>
    <w:lvl w:ilvl="5">
      <w:start w:val="1"/>
      <w:numFmt w:val="bullet"/>
      <w:isLgl w:val="false"/>
      <w:suff w:val="tab"/>
      <w:lvlText w:val=""/>
      <w:lvlJc w:val="left"/>
      <w:pPr>
        <w:ind w:left="4887" w:hanging="360"/>
      </w:pPr>
      <w:rPr>
        <w:rFonts w:hint="default" w:ascii="Wingdings" w:hAnsi="Wingdings"/>
      </w:rPr>
    </w:lvl>
    <w:lvl w:ilvl="6">
      <w:start w:val="1"/>
      <w:numFmt w:val="bullet"/>
      <w:isLgl w:val="false"/>
      <w:suff w:val="tab"/>
      <w:lvlText w:val=""/>
      <w:lvlJc w:val="left"/>
      <w:pPr>
        <w:ind w:left="5607" w:hanging="360"/>
      </w:pPr>
      <w:rPr>
        <w:rFonts w:hint="default" w:ascii="Symbol" w:hAnsi="Symbol"/>
      </w:rPr>
    </w:lvl>
    <w:lvl w:ilvl="7">
      <w:start w:val="1"/>
      <w:numFmt w:val="bullet"/>
      <w:isLgl w:val="false"/>
      <w:suff w:val="tab"/>
      <w:lvlText w:val="o"/>
      <w:lvlJc w:val="left"/>
      <w:pPr>
        <w:ind w:left="6327" w:hanging="360"/>
      </w:pPr>
      <w:rPr>
        <w:rFonts w:hint="default" w:ascii="Courier New" w:hAnsi="Courier New" w:cs="Courier New"/>
      </w:rPr>
    </w:lvl>
    <w:lvl w:ilvl="8">
      <w:start w:val="1"/>
      <w:numFmt w:val="bullet"/>
      <w:isLgl w:val="false"/>
      <w:suff w:val="tab"/>
      <w:lvlText w:val=""/>
      <w:lvlJc w:val="left"/>
      <w:pPr>
        <w:ind w:left="7047" w:hanging="360"/>
      </w:pPr>
      <w:rPr>
        <w:rFonts w:hint="default" w:ascii="Wingdings" w:hAnsi="Wingdings"/>
      </w:rPr>
    </w:lvl>
  </w:abstractNum>
  <w:abstractNum w:abstractNumId="124">
    <w:multiLevelType w:val="hybridMultilevel"/>
    <w:lvl w:ilvl="0">
      <w:start w:val="1"/>
      <w:numFmt w:val="bullet"/>
      <w:isLgl w:val="false"/>
      <w:suff w:val="tab"/>
      <w:lvlText w:val=""/>
      <w:lvlJc w:val="left"/>
      <w:pPr>
        <w:ind w:left="1287" w:hanging="360"/>
      </w:pPr>
      <w:rPr>
        <w:rFonts w:hint="default" w:ascii="Symbol" w:hAnsi="Symbol"/>
      </w:rPr>
    </w:lvl>
    <w:lvl w:ilvl="1">
      <w:start w:val="1"/>
      <w:numFmt w:val="bullet"/>
      <w:isLgl w:val="false"/>
      <w:suff w:val="tab"/>
      <w:lvlText w:val="o"/>
      <w:lvlJc w:val="left"/>
      <w:pPr>
        <w:ind w:left="2007" w:hanging="360"/>
      </w:pPr>
      <w:rPr>
        <w:rFonts w:hint="default" w:ascii="Courier New" w:hAnsi="Courier New" w:cs="Courier New"/>
      </w:rPr>
    </w:lvl>
    <w:lvl w:ilvl="2">
      <w:start w:val="1"/>
      <w:numFmt w:val="bullet"/>
      <w:isLgl w:val="false"/>
      <w:suff w:val="tab"/>
      <w:lvlText w:val=""/>
      <w:lvlJc w:val="left"/>
      <w:pPr>
        <w:ind w:left="2727" w:hanging="360"/>
      </w:pPr>
      <w:rPr>
        <w:rFonts w:hint="default" w:ascii="Wingdings" w:hAnsi="Wingdings"/>
      </w:rPr>
    </w:lvl>
    <w:lvl w:ilvl="3">
      <w:start w:val="1"/>
      <w:numFmt w:val="bullet"/>
      <w:isLgl w:val="false"/>
      <w:suff w:val="tab"/>
      <w:lvlText w:val=""/>
      <w:lvlJc w:val="left"/>
      <w:pPr>
        <w:ind w:left="3447" w:hanging="360"/>
      </w:pPr>
      <w:rPr>
        <w:rFonts w:hint="default" w:ascii="Symbol" w:hAnsi="Symbol"/>
      </w:rPr>
    </w:lvl>
    <w:lvl w:ilvl="4">
      <w:start w:val="1"/>
      <w:numFmt w:val="bullet"/>
      <w:isLgl w:val="false"/>
      <w:suff w:val="tab"/>
      <w:lvlText w:val="o"/>
      <w:lvlJc w:val="left"/>
      <w:pPr>
        <w:ind w:left="4167" w:hanging="360"/>
      </w:pPr>
      <w:rPr>
        <w:rFonts w:hint="default" w:ascii="Courier New" w:hAnsi="Courier New" w:cs="Courier New"/>
      </w:rPr>
    </w:lvl>
    <w:lvl w:ilvl="5">
      <w:start w:val="1"/>
      <w:numFmt w:val="bullet"/>
      <w:isLgl w:val="false"/>
      <w:suff w:val="tab"/>
      <w:lvlText w:val=""/>
      <w:lvlJc w:val="left"/>
      <w:pPr>
        <w:ind w:left="4887" w:hanging="360"/>
      </w:pPr>
      <w:rPr>
        <w:rFonts w:hint="default" w:ascii="Wingdings" w:hAnsi="Wingdings"/>
      </w:rPr>
    </w:lvl>
    <w:lvl w:ilvl="6">
      <w:start w:val="1"/>
      <w:numFmt w:val="bullet"/>
      <w:isLgl w:val="false"/>
      <w:suff w:val="tab"/>
      <w:lvlText w:val=""/>
      <w:lvlJc w:val="left"/>
      <w:pPr>
        <w:ind w:left="5607" w:hanging="360"/>
      </w:pPr>
      <w:rPr>
        <w:rFonts w:hint="default" w:ascii="Symbol" w:hAnsi="Symbol"/>
      </w:rPr>
    </w:lvl>
    <w:lvl w:ilvl="7">
      <w:start w:val="1"/>
      <w:numFmt w:val="bullet"/>
      <w:isLgl w:val="false"/>
      <w:suff w:val="tab"/>
      <w:lvlText w:val="o"/>
      <w:lvlJc w:val="left"/>
      <w:pPr>
        <w:ind w:left="6327" w:hanging="360"/>
      </w:pPr>
      <w:rPr>
        <w:rFonts w:hint="default" w:ascii="Courier New" w:hAnsi="Courier New" w:cs="Courier New"/>
      </w:rPr>
    </w:lvl>
    <w:lvl w:ilvl="8">
      <w:start w:val="1"/>
      <w:numFmt w:val="bullet"/>
      <w:isLgl w:val="false"/>
      <w:suff w:val="tab"/>
      <w:lvlText w:val=""/>
      <w:lvlJc w:val="left"/>
      <w:pPr>
        <w:ind w:left="7047" w:hanging="360"/>
      </w:pPr>
      <w:rPr>
        <w:rFonts w:hint="default" w:ascii="Wingdings" w:hAnsi="Wingdings"/>
      </w:rPr>
    </w:lvl>
  </w:abstractNum>
  <w:abstractNum w:abstractNumId="125">
    <w:multiLevelType w:val="hybridMultilevel"/>
    <w:lvl w:ilvl="0">
      <w:start w:val="1"/>
      <w:numFmt w:val="bullet"/>
      <w:isLgl w:val="false"/>
      <w:suff w:val="tab"/>
      <w:lvlText w:val=""/>
      <w:lvlJc w:val="left"/>
      <w:pPr>
        <w:ind w:left="1287" w:hanging="360"/>
      </w:pPr>
      <w:rPr>
        <w:rFonts w:hint="default" w:ascii="Symbol" w:hAnsi="Symbol"/>
      </w:rPr>
    </w:lvl>
    <w:lvl w:ilvl="1">
      <w:start w:val="1"/>
      <w:numFmt w:val="bullet"/>
      <w:isLgl w:val="false"/>
      <w:suff w:val="tab"/>
      <w:lvlText w:val="o"/>
      <w:lvlJc w:val="left"/>
      <w:pPr>
        <w:ind w:left="2007" w:hanging="360"/>
      </w:pPr>
      <w:rPr>
        <w:rFonts w:hint="default" w:ascii="Courier New" w:hAnsi="Courier New" w:cs="Courier New"/>
      </w:rPr>
    </w:lvl>
    <w:lvl w:ilvl="2">
      <w:start w:val="1"/>
      <w:numFmt w:val="bullet"/>
      <w:isLgl w:val="false"/>
      <w:suff w:val="tab"/>
      <w:lvlText w:val=""/>
      <w:lvlJc w:val="left"/>
      <w:pPr>
        <w:ind w:left="2727" w:hanging="360"/>
      </w:pPr>
      <w:rPr>
        <w:rFonts w:hint="default" w:ascii="Wingdings" w:hAnsi="Wingdings"/>
      </w:rPr>
    </w:lvl>
    <w:lvl w:ilvl="3">
      <w:start w:val="1"/>
      <w:numFmt w:val="bullet"/>
      <w:isLgl w:val="false"/>
      <w:suff w:val="tab"/>
      <w:lvlText w:val=""/>
      <w:lvlJc w:val="left"/>
      <w:pPr>
        <w:ind w:left="3447" w:hanging="360"/>
      </w:pPr>
      <w:rPr>
        <w:rFonts w:hint="default" w:ascii="Symbol" w:hAnsi="Symbol"/>
      </w:rPr>
    </w:lvl>
    <w:lvl w:ilvl="4">
      <w:start w:val="1"/>
      <w:numFmt w:val="bullet"/>
      <w:isLgl w:val="false"/>
      <w:suff w:val="tab"/>
      <w:lvlText w:val="o"/>
      <w:lvlJc w:val="left"/>
      <w:pPr>
        <w:ind w:left="4167" w:hanging="360"/>
      </w:pPr>
      <w:rPr>
        <w:rFonts w:hint="default" w:ascii="Courier New" w:hAnsi="Courier New" w:cs="Courier New"/>
      </w:rPr>
    </w:lvl>
    <w:lvl w:ilvl="5">
      <w:start w:val="1"/>
      <w:numFmt w:val="bullet"/>
      <w:isLgl w:val="false"/>
      <w:suff w:val="tab"/>
      <w:lvlText w:val=""/>
      <w:lvlJc w:val="left"/>
      <w:pPr>
        <w:ind w:left="4887" w:hanging="360"/>
      </w:pPr>
      <w:rPr>
        <w:rFonts w:hint="default" w:ascii="Wingdings" w:hAnsi="Wingdings"/>
      </w:rPr>
    </w:lvl>
    <w:lvl w:ilvl="6">
      <w:start w:val="1"/>
      <w:numFmt w:val="bullet"/>
      <w:isLgl w:val="false"/>
      <w:suff w:val="tab"/>
      <w:lvlText w:val=""/>
      <w:lvlJc w:val="left"/>
      <w:pPr>
        <w:ind w:left="5607" w:hanging="360"/>
      </w:pPr>
      <w:rPr>
        <w:rFonts w:hint="default" w:ascii="Symbol" w:hAnsi="Symbol"/>
      </w:rPr>
    </w:lvl>
    <w:lvl w:ilvl="7">
      <w:start w:val="1"/>
      <w:numFmt w:val="bullet"/>
      <w:isLgl w:val="false"/>
      <w:suff w:val="tab"/>
      <w:lvlText w:val="o"/>
      <w:lvlJc w:val="left"/>
      <w:pPr>
        <w:ind w:left="6327" w:hanging="360"/>
      </w:pPr>
      <w:rPr>
        <w:rFonts w:hint="default" w:ascii="Courier New" w:hAnsi="Courier New" w:cs="Courier New"/>
      </w:rPr>
    </w:lvl>
    <w:lvl w:ilvl="8">
      <w:start w:val="1"/>
      <w:numFmt w:val="bullet"/>
      <w:isLgl w:val="false"/>
      <w:suff w:val="tab"/>
      <w:lvlText w:val=""/>
      <w:lvlJc w:val="left"/>
      <w:pPr>
        <w:ind w:left="7047" w:hanging="360"/>
      </w:pPr>
      <w:rPr>
        <w:rFonts w:hint="default" w:ascii="Wingdings" w:hAnsi="Wingdings"/>
      </w:rPr>
    </w:lvl>
  </w:abstractNum>
  <w:abstractNum w:abstractNumId="126">
    <w:multiLevelType w:val="hybridMultilevel"/>
    <w:lvl w:ilvl="0">
      <w:start w:val="1"/>
      <w:numFmt w:val="bullet"/>
      <w:isLgl w:val="false"/>
      <w:suff w:val="tab"/>
      <w:lvlText w:val=""/>
      <w:lvlJc w:val="left"/>
      <w:pPr>
        <w:ind w:left="1287" w:hanging="360"/>
      </w:pPr>
      <w:rPr>
        <w:rFonts w:ascii="Symbol" w:hAnsi="Symbol"/>
      </w:rPr>
    </w:lvl>
    <w:lvl w:ilvl="1">
      <w:start w:val="1"/>
      <w:numFmt w:val="bullet"/>
      <w:isLgl w:val="false"/>
      <w:suff w:val="tab"/>
      <w:lvlText w:val="o"/>
      <w:lvlJc w:val="left"/>
      <w:pPr>
        <w:ind w:left="2007" w:hanging="360"/>
      </w:pPr>
      <w:rPr>
        <w:rFonts w:ascii="Courier New" w:hAnsi="Courier New"/>
      </w:rPr>
    </w:lvl>
    <w:lvl w:ilvl="2">
      <w:start w:val="1"/>
      <w:numFmt w:val="bullet"/>
      <w:isLgl w:val="false"/>
      <w:suff w:val="tab"/>
      <w:lvlText w:val=""/>
      <w:lvlJc w:val="left"/>
      <w:pPr>
        <w:ind w:left="2727" w:hanging="360"/>
      </w:pPr>
      <w:rPr>
        <w:rFonts w:ascii="Wingdings" w:hAnsi="Wingdings"/>
      </w:rPr>
    </w:lvl>
    <w:lvl w:ilvl="3">
      <w:start w:val="1"/>
      <w:numFmt w:val="bullet"/>
      <w:isLgl w:val="false"/>
      <w:suff w:val="tab"/>
      <w:lvlText w:val=""/>
      <w:lvlJc w:val="left"/>
      <w:pPr>
        <w:ind w:left="3447" w:hanging="360"/>
      </w:pPr>
      <w:rPr>
        <w:rFonts w:ascii="Symbol" w:hAnsi="Symbol"/>
      </w:rPr>
    </w:lvl>
    <w:lvl w:ilvl="4">
      <w:start w:val="1"/>
      <w:numFmt w:val="bullet"/>
      <w:isLgl w:val="false"/>
      <w:suff w:val="tab"/>
      <w:lvlText w:val="o"/>
      <w:lvlJc w:val="left"/>
      <w:pPr>
        <w:ind w:left="4167" w:hanging="360"/>
      </w:pPr>
      <w:rPr>
        <w:rFonts w:ascii="Courier New" w:hAnsi="Courier New"/>
      </w:rPr>
    </w:lvl>
    <w:lvl w:ilvl="5">
      <w:start w:val="1"/>
      <w:numFmt w:val="bullet"/>
      <w:isLgl w:val="false"/>
      <w:suff w:val="tab"/>
      <w:lvlText w:val=""/>
      <w:lvlJc w:val="left"/>
      <w:pPr>
        <w:ind w:left="4887" w:hanging="360"/>
      </w:pPr>
      <w:rPr>
        <w:rFonts w:ascii="Wingdings" w:hAnsi="Wingdings"/>
      </w:rPr>
    </w:lvl>
    <w:lvl w:ilvl="6">
      <w:start w:val="1"/>
      <w:numFmt w:val="bullet"/>
      <w:isLgl w:val="false"/>
      <w:suff w:val="tab"/>
      <w:lvlText w:val=""/>
      <w:lvlJc w:val="left"/>
      <w:pPr>
        <w:ind w:left="5607" w:hanging="360"/>
      </w:pPr>
      <w:rPr>
        <w:rFonts w:ascii="Symbol" w:hAnsi="Symbol"/>
      </w:rPr>
    </w:lvl>
    <w:lvl w:ilvl="7">
      <w:start w:val="1"/>
      <w:numFmt w:val="bullet"/>
      <w:isLgl w:val="false"/>
      <w:suff w:val="tab"/>
      <w:lvlText w:val="o"/>
      <w:lvlJc w:val="left"/>
      <w:pPr>
        <w:ind w:left="6327" w:hanging="360"/>
      </w:pPr>
      <w:rPr>
        <w:rFonts w:ascii="Courier New" w:hAnsi="Courier New"/>
      </w:rPr>
    </w:lvl>
    <w:lvl w:ilvl="8">
      <w:start w:val="1"/>
      <w:numFmt w:val="bullet"/>
      <w:isLgl w:val="false"/>
      <w:suff w:val="tab"/>
      <w:lvlText w:val=""/>
      <w:lvlJc w:val="left"/>
      <w:pPr>
        <w:ind w:left="7047" w:hanging="360"/>
      </w:pPr>
      <w:rPr>
        <w:rFonts w:ascii="Wingdings" w:hAnsi="Wingdings"/>
      </w:rPr>
    </w:lvl>
  </w:abstractNum>
  <w:abstractNum w:abstractNumId="127">
    <w:multiLevelType w:val="hybridMultilevel"/>
    <w:lvl w:ilvl="0">
      <w:start w:val="1"/>
      <w:numFmt w:val="bullet"/>
      <w:isLgl w:val="false"/>
      <w:suff w:val="tab"/>
      <w:lvlText w:val=""/>
      <w:lvlJc w:val="left"/>
      <w:pPr>
        <w:ind w:left="1287" w:hanging="360"/>
      </w:pPr>
      <w:rPr>
        <w:rFonts w:hint="default" w:ascii="Symbol" w:hAnsi="Symbol"/>
      </w:rPr>
    </w:lvl>
    <w:lvl w:ilvl="1">
      <w:start w:val="1"/>
      <w:numFmt w:val="bullet"/>
      <w:isLgl w:val="false"/>
      <w:suff w:val="tab"/>
      <w:lvlText w:val="o"/>
      <w:lvlJc w:val="left"/>
      <w:pPr>
        <w:ind w:left="2007" w:hanging="360"/>
      </w:pPr>
      <w:rPr>
        <w:rFonts w:hint="default" w:ascii="Courier New" w:hAnsi="Courier New" w:cs="Courier New"/>
      </w:rPr>
    </w:lvl>
    <w:lvl w:ilvl="2">
      <w:start w:val="1"/>
      <w:numFmt w:val="bullet"/>
      <w:isLgl w:val="false"/>
      <w:suff w:val="tab"/>
      <w:lvlText w:val=""/>
      <w:lvlJc w:val="left"/>
      <w:pPr>
        <w:ind w:left="2727" w:hanging="360"/>
      </w:pPr>
      <w:rPr>
        <w:rFonts w:hint="default" w:ascii="Wingdings" w:hAnsi="Wingdings"/>
      </w:rPr>
    </w:lvl>
    <w:lvl w:ilvl="3">
      <w:start w:val="1"/>
      <w:numFmt w:val="bullet"/>
      <w:isLgl w:val="false"/>
      <w:suff w:val="tab"/>
      <w:lvlText w:val=""/>
      <w:lvlJc w:val="left"/>
      <w:pPr>
        <w:ind w:left="3447" w:hanging="360"/>
      </w:pPr>
      <w:rPr>
        <w:rFonts w:hint="default" w:ascii="Symbol" w:hAnsi="Symbol"/>
      </w:rPr>
    </w:lvl>
    <w:lvl w:ilvl="4">
      <w:start w:val="1"/>
      <w:numFmt w:val="bullet"/>
      <w:isLgl w:val="false"/>
      <w:suff w:val="tab"/>
      <w:lvlText w:val="o"/>
      <w:lvlJc w:val="left"/>
      <w:pPr>
        <w:ind w:left="4167" w:hanging="360"/>
      </w:pPr>
      <w:rPr>
        <w:rFonts w:hint="default" w:ascii="Courier New" w:hAnsi="Courier New" w:cs="Courier New"/>
      </w:rPr>
    </w:lvl>
    <w:lvl w:ilvl="5">
      <w:start w:val="1"/>
      <w:numFmt w:val="bullet"/>
      <w:isLgl w:val="false"/>
      <w:suff w:val="tab"/>
      <w:lvlText w:val=""/>
      <w:lvlJc w:val="left"/>
      <w:pPr>
        <w:ind w:left="4887" w:hanging="360"/>
      </w:pPr>
      <w:rPr>
        <w:rFonts w:hint="default" w:ascii="Wingdings" w:hAnsi="Wingdings"/>
      </w:rPr>
    </w:lvl>
    <w:lvl w:ilvl="6">
      <w:start w:val="1"/>
      <w:numFmt w:val="bullet"/>
      <w:isLgl w:val="false"/>
      <w:suff w:val="tab"/>
      <w:lvlText w:val=""/>
      <w:lvlJc w:val="left"/>
      <w:pPr>
        <w:ind w:left="5607" w:hanging="360"/>
      </w:pPr>
      <w:rPr>
        <w:rFonts w:hint="default" w:ascii="Symbol" w:hAnsi="Symbol"/>
      </w:rPr>
    </w:lvl>
    <w:lvl w:ilvl="7">
      <w:start w:val="1"/>
      <w:numFmt w:val="bullet"/>
      <w:isLgl w:val="false"/>
      <w:suff w:val="tab"/>
      <w:lvlText w:val="o"/>
      <w:lvlJc w:val="left"/>
      <w:pPr>
        <w:ind w:left="6327" w:hanging="360"/>
      </w:pPr>
      <w:rPr>
        <w:rFonts w:hint="default" w:ascii="Courier New" w:hAnsi="Courier New" w:cs="Courier New"/>
      </w:rPr>
    </w:lvl>
    <w:lvl w:ilvl="8">
      <w:start w:val="1"/>
      <w:numFmt w:val="bullet"/>
      <w:isLgl w:val="false"/>
      <w:suff w:val="tab"/>
      <w:lvlText w:val=""/>
      <w:lvlJc w:val="left"/>
      <w:pPr>
        <w:ind w:left="7047" w:hanging="360"/>
      </w:pPr>
      <w:rPr>
        <w:rFonts w:hint="default" w:ascii="Wingdings" w:hAnsi="Wingdings"/>
      </w:rPr>
    </w:lvl>
  </w:abstractNum>
  <w:abstractNum w:abstractNumId="128">
    <w:multiLevelType w:val="hybridMultilevel"/>
    <w:lvl w:ilvl="0">
      <w:start w:val="1"/>
      <w:numFmt w:val="bullet"/>
      <w:isLgl w:val="false"/>
      <w:suff w:val="tab"/>
      <w:lvlText w:val="•"/>
      <w:lvlJc w:val="left"/>
      <w:pPr>
        <w:ind w:left="0"/>
      </w:pPr>
      <w:rPr>
        <w:rFonts w:ascii="Arial" w:hAnsi="Arial" w:eastAsia="Arial" w:cs="Arial"/>
        <w:b w:val="0"/>
        <w:i w:val="0"/>
        <w:strike w:val="0"/>
        <w:color w:val="000000"/>
        <w:sz w:val="28"/>
        <w:szCs w:val="28"/>
        <w:u w:val="none"/>
        <w:vertAlign w:val="baseline"/>
      </w:rPr>
    </w:lvl>
    <w:lvl w:ilvl="1">
      <w:start w:val="1"/>
      <w:numFmt w:val="bullet"/>
      <w:isLgl w:val="false"/>
      <w:suff w:val="tab"/>
      <w:lvlText w:val="o"/>
      <w:lvlJc w:val="left"/>
      <w:pPr>
        <w:ind w:left="1788"/>
      </w:pPr>
      <w:rPr>
        <w:rFonts w:ascii="Segoe UI Symbol" w:hAnsi="Segoe UI Symbol" w:eastAsia="Segoe UI Symbol" w:cs="Segoe UI Symbol"/>
        <w:b w:val="0"/>
        <w:i w:val="0"/>
        <w:strike w:val="0"/>
        <w:color w:val="000000"/>
        <w:sz w:val="28"/>
        <w:szCs w:val="28"/>
        <w:u w:val="none"/>
        <w:vertAlign w:val="baseline"/>
      </w:rPr>
    </w:lvl>
    <w:lvl w:ilvl="2">
      <w:start w:val="1"/>
      <w:numFmt w:val="bullet"/>
      <w:isLgl w:val="false"/>
      <w:suff w:val="tab"/>
      <w:lvlText w:val="▪"/>
      <w:lvlJc w:val="left"/>
      <w:pPr>
        <w:ind w:left="2508"/>
      </w:pPr>
      <w:rPr>
        <w:rFonts w:ascii="Segoe UI Symbol" w:hAnsi="Segoe UI Symbol" w:eastAsia="Segoe UI Symbol" w:cs="Segoe UI Symbol"/>
        <w:b w:val="0"/>
        <w:i w:val="0"/>
        <w:strike w:val="0"/>
        <w:color w:val="000000"/>
        <w:sz w:val="28"/>
        <w:szCs w:val="28"/>
        <w:u w:val="none"/>
        <w:vertAlign w:val="baseline"/>
      </w:rPr>
    </w:lvl>
    <w:lvl w:ilvl="3">
      <w:start w:val="1"/>
      <w:numFmt w:val="bullet"/>
      <w:isLgl w:val="false"/>
      <w:suff w:val="tab"/>
      <w:lvlText w:val="•"/>
      <w:lvlJc w:val="left"/>
      <w:pPr>
        <w:ind w:left="3228"/>
      </w:pPr>
      <w:rPr>
        <w:rFonts w:ascii="Arial" w:hAnsi="Arial" w:eastAsia="Arial" w:cs="Arial"/>
        <w:b w:val="0"/>
        <w:i w:val="0"/>
        <w:strike w:val="0"/>
        <w:color w:val="000000"/>
        <w:sz w:val="28"/>
        <w:szCs w:val="28"/>
        <w:u w:val="none"/>
        <w:vertAlign w:val="baseline"/>
      </w:rPr>
    </w:lvl>
    <w:lvl w:ilvl="4">
      <w:start w:val="1"/>
      <w:numFmt w:val="bullet"/>
      <w:isLgl w:val="false"/>
      <w:suff w:val="tab"/>
      <w:lvlText w:val="o"/>
      <w:lvlJc w:val="left"/>
      <w:pPr>
        <w:ind w:left="3948"/>
      </w:pPr>
      <w:rPr>
        <w:rFonts w:ascii="Segoe UI Symbol" w:hAnsi="Segoe UI Symbol" w:eastAsia="Segoe UI Symbol" w:cs="Segoe UI Symbol"/>
        <w:b w:val="0"/>
        <w:i w:val="0"/>
        <w:strike w:val="0"/>
        <w:color w:val="000000"/>
        <w:sz w:val="28"/>
        <w:szCs w:val="28"/>
        <w:u w:val="none"/>
        <w:vertAlign w:val="baseline"/>
      </w:rPr>
    </w:lvl>
    <w:lvl w:ilvl="5">
      <w:start w:val="1"/>
      <w:numFmt w:val="bullet"/>
      <w:isLgl w:val="false"/>
      <w:suff w:val="tab"/>
      <w:lvlText w:val="▪"/>
      <w:lvlJc w:val="left"/>
      <w:pPr>
        <w:ind w:left="4668"/>
      </w:pPr>
      <w:rPr>
        <w:rFonts w:ascii="Segoe UI Symbol" w:hAnsi="Segoe UI Symbol" w:eastAsia="Segoe UI Symbol" w:cs="Segoe UI Symbol"/>
        <w:b w:val="0"/>
        <w:i w:val="0"/>
        <w:strike w:val="0"/>
        <w:color w:val="000000"/>
        <w:sz w:val="28"/>
        <w:szCs w:val="28"/>
        <w:u w:val="none"/>
        <w:vertAlign w:val="baseline"/>
      </w:rPr>
    </w:lvl>
    <w:lvl w:ilvl="6">
      <w:start w:val="1"/>
      <w:numFmt w:val="bullet"/>
      <w:isLgl w:val="false"/>
      <w:suff w:val="tab"/>
      <w:lvlText w:val="•"/>
      <w:lvlJc w:val="left"/>
      <w:pPr>
        <w:ind w:left="5388"/>
      </w:pPr>
      <w:rPr>
        <w:rFonts w:ascii="Arial" w:hAnsi="Arial" w:eastAsia="Arial" w:cs="Arial"/>
        <w:b w:val="0"/>
        <w:i w:val="0"/>
        <w:strike w:val="0"/>
        <w:color w:val="000000"/>
        <w:sz w:val="28"/>
        <w:szCs w:val="28"/>
        <w:u w:val="none"/>
        <w:vertAlign w:val="baseline"/>
      </w:rPr>
    </w:lvl>
    <w:lvl w:ilvl="7">
      <w:start w:val="1"/>
      <w:numFmt w:val="bullet"/>
      <w:isLgl w:val="false"/>
      <w:suff w:val="tab"/>
      <w:lvlText w:val="o"/>
      <w:lvlJc w:val="left"/>
      <w:pPr>
        <w:ind w:left="6108"/>
      </w:pPr>
      <w:rPr>
        <w:rFonts w:ascii="Segoe UI Symbol" w:hAnsi="Segoe UI Symbol" w:eastAsia="Segoe UI Symbol" w:cs="Segoe UI Symbol"/>
        <w:b w:val="0"/>
        <w:i w:val="0"/>
        <w:strike w:val="0"/>
        <w:color w:val="000000"/>
        <w:sz w:val="28"/>
        <w:szCs w:val="28"/>
        <w:u w:val="none"/>
        <w:vertAlign w:val="baseline"/>
      </w:rPr>
    </w:lvl>
    <w:lvl w:ilvl="8">
      <w:start w:val="1"/>
      <w:numFmt w:val="bullet"/>
      <w:isLgl w:val="false"/>
      <w:suff w:val="tab"/>
      <w:lvlText w:val="▪"/>
      <w:lvlJc w:val="left"/>
      <w:pPr>
        <w:ind w:left="6828"/>
      </w:pPr>
      <w:rPr>
        <w:rFonts w:ascii="Segoe UI Symbol" w:hAnsi="Segoe UI Symbol" w:eastAsia="Segoe UI Symbol" w:cs="Segoe UI Symbol"/>
        <w:b w:val="0"/>
        <w:i w:val="0"/>
        <w:strike w:val="0"/>
        <w:color w:val="000000"/>
        <w:sz w:val="28"/>
        <w:szCs w:val="28"/>
        <w:u w:val="none"/>
        <w:vertAlign w:val="baseline"/>
      </w:rPr>
    </w:lvl>
  </w:abstractNum>
  <w:abstractNum w:abstractNumId="129">
    <w:multiLevelType w:val="hybridMultilevel"/>
    <w:lvl w:ilvl="0">
      <w:start w:val="1"/>
      <w:numFmt w:val="bullet"/>
      <w:isLgl w:val="false"/>
      <w:suff w:val="tab"/>
      <w:lvlText w:val=""/>
      <w:lvlJc w:val="left"/>
      <w:pPr>
        <w:ind w:left="1287" w:hanging="360"/>
      </w:pPr>
      <w:rPr>
        <w:rFonts w:hint="default" w:ascii="Symbol" w:hAnsi="Symbol"/>
      </w:rPr>
    </w:lvl>
    <w:lvl w:ilvl="1">
      <w:start w:val="1"/>
      <w:numFmt w:val="bullet"/>
      <w:isLgl w:val="false"/>
      <w:suff w:val="tab"/>
      <w:lvlText w:val="o"/>
      <w:lvlJc w:val="left"/>
      <w:pPr>
        <w:ind w:left="2007" w:hanging="360"/>
      </w:pPr>
      <w:rPr>
        <w:rFonts w:hint="default" w:ascii="Courier New" w:hAnsi="Courier New" w:cs="Courier New"/>
      </w:rPr>
    </w:lvl>
    <w:lvl w:ilvl="2">
      <w:start w:val="1"/>
      <w:numFmt w:val="bullet"/>
      <w:isLgl w:val="false"/>
      <w:suff w:val="tab"/>
      <w:lvlText w:val=""/>
      <w:lvlJc w:val="left"/>
      <w:pPr>
        <w:ind w:left="2727" w:hanging="360"/>
      </w:pPr>
      <w:rPr>
        <w:rFonts w:hint="default" w:ascii="Wingdings" w:hAnsi="Wingdings"/>
      </w:rPr>
    </w:lvl>
    <w:lvl w:ilvl="3">
      <w:start w:val="1"/>
      <w:numFmt w:val="bullet"/>
      <w:isLgl w:val="false"/>
      <w:suff w:val="tab"/>
      <w:lvlText w:val=""/>
      <w:lvlJc w:val="left"/>
      <w:pPr>
        <w:ind w:left="3447" w:hanging="360"/>
      </w:pPr>
      <w:rPr>
        <w:rFonts w:hint="default" w:ascii="Symbol" w:hAnsi="Symbol"/>
      </w:rPr>
    </w:lvl>
    <w:lvl w:ilvl="4">
      <w:start w:val="1"/>
      <w:numFmt w:val="bullet"/>
      <w:isLgl w:val="false"/>
      <w:suff w:val="tab"/>
      <w:lvlText w:val="o"/>
      <w:lvlJc w:val="left"/>
      <w:pPr>
        <w:ind w:left="4167" w:hanging="360"/>
      </w:pPr>
      <w:rPr>
        <w:rFonts w:hint="default" w:ascii="Courier New" w:hAnsi="Courier New" w:cs="Courier New"/>
      </w:rPr>
    </w:lvl>
    <w:lvl w:ilvl="5">
      <w:start w:val="1"/>
      <w:numFmt w:val="bullet"/>
      <w:isLgl w:val="false"/>
      <w:suff w:val="tab"/>
      <w:lvlText w:val=""/>
      <w:lvlJc w:val="left"/>
      <w:pPr>
        <w:ind w:left="4887" w:hanging="360"/>
      </w:pPr>
      <w:rPr>
        <w:rFonts w:hint="default" w:ascii="Wingdings" w:hAnsi="Wingdings"/>
      </w:rPr>
    </w:lvl>
    <w:lvl w:ilvl="6">
      <w:start w:val="1"/>
      <w:numFmt w:val="bullet"/>
      <w:isLgl w:val="false"/>
      <w:suff w:val="tab"/>
      <w:lvlText w:val=""/>
      <w:lvlJc w:val="left"/>
      <w:pPr>
        <w:ind w:left="5607" w:hanging="360"/>
      </w:pPr>
      <w:rPr>
        <w:rFonts w:hint="default" w:ascii="Symbol" w:hAnsi="Symbol"/>
      </w:rPr>
    </w:lvl>
    <w:lvl w:ilvl="7">
      <w:start w:val="1"/>
      <w:numFmt w:val="bullet"/>
      <w:isLgl w:val="false"/>
      <w:suff w:val="tab"/>
      <w:lvlText w:val="o"/>
      <w:lvlJc w:val="left"/>
      <w:pPr>
        <w:ind w:left="6327" w:hanging="360"/>
      </w:pPr>
      <w:rPr>
        <w:rFonts w:hint="default" w:ascii="Courier New" w:hAnsi="Courier New" w:cs="Courier New"/>
      </w:rPr>
    </w:lvl>
    <w:lvl w:ilvl="8">
      <w:start w:val="1"/>
      <w:numFmt w:val="bullet"/>
      <w:isLgl w:val="false"/>
      <w:suff w:val="tab"/>
      <w:lvlText w:val=""/>
      <w:lvlJc w:val="left"/>
      <w:pPr>
        <w:ind w:left="7047" w:hanging="360"/>
      </w:pPr>
      <w:rPr>
        <w:rFonts w:hint="default" w:ascii="Wingdings" w:hAnsi="Wingdings"/>
      </w:rPr>
    </w:lvl>
  </w:abstractNum>
  <w:abstractNum w:abstractNumId="130">
    <w:multiLevelType w:val="hybridMultilevel"/>
    <w:lvl w:ilvl="0">
      <w:start w:val="1"/>
      <w:numFmt w:val="bullet"/>
      <w:isLgl w:val="false"/>
      <w:suff w:val="tab"/>
      <w:lvlText w:val=""/>
      <w:lvlJc w:val="left"/>
      <w:pPr>
        <w:ind w:left="1287" w:hanging="360"/>
      </w:pPr>
      <w:rPr>
        <w:rFonts w:hint="default" w:ascii="Symbol" w:hAnsi="Symbol"/>
      </w:rPr>
    </w:lvl>
    <w:lvl w:ilvl="1">
      <w:start w:val="1"/>
      <w:numFmt w:val="bullet"/>
      <w:isLgl w:val="false"/>
      <w:suff w:val="tab"/>
      <w:lvlText w:val="o"/>
      <w:lvlJc w:val="left"/>
      <w:pPr>
        <w:ind w:left="2007" w:hanging="360"/>
      </w:pPr>
      <w:rPr>
        <w:rFonts w:hint="default" w:ascii="Courier New" w:hAnsi="Courier New" w:cs="Courier New"/>
      </w:rPr>
    </w:lvl>
    <w:lvl w:ilvl="2">
      <w:start w:val="1"/>
      <w:numFmt w:val="bullet"/>
      <w:isLgl w:val="false"/>
      <w:suff w:val="tab"/>
      <w:lvlText w:val=""/>
      <w:lvlJc w:val="left"/>
      <w:pPr>
        <w:ind w:left="2727" w:hanging="360"/>
      </w:pPr>
      <w:rPr>
        <w:rFonts w:hint="default" w:ascii="Wingdings" w:hAnsi="Wingdings"/>
      </w:rPr>
    </w:lvl>
    <w:lvl w:ilvl="3">
      <w:start w:val="1"/>
      <w:numFmt w:val="bullet"/>
      <w:isLgl w:val="false"/>
      <w:suff w:val="tab"/>
      <w:lvlText w:val=""/>
      <w:lvlJc w:val="left"/>
      <w:pPr>
        <w:ind w:left="3447" w:hanging="360"/>
      </w:pPr>
      <w:rPr>
        <w:rFonts w:hint="default" w:ascii="Symbol" w:hAnsi="Symbol"/>
      </w:rPr>
    </w:lvl>
    <w:lvl w:ilvl="4">
      <w:start w:val="1"/>
      <w:numFmt w:val="bullet"/>
      <w:isLgl w:val="false"/>
      <w:suff w:val="tab"/>
      <w:lvlText w:val="o"/>
      <w:lvlJc w:val="left"/>
      <w:pPr>
        <w:ind w:left="4167" w:hanging="360"/>
      </w:pPr>
      <w:rPr>
        <w:rFonts w:hint="default" w:ascii="Courier New" w:hAnsi="Courier New" w:cs="Courier New"/>
      </w:rPr>
    </w:lvl>
    <w:lvl w:ilvl="5">
      <w:start w:val="1"/>
      <w:numFmt w:val="bullet"/>
      <w:isLgl w:val="false"/>
      <w:suff w:val="tab"/>
      <w:lvlText w:val=""/>
      <w:lvlJc w:val="left"/>
      <w:pPr>
        <w:ind w:left="4887" w:hanging="360"/>
      </w:pPr>
      <w:rPr>
        <w:rFonts w:hint="default" w:ascii="Wingdings" w:hAnsi="Wingdings"/>
      </w:rPr>
    </w:lvl>
    <w:lvl w:ilvl="6">
      <w:start w:val="1"/>
      <w:numFmt w:val="bullet"/>
      <w:isLgl w:val="false"/>
      <w:suff w:val="tab"/>
      <w:lvlText w:val=""/>
      <w:lvlJc w:val="left"/>
      <w:pPr>
        <w:ind w:left="5607" w:hanging="360"/>
      </w:pPr>
      <w:rPr>
        <w:rFonts w:hint="default" w:ascii="Symbol" w:hAnsi="Symbol"/>
      </w:rPr>
    </w:lvl>
    <w:lvl w:ilvl="7">
      <w:start w:val="1"/>
      <w:numFmt w:val="bullet"/>
      <w:isLgl w:val="false"/>
      <w:suff w:val="tab"/>
      <w:lvlText w:val="o"/>
      <w:lvlJc w:val="left"/>
      <w:pPr>
        <w:ind w:left="6327" w:hanging="360"/>
      </w:pPr>
      <w:rPr>
        <w:rFonts w:hint="default" w:ascii="Courier New" w:hAnsi="Courier New" w:cs="Courier New"/>
      </w:rPr>
    </w:lvl>
    <w:lvl w:ilvl="8">
      <w:start w:val="1"/>
      <w:numFmt w:val="bullet"/>
      <w:isLgl w:val="false"/>
      <w:suff w:val="tab"/>
      <w:lvlText w:val=""/>
      <w:lvlJc w:val="left"/>
      <w:pPr>
        <w:ind w:left="7047" w:hanging="360"/>
      </w:pPr>
      <w:rPr>
        <w:rFonts w:hint="default" w:ascii="Wingdings" w:hAnsi="Wingdings"/>
      </w:rPr>
    </w:lvl>
  </w:abstractNum>
  <w:abstractNum w:abstractNumId="131">
    <w:multiLevelType w:val="hybridMultilevel"/>
    <w:lvl w:ilvl="0">
      <w:start w:val="1"/>
      <w:numFmt w:val="bullet"/>
      <w:isLgl w:val="false"/>
      <w:suff w:val="tab"/>
      <w:lvlText w:val=""/>
      <w:lvlJc w:val="left"/>
      <w:pPr>
        <w:ind w:left="1287" w:hanging="360"/>
      </w:pPr>
      <w:rPr>
        <w:rFonts w:hint="default" w:ascii="Symbol" w:hAnsi="Symbol"/>
      </w:rPr>
    </w:lvl>
    <w:lvl w:ilvl="1">
      <w:start w:val="1"/>
      <w:numFmt w:val="bullet"/>
      <w:isLgl w:val="false"/>
      <w:suff w:val="tab"/>
      <w:lvlText w:val="o"/>
      <w:lvlJc w:val="left"/>
      <w:pPr>
        <w:ind w:left="2007" w:hanging="360"/>
      </w:pPr>
      <w:rPr>
        <w:rFonts w:hint="default" w:ascii="Courier New" w:hAnsi="Courier New" w:cs="Courier New"/>
      </w:rPr>
    </w:lvl>
    <w:lvl w:ilvl="2">
      <w:start w:val="1"/>
      <w:numFmt w:val="bullet"/>
      <w:isLgl w:val="false"/>
      <w:suff w:val="tab"/>
      <w:lvlText w:val=""/>
      <w:lvlJc w:val="left"/>
      <w:pPr>
        <w:ind w:left="2727" w:hanging="360"/>
      </w:pPr>
      <w:rPr>
        <w:rFonts w:hint="default" w:ascii="Wingdings" w:hAnsi="Wingdings"/>
      </w:rPr>
    </w:lvl>
    <w:lvl w:ilvl="3">
      <w:start w:val="1"/>
      <w:numFmt w:val="bullet"/>
      <w:isLgl w:val="false"/>
      <w:suff w:val="tab"/>
      <w:lvlText w:val=""/>
      <w:lvlJc w:val="left"/>
      <w:pPr>
        <w:ind w:left="3447" w:hanging="360"/>
      </w:pPr>
      <w:rPr>
        <w:rFonts w:hint="default" w:ascii="Symbol" w:hAnsi="Symbol"/>
      </w:rPr>
    </w:lvl>
    <w:lvl w:ilvl="4">
      <w:start w:val="1"/>
      <w:numFmt w:val="bullet"/>
      <w:isLgl w:val="false"/>
      <w:suff w:val="tab"/>
      <w:lvlText w:val="o"/>
      <w:lvlJc w:val="left"/>
      <w:pPr>
        <w:ind w:left="4167" w:hanging="360"/>
      </w:pPr>
      <w:rPr>
        <w:rFonts w:hint="default" w:ascii="Courier New" w:hAnsi="Courier New" w:cs="Courier New"/>
      </w:rPr>
    </w:lvl>
    <w:lvl w:ilvl="5">
      <w:start w:val="1"/>
      <w:numFmt w:val="bullet"/>
      <w:isLgl w:val="false"/>
      <w:suff w:val="tab"/>
      <w:lvlText w:val=""/>
      <w:lvlJc w:val="left"/>
      <w:pPr>
        <w:ind w:left="4887" w:hanging="360"/>
      </w:pPr>
      <w:rPr>
        <w:rFonts w:hint="default" w:ascii="Wingdings" w:hAnsi="Wingdings"/>
      </w:rPr>
    </w:lvl>
    <w:lvl w:ilvl="6">
      <w:start w:val="1"/>
      <w:numFmt w:val="bullet"/>
      <w:isLgl w:val="false"/>
      <w:suff w:val="tab"/>
      <w:lvlText w:val=""/>
      <w:lvlJc w:val="left"/>
      <w:pPr>
        <w:ind w:left="5607" w:hanging="360"/>
      </w:pPr>
      <w:rPr>
        <w:rFonts w:hint="default" w:ascii="Symbol" w:hAnsi="Symbol"/>
      </w:rPr>
    </w:lvl>
    <w:lvl w:ilvl="7">
      <w:start w:val="1"/>
      <w:numFmt w:val="bullet"/>
      <w:isLgl w:val="false"/>
      <w:suff w:val="tab"/>
      <w:lvlText w:val="o"/>
      <w:lvlJc w:val="left"/>
      <w:pPr>
        <w:ind w:left="6327" w:hanging="360"/>
      </w:pPr>
      <w:rPr>
        <w:rFonts w:hint="default" w:ascii="Courier New" w:hAnsi="Courier New" w:cs="Courier New"/>
      </w:rPr>
    </w:lvl>
    <w:lvl w:ilvl="8">
      <w:start w:val="1"/>
      <w:numFmt w:val="bullet"/>
      <w:isLgl w:val="false"/>
      <w:suff w:val="tab"/>
      <w:lvlText w:val=""/>
      <w:lvlJc w:val="left"/>
      <w:pPr>
        <w:ind w:left="7047" w:hanging="360"/>
      </w:pPr>
      <w:rPr>
        <w:rFonts w:hint="default" w:ascii="Wingdings" w:hAnsi="Wingdings"/>
      </w:rPr>
    </w:lvl>
  </w:abstractNum>
  <w:abstractNum w:abstractNumId="132">
    <w:multiLevelType w:val="hybridMultilevel"/>
    <w:lvl w:ilvl="0">
      <w:start w:val="1"/>
      <w:numFmt w:val="bullet"/>
      <w:isLgl w:val="false"/>
      <w:suff w:val="tab"/>
      <w:lvlText w:val=""/>
      <w:lvlJc w:val="left"/>
      <w:pPr>
        <w:ind w:left="1428" w:hanging="360"/>
      </w:pPr>
      <w:rPr>
        <w:rFonts w:hint="default" w:ascii="Symbol" w:hAnsi="Symbol"/>
      </w:rPr>
    </w:lvl>
    <w:lvl w:ilvl="1">
      <w:start w:val="1"/>
      <w:numFmt w:val="bullet"/>
      <w:isLgl w:val="false"/>
      <w:suff w:val="tab"/>
      <w:lvlText w:val="o"/>
      <w:lvlJc w:val="left"/>
      <w:pPr>
        <w:ind w:left="2148" w:hanging="360"/>
      </w:pPr>
      <w:rPr>
        <w:rFonts w:hint="default" w:ascii="Courier New" w:hAnsi="Courier New" w:cs="Courier New"/>
      </w:rPr>
    </w:lvl>
    <w:lvl w:ilvl="2">
      <w:start w:val="1"/>
      <w:numFmt w:val="bullet"/>
      <w:isLgl w:val="false"/>
      <w:suff w:val="tab"/>
      <w:lvlText w:val=""/>
      <w:lvlJc w:val="left"/>
      <w:pPr>
        <w:ind w:left="2868" w:hanging="360"/>
      </w:pPr>
      <w:rPr>
        <w:rFonts w:hint="default" w:ascii="Wingdings" w:hAnsi="Wingdings"/>
      </w:rPr>
    </w:lvl>
    <w:lvl w:ilvl="3">
      <w:start w:val="1"/>
      <w:numFmt w:val="bullet"/>
      <w:isLgl w:val="false"/>
      <w:suff w:val="tab"/>
      <w:lvlText w:val=""/>
      <w:lvlJc w:val="left"/>
      <w:pPr>
        <w:ind w:left="3588" w:hanging="360"/>
      </w:pPr>
      <w:rPr>
        <w:rFonts w:hint="default" w:ascii="Symbol" w:hAnsi="Symbol"/>
      </w:rPr>
    </w:lvl>
    <w:lvl w:ilvl="4">
      <w:start w:val="1"/>
      <w:numFmt w:val="bullet"/>
      <w:isLgl w:val="false"/>
      <w:suff w:val="tab"/>
      <w:lvlText w:val="o"/>
      <w:lvlJc w:val="left"/>
      <w:pPr>
        <w:ind w:left="4308" w:hanging="360"/>
      </w:pPr>
      <w:rPr>
        <w:rFonts w:hint="default" w:ascii="Courier New" w:hAnsi="Courier New" w:cs="Courier New"/>
      </w:rPr>
    </w:lvl>
    <w:lvl w:ilvl="5">
      <w:start w:val="1"/>
      <w:numFmt w:val="bullet"/>
      <w:isLgl w:val="false"/>
      <w:suff w:val="tab"/>
      <w:lvlText w:val=""/>
      <w:lvlJc w:val="left"/>
      <w:pPr>
        <w:ind w:left="5028" w:hanging="360"/>
      </w:pPr>
      <w:rPr>
        <w:rFonts w:hint="default" w:ascii="Wingdings" w:hAnsi="Wingdings"/>
      </w:rPr>
    </w:lvl>
    <w:lvl w:ilvl="6">
      <w:start w:val="1"/>
      <w:numFmt w:val="bullet"/>
      <w:isLgl w:val="false"/>
      <w:suff w:val="tab"/>
      <w:lvlText w:val=""/>
      <w:lvlJc w:val="left"/>
      <w:pPr>
        <w:ind w:left="5748" w:hanging="360"/>
      </w:pPr>
      <w:rPr>
        <w:rFonts w:hint="default" w:ascii="Symbol" w:hAnsi="Symbol"/>
      </w:rPr>
    </w:lvl>
    <w:lvl w:ilvl="7">
      <w:start w:val="1"/>
      <w:numFmt w:val="bullet"/>
      <w:isLgl w:val="false"/>
      <w:suff w:val="tab"/>
      <w:lvlText w:val="o"/>
      <w:lvlJc w:val="left"/>
      <w:pPr>
        <w:ind w:left="6468" w:hanging="360"/>
      </w:pPr>
      <w:rPr>
        <w:rFonts w:hint="default" w:ascii="Courier New" w:hAnsi="Courier New" w:cs="Courier New"/>
      </w:rPr>
    </w:lvl>
    <w:lvl w:ilvl="8">
      <w:start w:val="1"/>
      <w:numFmt w:val="bullet"/>
      <w:isLgl w:val="false"/>
      <w:suff w:val="tab"/>
      <w:lvlText w:val=""/>
      <w:lvlJc w:val="left"/>
      <w:pPr>
        <w:ind w:left="7188" w:hanging="360"/>
      </w:pPr>
      <w:rPr>
        <w:rFonts w:hint="default" w:ascii="Wingdings" w:hAnsi="Wingdings"/>
      </w:rPr>
    </w:lvl>
  </w:abstractNum>
  <w:abstractNum w:abstractNumId="133">
    <w:multiLevelType w:val="hybridMultilevel"/>
    <w:lvl w:ilvl="0">
      <w:start w:val="1"/>
      <w:numFmt w:val="bullet"/>
      <w:isLgl w:val="false"/>
      <w:suff w:val="tab"/>
      <w:lvlText w:val=""/>
      <w:lvlJc w:val="left"/>
      <w:pPr>
        <w:ind w:left="1428" w:hanging="360"/>
      </w:pPr>
      <w:rPr>
        <w:rFonts w:hint="default" w:ascii="Symbol" w:hAnsi="Symbol"/>
      </w:rPr>
    </w:lvl>
    <w:lvl w:ilvl="1">
      <w:start w:val="1"/>
      <w:numFmt w:val="bullet"/>
      <w:isLgl w:val="false"/>
      <w:suff w:val="tab"/>
      <w:lvlText w:val="o"/>
      <w:lvlJc w:val="left"/>
      <w:pPr>
        <w:ind w:left="2148" w:hanging="360"/>
      </w:pPr>
      <w:rPr>
        <w:rFonts w:hint="default" w:ascii="Courier New" w:hAnsi="Courier New" w:cs="Courier New"/>
      </w:rPr>
    </w:lvl>
    <w:lvl w:ilvl="2">
      <w:start w:val="1"/>
      <w:numFmt w:val="bullet"/>
      <w:isLgl w:val="false"/>
      <w:suff w:val="tab"/>
      <w:lvlText w:val=""/>
      <w:lvlJc w:val="left"/>
      <w:pPr>
        <w:ind w:left="2868" w:hanging="360"/>
      </w:pPr>
      <w:rPr>
        <w:rFonts w:hint="default" w:ascii="Wingdings" w:hAnsi="Wingdings"/>
      </w:rPr>
    </w:lvl>
    <w:lvl w:ilvl="3">
      <w:start w:val="1"/>
      <w:numFmt w:val="bullet"/>
      <w:isLgl w:val="false"/>
      <w:suff w:val="tab"/>
      <w:lvlText w:val=""/>
      <w:lvlJc w:val="left"/>
      <w:pPr>
        <w:ind w:left="3588" w:hanging="360"/>
      </w:pPr>
      <w:rPr>
        <w:rFonts w:hint="default" w:ascii="Symbol" w:hAnsi="Symbol"/>
      </w:rPr>
    </w:lvl>
    <w:lvl w:ilvl="4">
      <w:start w:val="1"/>
      <w:numFmt w:val="bullet"/>
      <w:isLgl w:val="false"/>
      <w:suff w:val="tab"/>
      <w:lvlText w:val="o"/>
      <w:lvlJc w:val="left"/>
      <w:pPr>
        <w:ind w:left="4308" w:hanging="360"/>
      </w:pPr>
      <w:rPr>
        <w:rFonts w:hint="default" w:ascii="Courier New" w:hAnsi="Courier New" w:cs="Courier New"/>
      </w:rPr>
    </w:lvl>
    <w:lvl w:ilvl="5">
      <w:start w:val="1"/>
      <w:numFmt w:val="bullet"/>
      <w:isLgl w:val="false"/>
      <w:suff w:val="tab"/>
      <w:lvlText w:val=""/>
      <w:lvlJc w:val="left"/>
      <w:pPr>
        <w:ind w:left="5028" w:hanging="360"/>
      </w:pPr>
      <w:rPr>
        <w:rFonts w:hint="default" w:ascii="Wingdings" w:hAnsi="Wingdings"/>
      </w:rPr>
    </w:lvl>
    <w:lvl w:ilvl="6">
      <w:start w:val="1"/>
      <w:numFmt w:val="bullet"/>
      <w:isLgl w:val="false"/>
      <w:suff w:val="tab"/>
      <w:lvlText w:val=""/>
      <w:lvlJc w:val="left"/>
      <w:pPr>
        <w:ind w:left="5748" w:hanging="360"/>
      </w:pPr>
      <w:rPr>
        <w:rFonts w:hint="default" w:ascii="Symbol" w:hAnsi="Symbol"/>
      </w:rPr>
    </w:lvl>
    <w:lvl w:ilvl="7">
      <w:start w:val="1"/>
      <w:numFmt w:val="bullet"/>
      <w:isLgl w:val="false"/>
      <w:suff w:val="tab"/>
      <w:lvlText w:val="o"/>
      <w:lvlJc w:val="left"/>
      <w:pPr>
        <w:ind w:left="6468" w:hanging="360"/>
      </w:pPr>
      <w:rPr>
        <w:rFonts w:hint="default" w:ascii="Courier New" w:hAnsi="Courier New" w:cs="Courier New"/>
      </w:rPr>
    </w:lvl>
    <w:lvl w:ilvl="8">
      <w:start w:val="1"/>
      <w:numFmt w:val="bullet"/>
      <w:isLgl w:val="false"/>
      <w:suff w:val="tab"/>
      <w:lvlText w:val=""/>
      <w:lvlJc w:val="left"/>
      <w:pPr>
        <w:ind w:left="7188" w:hanging="360"/>
      </w:pPr>
      <w:rPr>
        <w:rFonts w:hint="default" w:ascii="Wingdings" w:hAnsi="Wingdings"/>
      </w:rPr>
    </w:lvl>
  </w:abstractNum>
  <w:abstractNum w:abstractNumId="134">
    <w:multiLevelType w:val="hybridMultilevel"/>
    <w:lvl w:ilvl="0">
      <w:start w:val="1"/>
      <w:numFmt w:val="bullet"/>
      <w:isLgl w:val="false"/>
      <w:suff w:val="tab"/>
      <w:lvlText w:val=""/>
      <w:lvlJc w:val="left"/>
      <w:pPr>
        <w:ind w:left="1287" w:hanging="360"/>
      </w:pPr>
      <w:rPr>
        <w:rFonts w:hint="default" w:ascii="Symbol" w:hAnsi="Symbol"/>
      </w:rPr>
    </w:lvl>
    <w:lvl w:ilvl="1">
      <w:start w:val="1"/>
      <w:numFmt w:val="bullet"/>
      <w:isLgl w:val="false"/>
      <w:suff w:val="tab"/>
      <w:lvlText w:val="o"/>
      <w:lvlJc w:val="left"/>
      <w:pPr>
        <w:ind w:left="2007" w:hanging="360"/>
      </w:pPr>
      <w:rPr>
        <w:rFonts w:hint="default" w:ascii="Courier New" w:hAnsi="Courier New" w:cs="Courier New"/>
      </w:rPr>
    </w:lvl>
    <w:lvl w:ilvl="2">
      <w:start w:val="1"/>
      <w:numFmt w:val="bullet"/>
      <w:isLgl w:val="false"/>
      <w:suff w:val="tab"/>
      <w:lvlText w:val=""/>
      <w:lvlJc w:val="left"/>
      <w:pPr>
        <w:ind w:left="2727" w:hanging="360"/>
      </w:pPr>
      <w:rPr>
        <w:rFonts w:hint="default" w:ascii="Wingdings" w:hAnsi="Wingdings"/>
      </w:rPr>
    </w:lvl>
    <w:lvl w:ilvl="3">
      <w:start w:val="1"/>
      <w:numFmt w:val="bullet"/>
      <w:isLgl w:val="false"/>
      <w:suff w:val="tab"/>
      <w:lvlText w:val=""/>
      <w:lvlJc w:val="left"/>
      <w:pPr>
        <w:ind w:left="3447" w:hanging="360"/>
      </w:pPr>
      <w:rPr>
        <w:rFonts w:hint="default" w:ascii="Symbol" w:hAnsi="Symbol"/>
      </w:rPr>
    </w:lvl>
    <w:lvl w:ilvl="4">
      <w:start w:val="1"/>
      <w:numFmt w:val="bullet"/>
      <w:isLgl w:val="false"/>
      <w:suff w:val="tab"/>
      <w:lvlText w:val="o"/>
      <w:lvlJc w:val="left"/>
      <w:pPr>
        <w:ind w:left="4167" w:hanging="360"/>
      </w:pPr>
      <w:rPr>
        <w:rFonts w:hint="default" w:ascii="Courier New" w:hAnsi="Courier New" w:cs="Courier New"/>
      </w:rPr>
    </w:lvl>
    <w:lvl w:ilvl="5">
      <w:start w:val="1"/>
      <w:numFmt w:val="bullet"/>
      <w:isLgl w:val="false"/>
      <w:suff w:val="tab"/>
      <w:lvlText w:val=""/>
      <w:lvlJc w:val="left"/>
      <w:pPr>
        <w:ind w:left="4887" w:hanging="360"/>
      </w:pPr>
      <w:rPr>
        <w:rFonts w:hint="default" w:ascii="Wingdings" w:hAnsi="Wingdings"/>
      </w:rPr>
    </w:lvl>
    <w:lvl w:ilvl="6">
      <w:start w:val="1"/>
      <w:numFmt w:val="bullet"/>
      <w:isLgl w:val="false"/>
      <w:suff w:val="tab"/>
      <w:lvlText w:val=""/>
      <w:lvlJc w:val="left"/>
      <w:pPr>
        <w:ind w:left="5607" w:hanging="360"/>
      </w:pPr>
      <w:rPr>
        <w:rFonts w:hint="default" w:ascii="Symbol" w:hAnsi="Symbol"/>
      </w:rPr>
    </w:lvl>
    <w:lvl w:ilvl="7">
      <w:start w:val="1"/>
      <w:numFmt w:val="bullet"/>
      <w:isLgl w:val="false"/>
      <w:suff w:val="tab"/>
      <w:lvlText w:val="o"/>
      <w:lvlJc w:val="left"/>
      <w:pPr>
        <w:ind w:left="6327" w:hanging="360"/>
      </w:pPr>
      <w:rPr>
        <w:rFonts w:hint="default" w:ascii="Courier New" w:hAnsi="Courier New" w:cs="Courier New"/>
      </w:rPr>
    </w:lvl>
    <w:lvl w:ilvl="8">
      <w:start w:val="1"/>
      <w:numFmt w:val="bullet"/>
      <w:isLgl w:val="false"/>
      <w:suff w:val="tab"/>
      <w:lvlText w:val=""/>
      <w:lvlJc w:val="left"/>
      <w:pPr>
        <w:ind w:left="7047" w:hanging="360"/>
      </w:pPr>
      <w:rPr>
        <w:rFonts w:hint="default" w:ascii="Wingdings" w:hAnsi="Wingdings"/>
      </w:rPr>
    </w:lvl>
  </w:abstractNum>
  <w:abstractNum w:abstractNumId="135">
    <w:multiLevelType w:val="hybridMultilevel"/>
    <w:lvl w:ilvl="0">
      <w:start w:val="1"/>
      <w:numFmt w:val="bullet"/>
      <w:isLgl w:val="false"/>
      <w:suff w:val="tab"/>
      <w:lvlText w:val=""/>
      <w:lvlJc w:val="left"/>
      <w:pPr>
        <w:ind w:left="1287" w:hanging="360"/>
      </w:pPr>
      <w:rPr>
        <w:rFonts w:hint="default" w:ascii="Symbol" w:hAnsi="Symbol"/>
      </w:rPr>
    </w:lvl>
    <w:lvl w:ilvl="1">
      <w:start w:val="1"/>
      <w:numFmt w:val="bullet"/>
      <w:isLgl w:val="false"/>
      <w:suff w:val="tab"/>
      <w:lvlText w:val="o"/>
      <w:lvlJc w:val="left"/>
      <w:pPr>
        <w:ind w:left="2007" w:hanging="360"/>
      </w:pPr>
      <w:rPr>
        <w:rFonts w:hint="default" w:ascii="Courier New" w:hAnsi="Courier New" w:cs="Courier New"/>
      </w:rPr>
    </w:lvl>
    <w:lvl w:ilvl="2">
      <w:start w:val="1"/>
      <w:numFmt w:val="bullet"/>
      <w:isLgl w:val="false"/>
      <w:suff w:val="tab"/>
      <w:lvlText w:val=""/>
      <w:lvlJc w:val="left"/>
      <w:pPr>
        <w:ind w:left="2727" w:hanging="360"/>
      </w:pPr>
      <w:rPr>
        <w:rFonts w:hint="default" w:ascii="Wingdings" w:hAnsi="Wingdings"/>
      </w:rPr>
    </w:lvl>
    <w:lvl w:ilvl="3">
      <w:start w:val="1"/>
      <w:numFmt w:val="bullet"/>
      <w:isLgl w:val="false"/>
      <w:suff w:val="tab"/>
      <w:lvlText w:val=""/>
      <w:lvlJc w:val="left"/>
      <w:pPr>
        <w:ind w:left="3447" w:hanging="360"/>
      </w:pPr>
      <w:rPr>
        <w:rFonts w:hint="default" w:ascii="Symbol" w:hAnsi="Symbol"/>
      </w:rPr>
    </w:lvl>
    <w:lvl w:ilvl="4">
      <w:start w:val="1"/>
      <w:numFmt w:val="bullet"/>
      <w:isLgl w:val="false"/>
      <w:suff w:val="tab"/>
      <w:lvlText w:val="o"/>
      <w:lvlJc w:val="left"/>
      <w:pPr>
        <w:ind w:left="4167" w:hanging="360"/>
      </w:pPr>
      <w:rPr>
        <w:rFonts w:hint="default" w:ascii="Courier New" w:hAnsi="Courier New" w:cs="Courier New"/>
      </w:rPr>
    </w:lvl>
    <w:lvl w:ilvl="5">
      <w:start w:val="1"/>
      <w:numFmt w:val="bullet"/>
      <w:isLgl w:val="false"/>
      <w:suff w:val="tab"/>
      <w:lvlText w:val=""/>
      <w:lvlJc w:val="left"/>
      <w:pPr>
        <w:ind w:left="4887" w:hanging="360"/>
      </w:pPr>
      <w:rPr>
        <w:rFonts w:hint="default" w:ascii="Wingdings" w:hAnsi="Wingdings"/>
      </w:rPr>
    </w:lvl>
    <w:lvl w:ilvl="6">
      <w:start w:val="1"/>
      <w:numFmt w:val="bullet"/>
      <w:isLgl w:val="false"/>
      <w:suff w:val="tab"/>
      <w:lvlText w:val=""/>
      <w:lvlJc w:val="left"/>
      <w:pPr>
        <w:ind w:left="5607" w:hanging="360"/>
      </w:pPr>
      <w:rPr>
        <w:rFonts w:hint="default" w:ascii="Symbol" w:hAnsi="Symbol"/>
      </w:rPr>
    </w:lvl>
    <w:lvl w:ilvl="7">
      <w:start w:val="1"/>
      <w:numFmt w:val="bullet"/>
      <w:isLgl w:val="false"/>
      <w:suff w:val="tab"/>
      <w:lvlText w:val="o"/>
      <w:lvlJc w:val="left"/>
      <w:pPr>
        <w:ind w:left="6327" w:hanging="360"/>
      </w:pPr>
      <w:rPr>
        <w:rFonts w:hint="default" w:ascii="Courier New" w:hAnsi="Courier New" w:cs="Courier New"/>
      </w:rPr>
    </w:lvl>
    <w:lvl w:ilvl="8">
      <w:start w:val="1"/>
      <w:numFmt w:val="bullet"/>
      <w:isLgl w:val="false"/>
      <w:suff w:val="tab"/>
      <w:lvlText w:val=""/>
      <w:lvlJc w:val="left"/>
      <w:pPr>
        <w:ind w:left="7047" w:hanging="360"/>
      </w:pPr>
      <w:rPr>
        <w:rFonts w:hint="default" w:ascii="Wingdings" w:hAnsi="Wingdings"/>
      </w:rPr>
    </w:lvl>
  </w:abstractNum>
  <w:abstractNum w:abstractNumId="136">
    <w:multiLevelType w:val="hybridMultilevel"/>
    <w:lvl w:ilvl="0">
      <w:start w:val="1"/>
      <w:numFmt w:val="bullet"/>
      <w:isLgl w:val="false"/>
      <w:suff w:val="tab"/>
      <w:lvlText w:val=""/>
      <w:lvlJc w:val="left"/>
      <w:pPr>
        <w:ind w:left="1287" w:hanging="360"/>
      </w:pPr>
      <w:rPr>
        <w:rFonts w:hint="default" w:ascii="Symbol" w:hAnsi="Symbol"/>
      </w:rPr>
    </w:lvl>
    <w:lvl w:ilvl="1">
      <w:start w:val="1"/>
      <w:numFmt w:val="bullet"/>
      <w:isLgl w:val="false"/>
      <w:suff w:val="tab"/>
      <w:lvlText w:val="o"/>
      <w:lvlJc w:val="left"/>
      <w:pPr>
        <w:ind w:left="2007" w:hanging="360"/>
      </w:pPr>
      <w:rPr>
        <w:rFonts w:hint="default" w:ascii="Courier New" w:hAnsi="Courier New" w:cs="Courier New"/>
      </w:rPr>
    </w:lvl>
    <w:lvl w:ilvl="2">
      <w:start w:val="1"/>
      <w:numFmt w:val="bullet"/>
      <w:isLgl w:val="false"/>
      <w:suff w:val="tab"/>
      <w:lvlText w:val=""/>
      <w:lvlJc w:val="left"/>
      <w:pPr>
        <w:ind w:left="2727" w:hanging="360"/>
      </w:pPr>
      <w:rPr>
        <w:rFonts w:hint="default" w:ascii="Wingdings" w:hAnsi="Wingdings"/>
      </w:rPr>
    </w:lvl>
    <w:lvl w:ilvl="3">
      <w:start w:val="1"/>
      <w:numFmt w:val="bullet"/>
      <w:isLgl w:val="false"/>
      <w:suff w:val="tab"/>
      <w:lvlText w:val=""/>
      <w:lvlJc w:val="left"/>
      <w:pPr>
        <w:ind w:left="3447" w:hanging="360"/>
      </w:pPr>
      <w:rPr>
        <w:rFonts w:hint="default" w:ascii="Symbol" w:hAnsi="Symbol"/>
      </w:rPr>
    </w:lvl>
    <w:lvl w:ilvl="4">
      <w:start w:val="1"/>
      <w:numFmt w:val="bullet"/>
      <w:isLgl w:val="false"/>
      <w:suff w:val="tab"/>
      <w:lvlText w:val="o"/>
      <w:lvlJc w:val="left"/>
      <w:pPr>
        <w:ind w:left="4167" w:hanging="360"/>
      </w:pPr>
      <w:rPr>
        <w:rFonts w:hint="default" w:ascii="Courier New" w:hAnsi="Courier New" w:cs="Courier New"/>
      </w:rPr>
    </w:lvl>
    <w:lvl w:ilvl="5">
      <w:start w:val="1"/>
      <w:numFmt w:val="bullet"/>
      <w:isLgl w:val="false"/>
      <w:suff w:val="tab"/>
      <w:lvlText w:val=""/>
      <w:lvlJc w:val="left"/>
      <w:pPr>
        <w:ind w:left="4887" w:hanging="360"/>
      </w:pPr>
      <w:rPr>
        <w:rFonts w:hint="default" w:ascii="Wingdings" w:hAnsi="Wingdings"/>
      </w:rPr>
    </w:lvl>
    <w:lvl w:ilvl="6">
      <w:start w:val="1"/>
      <w:numFmt w:val="bullet"/>
      <w:isLgl w:val="false"/>
      <w:suff w:val="tab"/>
      <w:lvlText w:val=""/>
      <w:lvlJc w:val="left"/>
      <w:pPr>
        <w:ind w:left="5607" w:hanging="360"/>
      </w:pPr>
      <w:rPr>
        <w:rFonts w:hint="default" w:ascii="Symbol" w:hAnsi="Symbol"/>
      </w:rPr>
    </w:lvl>
    <w:lvl w:ilvl="7">
      <w:start w:val="1"/>
      <w:numFmt w:val="bullet"/>
      <w:isLgl w:val="false"/>
      <w:suff w:val="tab"/>
      <w:lvlText w:val="o"/>
      <w:lvlJc w:val="left"/>
      <w:pPr>
        <w:ind w:left="6327" w:hanging="360"/>
      </w:pPr>
      <w:rPr>
        <w:rFonts w:hint="default" w:ascii="Courier New" w:hAnsi="Courier New" w:cs="Courier New"/>
      </w:rPr>
    </w:lvl>
    <w:lvl w:ilvl="8">
      <w:start w:val="1"/>
      <w:numFmt w:val="bullet"/>
      <w:isLgl w:val="false"/>
      <w:suff w:val="tab"/>
      <w:lvlText w:val=""/>
      <w:lvlJc w:val="left"/>
      <w:pPr>
        <w:ind w:left="7047" w:hanging="360"/>
      </w:pPr>
      <w:rPr>
        <w:rFonts w:hint="default" w:ascii="Wingdings" w:hAnsi="Wingdings"/>
      </w:rPr>
    </w:lvl>
  </w:abstractNum>
  <w:abstractNum w:abstractNumId="137">
    <w:multiLevelType w:val="hybridMultilevel"/>
    <w:lvl w:ilvl="0">
      <w:start w:val="1"/>
      <w:numFmt w:val="bullet"/>
      <w:isLgl w:val="false"/>
      <w:suff w:val="tab"/>
      <w:lvlText w:val=""/>
      <w:lvlJc w:val="left"/>
      <w:pPr>
        <w:ind w:left="1287" w:hanging="360"/>
      </w:pPr>
      <w:rPr>
        <w:rFonts w:hint="default" w:ascii="Symbol" w:hAnsi="Symbol"/>
      </w:rPr>
    </w:lvl>
    <w:lvl w:ilvl="1">
      <w:start w:val="1"/>
      <w:numFmt w:val="bullet"/>
      <w:isLgl w:val="false"/>
      <w:suff w:val="tab"/>
      <w:lvlText w:val="o"/>
      <w:lvlJc w:val="left"/>
      <w:pPr>
        <w:ind w:left="2007" w:hanging="360"/>
      </w:pPr>
      <w:rPr>
        <w:rFonts w:hint="default" w:ascii="Courier New" w:hAnsi="Courier New" w:cs="Courier New"/>
      </w:rPr>
    </w:lvl>
    <w:lvl w:ilvl="2">
      <w:start w:val="1"/>
      <w:numFmt w:val="bullet"/>
      <w:isLgl w:val="false"/>
      <w:suff w:val="tab"/>
      <w:lvlText w:val=""/>
      <w:lvlJc w:val="left"/>
      <w:pPr>
        <w:ind w:left="2727" w:hanging="360"/>
      </w:pPr>
      <w:rPr>
        <w:rFonts w:hint="default" w:ascii="Wingdings" w:hAnsi="Wingdings"/>
      </w:rPr>
    </w:lvl>
    <w:lvl w:ilvl="3">
      <w:start w:val="1"/>
      <w:numFmt w:val="bullet"/>
      <w:isLgl w:val="false"/>
      <w:suff w:val="tab"/>
      <w:lvlText w:val=""/>
      <w:lvlJc w:val="left"/>
      <w:pPr>
        <w:ind w:left="3447" w:hanging="360"/>
      </w:pPr>
      <w:rPr>
        <w:rFonts w:hint="default" w:ascii="Symbol" w:hAnsi="Symbol"/>
      </w:rPr>
    </w:lvl>
    <w:lvl w:ilvl="4">
      <w:start w:val="1"/>
      <w:numFmt w:val="bullet"/>
      <w:isLgl w:val="false"/>
      <w:suff w:val="tab"/>
      <w:lvlText w:val="o"/>
      <w:lvlJc w:val="left"/>
      <w:pPr>
        <w:ind w:left="4167" w:hanging="360"/>
      </w:pPr>
      <w:rPr>
        <w:rFonts w:hint="default" w:ascii="Courier New" w:hAnsi="Courier New" w:cs="Courier New"/>
      </w:rPr>
    </w:lvl>
    <w:lvl w:ilvl="5">
      <w:start w:val="1"/>
      <w:numFmt w:val="bullet"/>
      <w:isLgl w:val="false"/>
      <w:suff w:val="tab"/>
      <w:lvlText w:val=""/>
      <w:lvlJc w:val="left"/>
      <w:pPr>
        <w:ind w:left="4887" w:hanging="360"/>
      </w:pPr>
      <w:rPr>
        <w:rFonts w:hint="default" w:ascii="Wingdings" w:hAnsi="Wingdings"/>
      </w:rPr>
    </w:lvl>
    <w:lvl w:ilvl="6">
      <w:start w:val="1"/>
      <w:numFmt w:val="bullet"/>
      <w:isLgl w:val="false"/>
      <w:suff w:val="tab"/>
      <w:lvlText w:val=""/>
      <w:lvlJc w:val="left"/>
      <w:pPr>
        <w:ind w:left="5607" w:hanging="360"/>
      </w:pPr>
      <w:rPr>
        <w:rFonts w:hint="default" w:ascii="Symbol" w:hAnsi="Symbol"/>
      </w:rPr>
    </w:lvl>
    <w:lvl w:ilvl="7">
      <w:start w:val="1"/>
      <w:numFmt w:val="bullet"/>
      <w:isLgl w:val="false"/>
      <w:suff w:val="tab"/>
      <w:lvlText w:val="o"/>
      <w:lvlJc w:val="left"/>
      <w:pPr>
        <w:ind w:left="6327" w:hanging="360"/>
      </w:pPr>
      <w:rPr>
        <w:rFonts w:hint="default" w:ascii="Courier New" w:hAnsi="Courier New" w:cs="Courier New"/>
      </w:rPr>
    </w:lvl>
    <w:lvl w:ilvl="8">
      <w:start w:val="1"/>
      <w:numFmt w:val="bullet"/>
      <w:isLgl w:val="false"/>
      <w:suff w:val="tab"/>
      <w:lvlText w:val=""/>
      <w:lvlJc w:val="left"/>
      <w:pPr>
        <w:ind w:left="7047" w:hanging="360"/>
      </w:pPr>
      <w:rPr>
        <w:rFonts w:hint="default" w:ascii="Wingdings" w:hAnsi="Wingdings"/>
      </w:rPr>
    </w:lvl>
  </w:abstractNum>
  <w:abstractNum w:abstractNumId="138">
    <w:multiLevelType w:val="hybridMultilevel"/>
    <w:lvl w:ilvl="0">
      <w:start w:val="1"/>
      <w:numFmt w:val="bullet"/>
      <w:isLgl w:val="false"/>
      <w:suff w:val="tab"/>
      <w:lvlText w:val=""/>
      <w:lvlJc w:val="left"/>
      <w:pPr>
        <w:ind w:left="720" w:hanging="360"/>
      </w:pPr>
      <w:rPr>
        <w:rFonts w:hint="default" w:ascii="Symbol" w:hAnsi="Symbol"/>
      </w:rPr>
    </w:lvl>
    <w:lvl w:ilvl="1">
      <w:start w:val="1"/>
      <w:numFmt w:val="bullet"/>
      <w:isLgl w:val="false"/>
      <w:suff w:val="tab"/>
      <w:lvlText w:val="o"/>
      <w:lvlJc w:val="left"/>
      <w:pPr>
        <w:ind w:left="1440" w:hanging="360"/>
      </w:pPr>
      <w:rPr>
        <w:rFonts w:hint="default" w:ascii="Courier New" w:hAnsi="Courier New" w:cs="Courier New"/>
      </w:rPr>
    </w:lvl>
    <w:lvl w:ilvl="2">
      <w:start w:val="1"/>
      <w:numFmt w:val="bullet"/>
      <w:isLgl w:val="false"/>
      <w:suff w:val="tab"/>
      <w:lvlText w:val=""/>
      <w:lvlJc w:val="left"/>
      <w:pPr>
        <w:ind w:left="2160" w:hanging="360"/>
      </w:pPr>
      <w:rPr>
        <w:rFonts w:hint="default" w:ascii="Wingdings" w:hAnsi="Wingdings"/>
      </w:rPr>
    </w:lvl>
    <w:lvl w:ilvl="3">
      <w:start w:val="1"/>
      <w:numFmt w:val="bullet"/>
      <w:isLgl w:val="false"/>
      <w:suff w:val="tab"/>
      <w:lvlText w:val=""/>
      <w:lvlJc w:val="left"/>
      <w:pPr>
        <w:ind w:left="2880" w:hanging="360"/>
      </w:pPr>
      <w:rPr>
        <w:rFonts w:hint="default" w:ascii="Symbol" w:hAnsi="Symbol"/>
      </w:rPr>
    </w:lvl>
    <w:lvl w:ilvl="4">
      <w:start w:val="1"/>
      <w:numFmt w:val="bullet"/>
      <w:isLgl w:val="false"/>
      <w:suff w:val="tab"/>
      <w:lvlText w:val="o"/>
      <w:lvlJc w:val="left"/>
      <w:pPr>
        <w:ind w:left="3600" w:hanging="360"/>
      </w:pPr>
      <w:rPr>
        <w:rFonts w:hint="default" w:ascii="Courier New" w:hAnsi="Courier New" w:cs="Courier New"/>
      </w:rPr>
    </w:lvl>
    <w:lvl w:ilvl="5">
      <w:start w:val="1"/>
      <w:numFmt w:val="bullet"/>
      <w:isLgl w:val="false"/>
      <w:suff w:val="tab"/>
      <w:lvlText w:val=""/>
      <w:lvlJc w:val="left"/>
      <w:pPr>
        <w:ind w:left="4320" w:hanging="360"/>
      </w:pPr>
      <w:rPr>
        <w:rFonts w:hint="default" w:ascii="Wingdings" w:hAnsi="Wingdings"/>
      </w:rPr>
    </w:lvl>
    <w:lvl w:ilvl="6">
      <w:start w:val="1"/>
      <w:numFmt w:val="bullet"/>
      <w:isLgl w:val="false"/>
      <w:suff w:val="tab"/>
      <w:lvlText w:val=""/>
      <w:lvlJc w:val="left"/>
      <w:pPr>
        <w:ind w:left="5040" w:hanging="360"/>
      </w:pPr>
      <w:rPr>
        <w:rFonts w:hint="default" w:ascii="Symbol" w:hAnsi="Symbol"/>
      </w:rPr>
    </w:lvl>
    <w:lvl w:ilvl="7">
      <w:start w:val="1"/>
      <w:numFmt w:val="bullet"/>
      <w:isLgl w:val="false"/>
      <w:suff w:val="tab"/>
      <w:lvlText w:val="o"/>
      <w:lvlJc w:val="left"/>
      <w:pPr>
        <w:ind w:left="5760" w:hanging="360"/>
      </w:pPr>
      <w:rPr>
        <w:rFonts w:hint="default" w:ascii="Courier New" w:hAnsi="Courier New" w:cs="Courier New"/>
      </w:rPr>
    </w:lvl>
    <w:lvl w:ilvl="8">
      <w:start w:val="1"/>
      <w:numFmt w:val="bullet"/>
      <w:isLgl w:val="false"/>
      <w:suff w:val="tab"/>
      <w:lvlText w:val=""/>
      <w:lvlJc w:val="left"/>
      <w:pPr>
        <w:ind w:left="6480" w:hanging="360"/>
      </w:pPr>
      <w:rPr>
        <w:rFonts w:hint="default" w:ascii="Wingdings" w:hAnsi="Wingdings"/>
      </w:rPr>
    </w:lvl>
  </w:abstractNum>
  <w:abstractNum w:abstractNumId="139">
    <w:multiLevelType w:val="hybridMultilevel"/>
    <w:lvl w:ilvl="0">
      <w:start w:val="1"/>
      <w:numFmt w:val="bullet"/>
      <w:isLgl w:val="false"/>
      <w:suff w:val="tab"/>
      <w:lvlText w:val=""/>
      <w:lvlJc w:val="left"/>
      <w:pPr>
        <w:ind w:left="720" w:hanging="360"/>
      </w:pPr>
      <w:rPr>
        <w:rFonts w:hint="default" w:ascii="Symbol" w:hAnsi="Symbol"/>
      </w:rPr>
    </w:lvl>
    <w:lvl w:ilvl="1">
      <w:start w:val="1"/>
      <w:numFmt w:val="bullet"/>
      <w:isLgl w:val="false"/>
      <w:suff w:val="tab"/>
      <w:lvlText w:val="o"/>
      <w:lvlJc w:val="left"/>
      <w:pPr>
        <w:ind w:left="1440" w:hanging="360"/>
      </w:pPr>
      <w:rPr>
        <w:rFonts w:hint="default" w:ascii="Courier New" w:hAnsi="Courier New" w:cs="Courier New"/>
      </w:rPr>
    </w:lvl>
    <w:lvl w:ilvl="2">
      <w:start w:val="1"/>
      <w:numFmt w:val="bullet"/>
      <w:isLgl w:val="false"/>
      <w:suff w:val="tab"/>
      <w:lvlText w:val=""/>
      <w:lvlJc w:val="left"/>
      <w:pPr>
        <w:ind w:left="2160" w:hanging="360"/>
      </w:pPr>
      <w:rPr>
        <w:rFonts w:hint="default" w:ascii="Wingdings" w:hAnsi="Wingdings"/>
      </w:rPr>
    </w:lvl>
    <w:lvl w:ilvl="3">
      <w:start w:val="1"/>
      <w:numFmt w:val="bullet"/>
      <w:isLgl w:val="false"/>
      <w:suff w:val="tab"/>
      <w:lvlText w:val=""/>
      <w:lvlJc w:val="left"/>
      <w:pPr>
        <w:ind w:left="2880" w:hanging="360"/>
      </w:pPr>
      <w:rPr>
        <w:rFonts w:hint="default" w:ascii="Symbol" w:hAnsi="Symbol"/>
      </w:rPr>
    </w:lvl>
    <w:lvl w:ilvl="4">
      <w:start w:val="1"/>
      <w:numFmt w:val="bullet"/>
      <w:isLgl w:val="false"/>
      <w:suff w:val="tab"/>
      <w:lvlText w:val="o"/>
      <w:lvlJc w:val="left"/>
      <w:pPr>
        <w:ind w:left="3600" w:hanging="360"/>
      </w:pPr>
      <w:rPr>
        <w:rFonts w:hint="default" w:ascii="Courier New" w:hAnsi="Courier New" w:cs="Courier New"/>
      </w:rPr>
    </w:lvl>
    <w:lvl w:ilvl="5">
      <w:start w:val="1"/>
      <w:numFmt w:val="bullet"/>
      <w:isLgl w:val="false"/>
      <w:suff w:val="tab"/>
      <w:lvlText w:val=""/>
      <w:lvlJc w:val="left"/>
      <w:pPr>
        <w:ind w:left="4320" w:hanging="360"/>
      </w:pPr>
      <w:rPr>
        <w:rFonts w:hint="default" w:ascii="Wingdings" w:hAnsi="Wingdings"/>
      </w:rPr>
    </w:lvl>
    <w:lvl w:ilvl="6">
      <w:start w:val="1"/>
      <w:numFmt w:val="bullet"/>
      <w:isLgl w:val="false"/>
      <w:suff w:val="tab"/>
      <w:lvlText w:val=""/>
      <w:lvlJc w:val="left"/>
      <w:pPr>
        <w:ind w:left="5040" w:hanging="360"/>
      </w:pPr>
      <w:rPr>
        <w:rFonts w:hint="default" w:ascii="Symbol" w:hAnsi="Symbol"/>
      </w:rPr>
    </w:lvl>
    <w:lvl w:ilvl="7">
      <w:start w:val="1"/>
      <w:numFmt w:val="bullet"/>
      <w:isLgl w:val="false"/>
      <w:suff w:val="tab"/>
      <w:lvlText w:val="o"/>
      <w:lvlJc w:val="left"/>
      <w:pPr>
        <w:ind w:left="5760" w:hanging="360"/>
      </w:pPr>
      <w:rPr>
        <w:rFonts w:hint="default" w:ascii="Courier New" w:hAnsi="Courier New" w:cs="Courier New"/>
      </w:rPr>
    </w:lvl>
    <w:lvl w:ilvl="8">
      <w:start w:val="1"/>
      <w:numFmt w:val="bullet"/>
      <w:isLgl w:val="false"/>
      <w:suff w:val="tab"/>
      <w:lvlText w:val=""/>
      <w:lvlJc w:val="left"/>
      <w:pPr>
        <w:ind w:left="6480" w:hanging="360"/>
      </w:pPr>
      <w:rPr>
        <w:rFonts w:hint="default" w:ascii="Wingdings" w:hAnsi="Wingdings"/>
      </w:rPr>
    </w:lvl>
  </w:abstractNum>
  <w:abstractNum w:abstractNumId="140">
    <w:multiLevelType w:val="hybridMultilevel"/>
    <w:lvl w:ilvl="0">
      <w:start w:val="1"/>
      <w:numFmt w:val="bullet"/>
      <w:isLgl w:val="false"/>
      <w:suff w:val="tab"/>
      <w:lvlText w:val=""/>
      <w:lvlJc w:val="left"/>
      <w:pPr>
        <w:ind w:left="720" w:hanging="360"/>
      </w:pPr>
      <w:rPr>
        <w:rFonts w:hint="default" w:ascii="Symbol" w:hAnsi="Symbol"/>
      </w:rPr>
    </w:lvl>
    <w:lvl w:ilvl="1">
      <w:start w:val="1"/>
      <w:numFmt w:val="bullet"/>
      <w:isLgl w:val="false"/>
      <w:suff w:val="tab"/>
      <w:lvlText w:val="o"/>
      <w:lvlJc w:val="left"/>
      <w:pPr>
        <w:ind w:left="1440" w:hanging="360"/>
      </w:pPr>
      <w:rPr>
        <w:rFonts w:hint="default" w:ascii="Courier New" w:hAnsi="Courier New" w:cs="Courier New"/>
      </w:rPr>
    </w:lvl>
    <w:lvl w:ilvl="2">
      <w:start w:val="1"/>
      <w:numFmt w:val="bullet"/>
      <w:isLgl w:val="false"/>
      <w:suff w:val="tab"/>
      <w:lvlText w:val=""/>
      <w:lvlJc w:val="left"/>
      <w:pPr>
        <w:ind w:left="2160" w:hanging="360"/>
      </w:pPr>
      <w:rPr>
        <w:rFonts w:hint="default" w:ascii="Wingdings" w:hAnsi="Wingdings"/>
      </w:rPr>
    </w:lvl>
    <w:lvl w:ilvl="3">
      <w:start w:val="1"/>
      <w:numFmt w:val="bullet"/>
      <w:isLgl w:val="false"/>
      <w:suff w:val="tab"/>
      <w:lvlText w:val=""/>
      <w:lvlJc w:val="left"/>
      <w:pPr>
        <w:ind w:left="2880" w:hanging="360"/>
      </w:pPr>
      <w:rPr>
        <w:rFonts w:hint="default" w:ascii="Symbol" w:hAnsi="Symbol"/>
      </w:rPr>
    </w:lvl>
    <w:lvl w:ilvl="4">
      <w:start w:val="1"/>
      <w:numFmt w:val="bullet"/>
      <w:isLgl w:val="false"/>
      <w:suff w:val="tab"/>
      <w:lvlText w:val="o"/>
      <w:lvlJc w:val="left"/>
      <w:pPr>
        <w:ind w:left="3600" w:hanging="360"/>
      </w:pPr>
      <w:rPr>
        <w:rFonts w:hint="default" w:ascii="Courier New" w:hAnsi="Courier New" w:cs="Courier New"/>
      </w:rPr>
    </w:lvl>
    <w:lvl w:ilvl="5">
      <w:start w:val="1"/>
      <w:numFmt w:val="bullet"/>
      <w:isLgl w:val="false"/>
      <w:suff w:val="tab"/>
      <w:lvlText w:val=""/>
      <w:lvlJc w:val="left"/>
      <w:pPr>
        <w:ind w:left="4320" w:hanging="360"/>
      </w:pPr>
      <w:rPr>
        <w:rFonts w:hint="default" w:ascii="Wingdings" w:hAnsi="Wingdings"/>
      </w:rPr>
    </w:lvl>
    <w:lvl w:ilvl="6">
      <w:start w:val="1"/>
      <w:numFmt w:val="bullet"/>
      <w:isLgl w:val="false"/>
      <w:suff w:val="tab"/>
      <w:lvlText w:val=""/>
      <w:lvlJc w:val="left"/>
      <w:pPr>
        <w:ind w:left="5040" w:hanging="360"/>
      </w:pPr>
      <w:rPr>
        <w:rFonts w:hint="default" w:ascii="Symbol" w:hAnsi="Symbol"/>
      </w:rPr>
    </w:lvl>
    <w:lvl w:ilvl="7">
      <w:start w:val="1"/>
      <w:numFmt w:val="bullet"/>
      <w:isLgl w:val="false"/>
      <w:suff w:val="tab"/>
      <w:lvlText w:val="o"/>
      <w:lvlJc w:val="left"/>
      <w:pPr>
        <w:ind w:left="5760" w:hanging="360"/>
      </w:pPr>
      <w:rPr>
        <w:rFonts w:hint="default" w:ascii="Courier New" w:hAnsi="Courier New" w:cs="Courier New"/>
      </w:rPr>
    </w:lvl>
    <w:lvl w:ilvl="8">
      <w:start w:val="1"/>
      <w:numFmt w:val="bullet"/>
      <w:isLgl w:val="false"/>
      <w:suff w:val="tab"/>
      <w:lvlText w:val=""/>
      <w:lvlJc w:val="left"/>
      <w:pPr>
        <w:ind w:left="6480" w:hanging="360"/>
      </w:pPr>
      <w:rPr>
        <w:rFonts w:hint="default" w:ascii="Wingdings" w:hAnsi="Wingdings"/>
      </w:rPr>
    </w:lvl>
  </w:abstractNum>
  <w:abstractNum w:abstractNumId="141">
    <w:multiLevelType w:val="hybridMultilevel"/>
    <w:lvl w:ilvl="0">
      <w:start w:val="1"/>
      <w:numFmt w:val="bullet"/>
      <w:isLgl w:val="false"/>
      <w:suff w:val="tab"/>
      <w:lvlText w:val=""/>
      <w:lvlJc w:val="left"/>
      <w:pPr>
        <w:ind w:left="720" w:hanging="360"/>
      </w:pPr>
      <w:rPr>
        <w:rFonts w:hint="default" w:ascii="Symbol" w:hAnsi="Symbol"/>
      </w:rPr>
    </w:lvl>
    <w:lvl w:ilvl="1">
      <w:start w:val="1"/>
      <w:numFmt w:val="bullet"/>
      <w:isLgl w:val="false"/>
      <w:suff w:val="tab"/>
      <w:lvlText w:val="o"/>
      <w:lvlJc w:val="left"/>
      <w:pPr>
        <w:ind w:left="1440" w:hanging="360"/>
      </w:pPr>
      <w:rPr>
        <w:rFonts w:hint="default" w:ascii="Courier New" w:hAnsi="Courier New" w:cs="Courier New"/>
      </w:rPr>
    </w:lvl>
    <w:lvl w:ilvl="2">
      <w:start w:val="1"/>
      <w:numFmt w:val="bullet"/>
      <w:isLgl w:val="false"/>
      <w:suff w:val="tab"/>
      <w:lvlText w:val=""/>
      <w:lvlJc w:val="left"/>
      <w:pPr>
        <w:ind w:left="2160" w:hanging="360"/>
      </w:pPr>
      <w:rPr>
        <w:rFonts w:hint="default" w:ascii="Wingdings" w:hAnsi="Wingdings"/>
      </w:rPr>
    </w:lvl>
    <w:lvl w:ilvl="3">
      <w:start w:val="1"/>
      <w:numFmt w:val="bullet"/>
      <w:isLgl w:val="false"/>
      <w:suff w:val="tab"/>
      <w:lvlText w:val=""/>
      <w:lvlJc w:val="left"/>
      <w:pPr>
        <w:ind w:left="2880" w:hanging="360"/>
      </w:pPr>
      <w:rPr>
        <w:rFonts w:hint="default" w:ascii="Symbol" w:hAnsi="Symbol"/>
      </w:rPr>
    </w:lvl>
    <w:lvl w:ilvl="4">
      <w:start w:val="1"/>
      <w:numFmt w:val="bullet"/>
      <w:isLgl w:val="false"/>
      <w:suff w:val="tab"/>
      <w:lvlText w:val="o"/>
      <w:lvlJc w:val="left"/>
      <w:pPr>
        <w:ind w:left="3600" w:hanging="360"/>
      </w:pPr>
      <w:rPr>
        <w:rFonts w:hint="default" w:ascii="Courier New" w:hAnsi="Courier New" w:cs="Courier New"/>
      </w:rPr>
    </w:lvl>
    <w:lvl w:ilvl="5">
      <w:start w:val="1"/>
      <w:numFmt w:val="bullet"/>
      <w:isLgl w:val="false"/>
      <w:suff w:val="tab"/>
      <w:lvlText w:val=""/>
      <w:lvlJc w:val="left"/>
      <w:pPr>
        <w:ind w:left="4320" w:hanging="360"/>
      </w:pPr>
      <w:rPr>
        <w:rFonts w:hint="default" w:ascii="Wingdings" w:hAnsi="Wingdings"/>
      </w:rPr>
    </w:lvl>
    <w:lvl w:ilvl="6">
      <w:start w:val="1"/>
      <w:numFmt w:val="bullet"/>
      <w:isLgl w:val="false"/>
      <w:suff w:val="tab"/>
      <w:lvlText w:val=""/>
      <w:lvlJc w:val="left"/>
      <w:pPr>
        <w:ind w:left="5040" w:hanging="360"/>
      </w:pPr>
      <w:rPr>
        <w:rFonts w:hint="default" w:ascii="Symbol" w:hAnsi="Symbol"/>
      </w:rPr>
    </w:lvl>
    <w:lvl w:ilvl="7">
      <w:start w:val="1"/>
      <w:numFmt w:val="bullet"/>
      <w:isLgl w:val="false"/>
      <w:suff w:val="tab"/>
      <w:lvlText w:val="o"/>
      <w:lvlJc w:val="left"/>
      <w:pPr>
        <w:ind w:left="5760" w:hanging="360"/>
      </w:pPr>
      <w:rPr>
        <w:rFonts w:hint="default" w:ascii="Courier New" w:hAnsi="Courier New" w:cs="Courier New"/>
      </w:rPr>
    </w:lvl>
    <w:lvl w:ilvl="8">
      <w:start w:val="1"/>
      <w:numFmt w:val="bullet"/>
      <w:isLgl w:val="false"/>
      <w:suff w:val="tab"/>
      <w:lvlText w:val=""/>
      <w:lvlJc w:val="left"/>
      <w:pPr>
        <w:ind w:left="6480" w:hanging="360"/>
      </w:pPr>
      <w:rPr>
        <w:rFonts w:hint="default" w:ascii="Wingdings" w:hAnsi="Wingdings"/>
      </w:rPr>
    </w:lvl>
  </w:abstractNum>
  <w:abstractNum w:abstractNumId="142">
    <w:multiLevelType w:val="hybridMultilevel"/>
    <w:lvl w:ilvl="0">
      <w:start w:val="1"/>
      <w:numFmt w:val="bullet"/>
      <w:isLgl w:val="false"/>
      <w:suff w:val="tab"/>
      <w:lvlText w:val=""/>
      <w:lvlJc w:val="left"/>
      <w:pPr>
        <w:ind w:left="720" w:hanging="360"/>
      </w:pPr>
      <w:rPr>
        <w:rFonts w:hint="default" w:ascii="Symbol" w:hAnsi="Symbol"/>
      </w:rPr>
    </w:lvl>
    <w:lvl w:ilvl="1">
      <w:start w:val="1"/>
      <w:numFmt w:val="bullet"/>
      <w:isLgl w:val="false"/>
      <w:suff w:val="tab"/>
      <w:lvlText w:val="o"/>
      <w:lvlJc w:val="left"/>
      <w:pPr>
        <w:ind w:left="1440" w:hanging="360"/>
      </w:pPr>
      <w:rPr>
        <w:rFonts w:hint="default" w:ascii="Courier New" w:hAnsi="Courier New" w:cs="Courier New"/>
      </w:rPr>
    </w:lvl>
    <w:lvl w:ilvl="2">
      <w:start w:val="1"/>
      <w:numFmt w:val="bullet"/>
      <w:isLgl w:val="false"/>
      <w:suff w:val="tab"/>
      <w:lvlText w:val=""/>
      <w:lvlJc w:val="left"/>
      <w:pPr>
        <w:ind w:left="2160" w:hanging="360"/>
      </w:pPr>
      <w:rPr>
        <w:rFonts w:hint="default" w:ascii="Wingdings" w:hAnsi="Wingdings"/>
      </w:rPr>
    </w:lvl>
    <w:lvl w:ilvl="3">
      <w:start w:val="1"/>
      <w:numFmt w:val="bullet"/>
      <w:isLgl w:val="false"/>
      <w:suff w:val="tab"/>
      <w:lvlText w:val=""/>
      <w:lvlJc w:val="left"/>
      <w:pPr>
        <w:ind w:left="2880" w:hanging="360"/>
      </w:pPr>
      <w:rPr>
        <w:rFonts w:hint="default" w:ascii="Symbol" w:hAnsi="Symbol"/>
      </w:rPr>
    </w:lvl>
    <w:lvl w:ilvl="4">
      <w:start w:val="1"/>
      <w:numFmt w:val="bullet"/>
      <w:isLgl w:val="false"/>
      <w:suff w:val="tab"/>
      <w:lvlText w:val="o"/>
      <w:lvlJc w:val="left"/>
      <w:pPr>
        <w:ind w:left="3600" w:hanging="360"/>
      </w:pPr>
      <w:rPr>
        <w:rFonts w:hint="default" w:ascii="Courier New" w:hAnsi="Courier New" w:cs="Courier New"/>
      </w:rPr>
    </w:lvl>
    <w:lvl w:ilvl="5">
      <w:start w:val="1"/>
      <w:numFmt w:val="bullet"/>
      <w:isLgl w:val="false"/>
      <w:suff w:val="tab"/>
      <w:lvlText w:val=""/>
      <w:lvlJc w:val="left"/>
      <w:pPr>
        <w:ind w:left="4320" w:hanging="360"/>
      </w:pPr>
      <w:rPr>
        <w:rFonts w:hint="default" w:ascii="Wingdings" w:hAnsi="Wingdings"/>
      </w:rPr>
    </w:lvl>
    <w:lvl w:ilvl="6">
      <w:start w:val="1"/>
      <w:numFmt w:val="bullet"/>
      <w:isLgl w:val="false"/>
      <w:suff w:val="tab"/>
      <w:lvlText w:val=""/>
      <w:lvlJc w:val="left"/>
      <w:pPr>
        <w:ind w:left="5040" w:hanging="360"/>
      </w:pPr>
      <w:rPr>
        <w:rFonts w:hint="default" w:ascii="Symbol" w:hAnsi="Symbol"/>
      </w:rPr>
    </w:lvl>
    <w:lvl w:ilvl="7">
      <w:start w:val="1"/>
      <w:numFmt w:val="bullet"/>
      <w:isLgl w:val="false"/>
      <w:suff w:val="tab"/>
      <w:lvlText w:val="o"/>
      <w:lvlJc w:val="left"/>
      <w:pPr>
        <w:ind w:left="5760" w:hanging="360"/>
      </w:pPr>
      <w:rPr>
        <w:rFonts w:hint="default" w:ascii="Courier New" w:hAnsi="Courier New" w:cs="Courier New"/>
      </w:rPr>
    </w:lvl>
    <w:lvl w:ilvl="8">
      <w:start w:val="1"/>
      <w:numFmt w:val="bullet"/>
      <w:isLgl w:val="false"/>
      <w:suff w:val="tab"/>
      <w:lvlText w:val=""/>
      <w:lvlJc w:val="left"/>
      <w:pPr>
        <w:ind w:left="6480" w:hanging="360"/>
      </w:pPr>
      <w:rPr>
        <w:rFonts w:hint="default" w:ascii="Wingdings" w:hAnsi="Wingdings"/>
      </w:rPr>
    </w:lvl>
  </w:abstractNum>
  <w:abstractNum w:abstractNumId="143">
    <w:multiLevelType w:val="hybridMultilevel"/>
    <w:lvl w:ilvl="0">
      <w:start w:val="1"/>
      <w:numFmt w:val="bullet"/>
      <w:isLgl w:val="false"/>
      <w:suff w:val="tab"/>
      <w:lvlText w:val=""/>
      <w:lvlJc w:val="left"/>
      <w:pPr>
        <w:ind w:left="1287" w:hanging="360"/>
      </w:pPr>
      <w:rPr>
        <w:rFonts w:hint="default" w:ascii="Symbol" w:hAnsi="Symbol"/>
      </w:rPr>
    </w:lvl>
    <w:lvl w:ilvl="1">
      <w:start w:val="1"/>
      <w:numFmt w:val="bullet"/>
      <w:isLgl w:val="false"/>
      <w:suff w:val="tab"/>
      <w:lvlText w:val="o"/>
      <w:lvlJc w:val="left"/>
      <w:pPr>
        <w:ind w:left="2007" w:hanging="360"/>
      </w:pPr>
      <w:rPr>
        <w:rFonts w:hint="default" w:ascii="Courier New" w:hAnsi="Courier New" w:cs="Courier New"/>
      </w:rPr>
    </w:lvl>
    <w:lvl w:ilvl="2">
      <w:start w:val="1"/>
      <w:numFmt w:val="bullet"/>
      <w:isLgl w:val="false"/>
      <w:suff w:val="tab"/>
      <w:lvlText w:val=""/>
      <w:lvlJc w:val="left"/>
      <w:pPr>
        <w:ind w:left="2727" w:hanging="360"/>
      </w:pPr>
      <w:rPr>
        <w:rFonts w:hint="default" w:ascii="Wingdings" w:hAnsi="Wingdings"/>
      </w:rPr>
    </w:lvl>
    <w:lvl w:ilvl="3">
      <w:start w:val="1"/>
      <w:numFmt w:val="bullet"/>
      <w:isLgl w:val="false"/>
      <w:suff w:val="tab"/>
      <w:lvlText w:val=""/>
      <w:lvlJc w:val="left"/>
      <w:pPr>
        <w:ind w:left="3447" w:hanging="360"/>
      </w:pPr>
      <w:rPr>
        <w:rFonts w:hint="default" w:ascii="Symbol" w:hAnsi="Symbol"/>
      </w:rPr>
    </w:lvl>
    <w:lvl w:ilvl="4">
      <w:start w:val="1"/>
      <w:numFmt w:val="bullet"/>
      <w:isLgl w:val="false"/>
      <w:suff w:val="tab"/>
      <w:lvlText w:val="o"/>
      <w:lvlJc w:val="left"/>
      <w:pPr>
        <w:ind w:left="4167" w:hanging="360"/>
      </w:pPr>
      <w:rPr>
        <w:rFonts w:hint="default" w:ascii="Courier New" w:hAnsi="Courier New" w:cs="Courier New"/>
      </w:rPr>
    </w:lvl>
    <w:lvl w:ilvl="5">
      <w:start w:val="1"/>
      <w:numFmt w:val="bullet"/>
      <w:isLgl w:val="false"/>
      <w:suff w:val="tab"/>
      <w:lvlText w:val=""/>
      <w:lvlJc w:val="left"/>
      <w:pPr>
        <w:ind w:left="4887" w:hanging="360"/>
      </w:pPr>
      <w:rPr>
        <w:rFonts w:hint="default" w:ascii="Wingdings" w:hAnsi="Wingdings"/>
      </w:rPr>
    </w:lvl>
    <w:lvl w:ilvl="6">
      <w:start w:val="1"/>
      <w:numFmt w:val="bullet"/>
      <w:isLgl w:val="false"/>
      <w:suff w:val="tab"/>
      <w:lvlText w:val=""/>
      <w:lvlJc w:val="left"/>
      <w:pPr>
        <w:ind w:left="5607" w:hanging="360"/>
      </w:pPr>
      <w:rPr>
        <w:rFonts w:hint="default" w:ascii="Symbol" w:hAnsi="Symbol"/>
      </w:rPr>
    </w:lvl>
    <w:lvl w:ilvl="7">
      <w:start w:val="1"/>
      <w:numFmt w:val="bullet"/>
      <w:isLgl w:val="false"/>
      <w:suff w:val="tab"/>
      <w:lvlText w:val="o"/>
      <w:lvlJc w:val="left"/>
      <w:pPr>
        <w:ind w:left="6327" w:hanging="360"/>
      </w:pPr>
      <w:rPr>
        <w:rFonts w:hint="default" w:ascii="Courier New" w:hAnsi="Courier New" w:cs="Courier New"/>
      </w:rPr>
    </w:lvl>
    <w:lvl w:ilvl="8">
      <w:start w:val="1"/>
      <w:numFmt w:val="bullet"/>
      <w:isLgl w:val="false"/>
      <w:suff w:val="tab"/>
      <w:lvlText w:val=""/>
      <w:lvlJc w:val="left"/>
      <w:pPr>
        <w:ind w:left="7047" w:hanging="360"/>
      </w:pPr>
      <w:rPr>
        <w:rFonts w:hint="default" w:ascii="Wingdings" w:hAnsi="Wingdings"/>
      </w:rPr>
    </w:lvl>
  </w:abstractNum>
  <w:abstractNum w:abstractNumId="144">
    <w:multiLevelType w:val="hybridMultilevel"/>
    <w:lvl w:ilvl="0">
      <w:start w:val="1"/>
      <w:numFmt w:val="bullet"/>
      <w:isLgl w:val="false"/>
      <w:suff w:val="tab"/>
      <w:lvlText w:val=""/>
      <w:lvlJc w:val="left"/>
      <w:pPr>
        <w:ind w:left="1287" w:hanging="360"/>
      </w:pPr>
      <w:rPr>
        <w:rFonts w:hint="default" w:ascii="Symbol" w:hAnsi="Symbol"/>
      </w:rPr>
    </w:lvl>
    <w:lvl w:ilvl="1">
      <w:start w:val="1"/>
      <w:numFmt w:val="bullet"/>
      <w:isLgl w:val="false"/>
      <w:suff w:val="tab"/>
      <w:lvlText w:val="o"/>
      <w:lvlJc w:val="left"/>
      <w:pPr>
        <w:ind w:left="2007" w:hanging="360"/>
      </w:pPr>
      <w:rPr>
        <w:rFonts w:hint="default" w:ascii="Courier New" w:hAnsi="Courier New" w:cs="Courier New"/>
      </w:rPr>
    </w:lvl>
    <w:lvl w:ilvl="2">
      <w:start w:val="1"/>
      <w:numFmt w:val="bullet"/>
      <w:isLgl w:val="false"/>
      <w:suff w:val="tab"/>
      <w:lvlText w:val=""/>
      <w:lvlJc w:val="left"/>
      <w:pPr>
        <w:ind w:left="2727" w:hanging="360"/>
      </w:pPr>
      <w:rPr>
        <w:rFonts w:hint="default" w:ascii="Wingdings" w:hAnsi="Wingdings"/>
      </w:rPr>
    </w:lvl>
    <w:lvl w:ilvl="3">
      <w:start w:val="1"/>
      <w:numFmt w:val="bullet"/>
      <w:isLgl w:val="false"/>
      <w:suff w:val="tab"/>
      <w:lvlText w:val=""/>
      <w:lvlJc w:val="left"/>
      <w:pPr>
        <w:ind w:left="3447" w:hanging="360"/>
      </w:pPr>
      <w:rPr>
        <w:rFonts w:hint="default" w:ascii="Symbol" w:hAnsi="Symbol"/>
      </w:rPr>
    </w:lvl>
    <w:lvl w:ilvl="4">
      <w:start w:val="1"/>
      <w:numFmt w:val="bullet"/>
      <w:isLgl w:val="false"/>
      <w:suff w:val="tab"/>
      <w:lvlText w:val="o"/>
      <w:lvlJc w:val="left"/>
      <w:pPr>
        <w:ind w:left="4167" w:hanging="360"/>
      </w:pPr>
      <w:rPr>
        <w:rFonts w:hint="default" w:ascii="Courier New" w:hAnsi="Courier New" w:cs="Courier New"/>
      </w:rPr>
    </w:lvl>
    <w:lvl w:ilvl="5">
      <w:start w:val="1"/>
      <w:numFmt w:val="bullet"/>
      <w:isLgl w:val="false"/>
      <w:suff w:val="tab"/>
      <w:lvlText w:val=""/>
      <w:lvlJc w:val="left"/>
      <w:pPr>
        <w:ind w:left="4887" w:hanging="360"/>
      </w:pPr>
      <w:rPr>
        <w:rFonts w:hint="default" w:ascii="Wingdings" w:hAnsi="Wingdings"/>
      </w:rPr>
    </w:lvl>
    <w:lvl w:ilvl="6">
      <w:start w:val="1"/>
      <w:numFmt w:val="bullet"/>
      <w:isLgl w:val="false"/>
      <w:suff w:val="tab"/>
      <w:lvlText w:val=""/>
      <w:lvlJc w:val="left"/>
      <w:pPr>
        <w:ind w:left="5607" w:hanging="360"/>
      </w:pPr>
      <w:rPr>
        <w:rFonts w:hint="default" w:ascii="Symbol" w:hAnsi="Symbol"/>
      </w:rPr>
    </w:lvl>
    <w:lvl w:ilvl="7">
      <w:start w:val="1"/>
      <w:numFmt w:val="bullet"/>
      <w:isLgl w:val="false"/>
      <w:suff w:val="tab"/>
      <w:lvlText w:val="o"/>
      <w:lvlJc w:val="left"/>
      <w:pPr>
        <w:ind w:left="6327" w:hanging="360"/>
      </w:pPr>
      <w:rPr>
        <w:rFonts w:hint="default" w:ascii="Courier New" w:hAnsi="Courier New" w:cs="Courier New"/>
      </w:rPr>
    </w:lvl>
    <w:lvl w:ilvl="8">
      <w:start w:val="1"/>
      <w:numFmt w:val="bullet"/>
      <w:isLgl w:val="false"/>
      <w:suff w:val="tab"/>
      <w:lvlText w:val=""/>
      <w:lvlJc w:val="left"/>
      <w:pPr>
        <w:ind w:left="7047" w:hanging="360"/>
      </w:pPr>
      <w:rPr>
        <w:rFonts w:hint="default" w:ascii="Wingdings" w:hAnsi="Wingdings"/>
      </w:rPr>
    </w:lvl>
  </w:abstractNum>
  <w:abstractNum w:abstractNumId="145">
    <w:multiLevelType w:val="hybridMultilevel"/>
    <w:lvl w:ilvl="0">
      <w:start w:val="1"/>
      <w:numFmt w:val="bullet"/>
      <w:isLgl w:val="false"/>
      <w:suff w:val="tab"/>
      <w:lvlText w:val=""/>
      <w:lvlJc w:val="left"/>
      <w:pPr>
        <w:ind w:left="1287" w:hanging="360"/>
      </w:pPr>
      <w:rPr>
        <w:rFonts w:hint="default" w:ascii="Symbol" w:hAnsi="Symbol"/>
      </w:rPr>
    </w:lvl>
    <w:lvl w:ilvl="1">
      <w:start w:val="1"/>
      <w:numFmt w:val="bullet"/>
      <w:isLgl w:val="false"/>
      <w:suff w:val="tab"/>
      <w:lvlText w:val="o"/>
      <w:lvlJc w:val="left"/>
      <w:pPr>
        <w:ind w:left="2007" w:hanging="360"/>
      </w:pPr>
      <w:rPr>
        <w:rFonts w:hint="default" w:ascii="Courier New" w:hAnsi="Courier New" w:cs="Courier New"/>
      </w:rPr>
    </w:lvl>
    <w:lvl w:ilvl="2">
      <w:start w:val="1"/>
      <w:numFmt w:val="bullet"/>
      <w:isLgl w:val="false"/>
      <w:suff w:val="tab"/>
      <w:lvlText w:val=""/>
      <w:lvlJc w:val="left"/>
      <w:pPr>
        <w:ind w:left="2727" w:hanging="360"/>
      </w:pPr>
      <w:rPr>
        <w:rFonts w:hint="default" w:ascii="Wingdings" w:hAnsi="Wingdings"/>
      </w:rPr>
    </w:lvl>
    <w:lvl w:ilvl="3">
      <w:start w:val="1"/>
      <w:numFmt w:val="bullet"/>
      <w:isLgl w:val="false"/>
      <w:suff w:val="tab"/>
      <w:lvlText w:val=""/>
      <w:lvlJc w:val="left"/>
      <w:pPr>
        <w:ind w:left="3447" w:hanging="360"/>
      </w:pPr>
      <w:rPr>
        <w:rFonts w:hint="default" w:ascii="Symbol" w:hAnsi="Symbol"/>
      </w:rPr>
    </w:lvl>
    <w:lvl w:ilvl="4">
      <w:start w:val="1"/>
      <w:numFmt w:val="bullet"/>
      <w:isLgl w:val="false"/>
      <w:suff w:val="tab"/>
      <w:lvlText w:val="o"/>
      <w:lvlJc w:val="left"/>
      <w:pPr>
        <w:ind w:left="4167" w:hanging="360"/>
      </w:pPr>
      <w:rPr>
        <w:rFonts w:hint="default" w:ascii="Courier New" w:hAnsi="Courier New" w:cs="Courier New"/>
      </w:rPr>
    </w:lvl>
    <w:lvl w:ilvl="5">
      <w:start w:val="1"/>
      <w:numFmt w:val="bullet"/>
      <w:isLgl w:val="false"/>
      <w:suff w:val="tab"/>
      <w:lvlText w:val=""/>
      <w:lvlJc w:val="left"/>
      <w:pPr>
        <w:ind w:left="4887" w:hanging="360"/>
      </w:pPr>
      <w:rPr>
        <w:rFonts w:hint="default" w:ascii="Wingdings" w:hAnsi="Wingdings"/>
      </w:rPr>
    </w:lvl>
    <w:lvl w:ilvl="6">
      <w:start w:val="1"/>
      <w:numFmt w:val="bullet"/>
      <w:isLgl w:val="false"/>
      <w:suff w:val="tab"/>
      <w:lvlText w:val=""/>
      <w:lvlJc w:val="left"/>
      <w:pPr>
        <w:ind w:left="5607" w:hanging="360"/>
      </w:pPr>
      <w:rPr>
        <w:rFonts w:hint="default" w:ascii="Symbol" w:hAnsi="Symbol"/>
      </w:rPr>
    </w:lvl>
    <w:lvl w:ilvl="7">
      <w:start w:val="1"/>
      <w:numFmt w:val="bullet"/>
      <w:isLgl w:val="false"/>
      <w:suff w:val="tab"/>
      <w:lvlText w:val="o"/>
      <w:lvlJc w:val="left"/>
      <w:pPr>
        <w:ind w:left="6327" w:hanging="360"/>
      </w:pPr>
      <w:rPr>
        <w:rFonts w:hint="default" w:ascii="Courier New" w:hAnsi="Courier New" w:cs="Courier New"/>
      </w:rPr>
    </w:lvl>
    <w:lvl w:ilvl="8">
      <w:start w:val="1"/>
      <w:numFmt w:val="bullet"/>
      <w:isLgl w:val="false"/>
      <w:suff w:val="tab"/>
      <w:lvlText w:val=""/>
      <w:lvlJc w:val="left"/>
      <w:pPr>
        <w:ind w:left="7047" w:hanging="360"/>
      </w:pPr>
      <w:rPr>
        <w:rFonts w:hint="default" w:ascii="Wingdings" w:hAnsi="Wingdings"/>
      </w:rPr>
    </w:lvl>
  </w:abstractNum>
  <w:abstractNum w:abstractNumId="146">
    <w:multiLevelType w:val="hybridMultilevel"/>
    <w:lvl w:ilvl="0">
      <w:start w:val="1"/>
      <w:numFmt w:val="bullet"/>
      <w:isLgl w:val="false"/>
      <w:suff w:val="tab"/>
      <w:lvlText w:val=""/>
      <w:lvlJc w:val="left"/>
      <w:pPr>
        <w:ind w:left="1287" w:hanging="360"/>
      </w:pPr>
      <w:rPr>
        <w:rFonts w:hint="default" w:ascii="Symbol" w:hAnsi="Symbol"/>
      </w:rPr>
    </w:lvl>
    <w:lvl w:ilvl="1">
      <w:start w:val="1"/>
      <w:numFmt w:val="bullet"/>
      <w:isLgl w:val="false"/>
      <w:suff w:val="tab"/>
      <w:lvlText w:val="o"/>
      <w:lvlJc w:val="left"/>
      <w:pPr>
        <w:ind w:left="2007" w:hanging="360"/>
      </w:pPr>
      <w:rPr>
        <w:rFonts w:hint="default" w:ascii="Courier New" w:hAnsi="Courier New" w:cs="Courier New"/>
      </w:rPr>
    </w:lvl>
    <w:lvl w:ilvl="2">
      <w:start w:val="1"/>
      <w:numFmt w:val="bullet"/>
      <w:isLgl w:val="false"/>
      <w:suff w:val="tab"/>
      <w:lvlText w:val=""/>
      <w:lvlJc w:val="left"/>
      <w:pPr>
        <w:ind w:left="2727" w:hanging="360"/>
      </w:pPr>
      <w:rPr>
        <w:rFonts w:hint="default" w:ascii="Wingdings" w:hAnsi="Wingdings"/>
      </w:rPr>
    </w:lvl>
    <w:lvl w:ilvl="3">
      <w:start w:val="1"/>
      <w:numFmt w:val="bullet"/>
      <w:isLgl w:val="false"/>
      <w:suff w:val="tab"/>
      <w:lvlText w:val=""/>
      <w:lvlJc w:val="left"/>
      <w:pPr>
        <w:ind w:left="3447" w:hanging="360"/>
      </w:pPr>
      <w:rPr>
        <w:rFonts w:hint="default" w:ascii="Symbol" w:hAnsi="Symbol"/>
      </w:rPr>
    </w:lvl>
    <w:lvl w:ilvl="4">
      <w:start w:val="1"/>
      <w:numFmt w:val="bullet"/>
      <w:isLgl w:val="false"/>
      <w:suff w:val="tab"/>
      <w:lvlText w:val="o"/>
      <w:lvlJc w:val="left"/>
      <w:pPr>
        <w:ind w:left="4167" w:hanging="360"/>
      </w:pPr>
      <w:rPr>
        <w:rFonts w:hint="default" w:ascii="Courier New" w:hAnsi="Courier New" w:cs="Courier New"/>
      </w:rPr>
    </w:lvl>
    <w:lvl w:ilvl="5">
      <w:start w:val="1"/>
      <w:numFmt w:val="bullet"/>
      <w:isLgl w:val="false"/>
      <w:suff w:val="tab"/>
      <w:lvlText w:val=""/>
      <w:lvlJc w:val="left"/>
      <w:pPr>
        <w:ind w:left="4887" w:hanging="360"/>
      </w:pPr>
      <w:rPr>
        <w:rFonts w:hint="default" w:ascii="Wingdings" w:hAnsi="Wingdings"/>
      </w:rPr>
    </w:lvl>
    <w:lvl w:ilvl="6">
      <w:start w:val="1"/>
      <w:numFmt w:val="bullet"/>
      <w:isLgl w:val="false"/>
      <w:suff w:val="tab"/>
      <w:lvlText w:val=""/>
      <w:lvlJc w:val="left"/>
      <w:pPr>
        <w:ind w:left="5607" w:hanging="360"/>
      </w:pPr>
      <w:rPr>
        <w:rFonts w:hint="default" w:ascii="Symbol" w:hAnsi="Symbol"/>
      </w:rPr>
    </w:lvl>
    <w:lvl w:ilvl="7">
      <w:start w:val="1"/>
      <w:numFmt w:val="bullet"/>
      <w:isLgl w:val="false"/>
      <w:suff w:val="tab"/>
      <w:lvlText w:val="o"/>
      <w:lvlJc w:val="left"/>
      <w:pPr>
        <w:ind w:left="6327" w:hanging="360"/>
      </w:pPr>
      <w:rPr>
        <w:rFonts w:hint="default" w:ascii="Courier New" w:hAnsi="Courier New" w:cs="Courier New"/>
      </w:rPr>
    </w:lvl>
    <w:lvl w:ilvl="8">
      <w:start w:val="1"/>
      <w:numFmt w:val="bullet"/>
      <w:isLgl w:val="false"/>
      <w:suff w:val="tab"/>
      <w:lvlText w:val=""/>
      <w:lvlJc w:val="left"/>
      <w:pPr>
        <w:ind w:left="7047" w:hanging="360"/>
      </w:pPr>
      <w:rPr>
        <w:rFonts w:hint="default" w:ascii="Wingdings" w:hAnsi="Wingdings"/>
      </w:rPr>
    </w:lvl>
  </w:abstractNum>
  <w:abstractNum w:abstractNumId="147">
    <w:multiLevelType w:val="hybridMultilevel"/>
    <w:lvl w:ilvl="0">
      <w:start w:val="1"/>
      <w:numFmt w:val="bullet"/>
      <w:isLgl w:val="false"/>
      <w:suff w:val="tab"/>
      <w:lvlText w:val=""/>
      <w:lvlJc w:val="left"/>
      <w:pPr>
        <w:ind w:left="1287" w:hanging="360"/>
      </w:pPr>
      <w:rPr>
        <w:rFonts w:hint="default" w:ascii="Symbol" w:hAnsi="Symbol"/>
      </w:rPr>
    </w:lvl>
    <w:lvl w:ilvl="1">
      <w:start w:val="1"/>
      <w:numFmt w:val="bullet"/>
      <w:isLgl w:val="false"/>
      <w:suff w:val="tab"/>
      <w:lvlText w:val="o"/>
      <w:lvlJc w:val="left"/>
      <w:pPr>
        <w:ind w:left="2007" w:hanging="360"/>
      </w:pPr>
      <w:rPr>
        <w:rFonts w:hint="default" w:ascii="Courier New" w:hAnsi="Courier New" w:cs="Courier New"/>
      </w:rPr>
    </w:lvl>
    <w:lvl w:ilvl="2">
      <w:start w:val="1"/>
      <w:numFmt w:val="bullet"/>
      <w:isLgl w:val="false"/>
      <w:suff w:val="tab"/>
      <w:lvlText w:val=""/>
      <w:lvlJc w:val="left"/>
      <w:pPr>
        <w:ind w:left="2727" w:hanging="360"/>
      </w:pPr>
      <w:rPr>
        <w:rFonts w:hint="default" w:ascii="Wingdings" w:hAnsi="Wingdings"/>
      </w:rPr>
    </w:lvl>
    <w:lvl w:ilvl="3">
      <w:start w:val="1"/>
      <w:numFmt w:val="bullet"/>
      <w:isLgl w:val="false"/>
      <w:suff w:val="tab"/>
      <w:lvlText w:val=""/>
      <w:lvlJc w:val="left"/>
      <w:pPr>
        <w:ind w:left="3447" w:hanging="360"/>
      </w:pPr>
      <w:rPr>
        <w:rFonts w:hint="default" w:ascii="Symbol" w:hAnsi="Symbol"/>
      </w:rPr>
    </w:lvl>
    <w:lvl w:ilvl="4">
      <w:start w:val="1"/>
      <w:numFmt w:val="bullet"/>
      <w:isLgl w:val="false"/>
      <w:suff w:val="tab"/>
      <w:lvlText w:val="o"/>
      <w:lvlJc w:val="left"/>
      <w:pPr>
        <w:ind w:left="4167" w:hanging="360"/>
      </w:pPr>
      <w:rPr>
        <w:rFonts w:hint="default" w:ascii="Courier New" w:hAnsi="Courier New" w:cs="Courier New"/>
      </w:rPr>
    </w:lvl>
    <w:lvl w:ilvl="5">
      <w:start w:val="1"/>
      <w:numFmt w:val="bullet"/>
      <w:isLgl w:val="false"/>
      <w:suff w:val="tab"/>
      <w:lvlText w:val=""/>
      <w:lvlJc w:val="left"/>
      <w:pPr>
        <w:ind w:left="4887" w:hanging="360"/>
      </w:pPr>
      <w:rPr>
        <w:rFonts w:hint="default" w:ascii="Wingdings" w:hAnsi="Wingdings"/>
      </w:rPr>
    </w:lvl>
    <w:lvl w:ilvl="6">
      <w:start w:val="1"/>
      <w:numFmt w:val="bullet"/>
      <w:isLgl w:val="false"/>
      <w:suff w:val="tab"/>
      <w:lvlText w:val=""/>
      <w:lvlJc w:val="left"/>
      <w:pPr>
        <w:ind w:left="5607" w:hanging="360"/>
      </w:pPr>
      <w:rPr>
        <w:rFonts w:hint="default" w:ascii="Symbol" w:hAnsi="Symbol"/>
      </w:rPr>
    </w:lvl>
    <w:lvl w:ilvl="7">
      <w:start w:val="1"/>
      <w:numFmt w:val="bullet"/>
      <w:isLgl w:val="false"/>
      <w:suff w:val="tab"/>
      <w:lvlText w:val="o"/>
      <w:lvlJc w:val="left"/>
      <w:pPr>
        <w:ind w:left="6327" w:hanging="360"/>
      </w:pPr>
      <w:rPr>
        <w:rFonts w:hint="default" w:ascii="Courier New" w:hAnsi="Courier New" w:cs="Courier New"/>
      </w:rPr>
    </w:lvl>
    <w:lvl w:ilvl="8">
      <w:start w:val="1"/>
      <w:numFmt w:val="bullet"/>
      <w:isLgl w:val="false"/>
      <w:suff w:val="tab"/>
      <w:lvlText w:val=""/>
      <w:lvlJc w:val="left"/>
      <w:pPr>
        <w:ind w:left="7047" w:hanging="360"/>
      </w:pPr>
      <w:rPr>
        <w:rFonts w:hint="default" w:ascii="Wingdings" w:hAnsi="Wingdings"/>
      </w:rPr>
    </w:lvl>
  </w:abstractNum>
  <w:abstractNum w:abstractNumId="148">
    <w:multiLevelType w:val="hybridMultilevel"/>
    <w:lvl w:ilvl="0">
      <w:start w:val="1"/>
      <w:numFmt w:val="bullet"/>
      <w:isLgl w:val="false"/>
      <w:suff w:val="tab"/>
      <w:lvlText w:val=""/>
      <w:lvlJc w:val="left"/>
      <w:pPr>
        <w:ind w:left="1287" w:hanging="360"/>
      </w:pPr>
      <w:rPr>
        <w:rFonts w:hint="default" w:ascii="Symbol" w:hAnsi="Symbol"/>
      </w:rPr>
    </w:lvl>
    <w:lvl w:ilvl="1">
      <w:start w:val="1"/>
      <w:numFmt w:val="bullet"/>
      <w:isLgl w:val="false"/>
      <w:suff w:val="tab"/>
      <w:lvlText w:val="o"/>
      <w:lvlJc w:val="left"/>
      <w:pPr>
        <w:ind w:left="2007" w:hanging="360"/>
      </w:pPr>
      <w:rPr>
        <w:rFonts w:hint="default" w:ascii="Courier New" w:hAnsi="Courier New" w:cs="Courier New"/>
      </w:rPr>
    </w:lvl>
    <w:lvl w:ilvl="2">
      <w:start w:val="1"/>
      <w:numFmt w:val="bullet"/>
      <w:isLgl w:val="false"/>
      <w:suff w:val="tab"/>
      <w:lvlText w:val=""/>
      <w:lvlJc w:val="left"/>
      <w:pPr>
        <w:ind w:left="2727" w:hanging="360"/>
      </w:pPr>
      <w:rPr>
        <w:rFonts w:hint="default" w:ascii="Wingdings" w:hAnsi="Wingdings"/>
      </w:rPr>
    </w:lvl>
    <w:lvl w:ilvl="3">
      <w:start w:val="1"/>
      <w:numFmt w:val="bullet"/>
      <w:isLgl w:val="false"/>
      <w:suff w:val="tab"/>
      <w:lvlText w:val=""/>
      <w:lvlJc w:val="left"/>
      <w:pPr>
        <w:ind w:left="3447" w:hanging="360"/>
      </w:pPr>
      <w:rPr>
        <w:rFonts w:hint="default" w:ascii="Symbol" w:hAnsi="Symbol"/>
      </w:rPr>
    </w:lvl>
    <w:lvl w:ilvl="4">
      <w:start w:val="1"/>
      <w:numFmt w:val="bullet"/>
      <w:isLgl w:val="false"/>
      <w:suff w:val="tab"/>
      <w:lvlText w:val="o"/>
      <w:lvlJc w:val="left"/>
      <w:pPr>
        <w:ind w:left="4167" w:hanging="360"/>
      </w:pPr>
      <w:rPr>
        <w:rFonts w:hint="default" w:ascii="Courier New" w:hAnsi="Courier New" w:cs="Courier New"/>
      </w:rPr>
    </w:lvl>
    <w:lvl w:ilvl="5">
      <w:start w:val="1"/>
      <w:numFmt w:val="bullet"/>
      <w:isLgl w:val="false"/>
      <w:suff w:val="tab"/>
      <w:lvlText w:val=""/>
      <w:lvlJc w:val="left"/>
      <w:pPr>
        <w:ind w:left="4887" w:hanging="360"/>
      </w:pPr>
      <w:rPr>
        <w:rFonts w:hint="default" w:ascii="Wingdings" w:hAnsi="Wingdings"/>
      </w:rPr>
    </w:lvl>
    <w:lvl w:ilvl="6">
      <w:start w:val="1"/>
      <w:numFmt w:val="bullet"/>
      <w:isLgl w:val="false"/>
      <w:suff w:val="tab"/>
      <w:lvlText w:val=""/>
      <w:lvlJc w:val="left"/>
      <w:pPr>
        <w:ind w:left="5607" w:hanging="360"/>
      </w:pPr>
      <w:rPr>
        <w:rFonts w:hint="default" w:ascii="Symbol" w:hAnsi="Symbol"/>
      </w:rPr>
    </w:lvl>
    <w:lvl w:ilvl="7">
      <w:start w:val="1"/>
      <w:numFmt w:val="bullet"/>
      <w:isLgl w:val="false"/>
      <w:suff w:val="tab"/>
      <w:lvlText w:val="o"/>
      <w:lvlJc w:val="left"/>
      <w:pPr>
        <w:ind w:left="6327" w:hanging="360"/>
      </w:pPr>
      <w:rPr>
        <w:rFonts w:hint="default" w:ascii="Courier New" w:hAnsi="Courier New" w:cs="Courier New"/>
      </w:rPr>
    </w:lvl>
    <w:lvl w:ilvl="8">
      <w:start w:val="1"/>
      <w:numFmt w:val="bullet"/>
      <w:isLgl w:val="false"/>
      <w:suff w:val="tab"/>
      <w:lvlText w:val=""/>
      <w:lvlJc w:val="left"/>
      <w:pPr>
        <w:ind w:left="7047" w:hanging="360"/>
      </w:pPr>
      <w:rPr>
        <w:rFonts w:hint="default" w:ascii="Wingdings" w:hAnsi="Wingdings"/>
      </w:rPr>
    </w:lvl>
  </w:abstractNum>
  <w:abstractNum w:abstractNumId="149">
    <w:multiLevelType w:val="hybridMultilevel"/>
    <w:lvl w:ilvl="0">
      <w:start w:val="1"/>
      <w:numFmt w:val="bullet"/>
      <w:isLgl w:val="false"/>
      <w:suff w:val="tab"/>
      <w:lvlText w:val=""/>
      <w:lvlJc w:val="left"/>
      <w:pPr>
        <w:ind w:left="1287" w:hanging="360"/>
      </w:pPr>
      <w:rPr>
        <w:rFonts w:hint="default" w:ascii="Symbol" w:hAnsi="Symbol"/>
      </w:rPr>
    </w:lvl>
    <w:lvl w:ilvl="1">
      <w:start w:val="1"/>
      <w:numFmt w:val="bullet"/>
      <w:isLgl w:val="false"/>
      <w:suff w:val="tab"/>
      <w:lvlText w:val="o"/>
      <w:lvlJc w:val="left"/>
      <w:pPr>
        <w:ind w:left="2007" w:hanging="360"/>
      </w:pPr>
      <w:rPr>
        <w:rFonts w:hint="default" w:ascii="Courier New" w:hAnsi="Courier New" w:cs="Courier New"/>
      </w:rPr>
    </w:lvl>
    <w:lvl w:ilvl="2">
      <w:start w:val="1"/>
      <w:numFmt w:val="bullet"/>
      <w:isLgl w:val="false"/>
      <w:suff w:val="tab"/>
      <w:lvlText w:val=""/>
      <w:lvlJc w:val="left"/>
      <w:pPr>
        <w:ind w:left="2727" w:hanging="360"/>
      </w:pPr>
      <w:rPr>
        <w:rFonts w:hint="default" w:ascii="Wingdings" w:hAnsi="Wingdings"/>
      </w:rPr>
    </w:lvl>
    <w:lvl w:ilvl="3">
      <w:start w:val="1"/>
      <w:numFmt w:val="bullet"/>
      <w:isLgl w:val="false"/>
      <w:suff w:val="tab"/>
      <w:lvlText w:val=""/>
      <w:lvlJc w:val="left"/>
      <w:pPr>
        <w:ind w:left="3447" w:hanging="360"/>
      </w:pPr>
      <w:rPr>
        <w:rFonts w:hint="default" w:ascii="Symbol" w:hAnsi="Symbol"/>
      </w:rPr>
    </w:lvl>
    <w:lvl w:ilvl="4">
      <w:start w:val="1"/>
      <w:numFmt w:val="bullet"/>
      <w:isLgl w:val="false"/>
      <w:suff w:val="tab"/>
      <w:lvlText w:val="o"/>
      <w:lvlJc w:val="left"/>
      <w:pPr>
        <w:ind w:left="4167" w:hanging="360"/>
      </w:pPr>
      <w:rPr>
        <w:rFonts w:hint="default" w:ascii="Courier New" w:hAnsi="Courier New" w:cs="Courier New"/>
      </w:rPr>
    </w:lvl>
    <w:lvl w:ilvl="5">
      <w:start w:val="1"/>
      <w:numFmt w:val="bullet"/>
      <w:isLgl w:val="false"/>
      <w:suff w:val="tab"/>
      <w:lvlText w:val=""/>
      <w:lvlJc w:val="left"/>
      <w:pPr>
        <w:ind w:left="4887" w:hanging="360"/>
      </w:pPr>
      <w:rPr>
        <w:rFonts w:hint="default" w:ascii="Wingdings" w:hAnsi="Wingdings"/>
      </w:rPr>
    </w:lvl>
    <w:lvl w:ilvl="6">
      <w:start w:val="1"/>
      <w:numFmt w:val="bullet"/>
      <w:isLgl w:val="false"/>
      <w:suff w:val="tab"/>
      <w:lvlText w:val=""/>
      <w:lvlJc w:val="left"/>
      <w:pPr>
        <w:ind w:left="5607" w:hanging="360"/>
      </w:pPr>
      <w:rPr>
        <w:rFonts w:hint="default" w:ascii="Symbol" w:hAnsi="Symbol"/>
      </w:rPr>
    </w:lvl>
    <w:lvl w:ilvl="7">
      <w:start w:val="1"/>
      <w:numFmt w:val="bullet"/>
      <w:isLgl w:val="false"/>
      <w:suff w:val="tab"/>
      <w:lvlText w:val="o"/>
      <w:lvlJc w:val="left"/>
      <w:pPr>
        <w:ind w:left="6327" w:hanging="360"/>
      </w:pPr>
      <w:rPr>
        <w:rFonts w:hint="default" w:ascii="Courier New" w:hAnsi="Courier New" w:cs="Courier New"/>
      </w:rPr>
    </w:lvl>
    <w:lvl w:ilvl="8">
      <w:start w:val="1"/>
      <w:numFmt w:val="bullet"/>
      <w:isLgl w:val="false"/>
      <w:suff w:val="tab"/>
      <w:lvlText w:val=""/>
      <w:lvlJc w:val="left"/>
      <w:pPr>
        <w:ind w:left="7047" w:hanging="360"/>
      </w:pPr>
      <w:rPr>
        <w:rFonts w:hint="default" w:ascii="Wingdings" w:hAnsi="Wingdings"/>
      </w:rPr>
    </w:lvl>
  </w:abstractNum>
  <w:abstractNum w:abstractNumId="150">
    <w:multiLevelType w:val="hybridMultilevel"/>
    <w:lvl w:ilvl="0">
      <w:start w:val="1"/>
      <w:numFmt w:val="bullet"/>
      <w:isLgl w:val="false"/>
      <w:suff w:val="tab"/>
      <w:lvlText w:val=""/>
      <w:lvlJc w:val="left"/>
      <w:pPr>
        <w:ind w:left="1429" w:hanging="360"/>
      </w:pPr>
      <w:rPr>
        <w:rFonts w:hint="default" w:ascii="Symbol" w:hAnsi="Symbol"/>
      </w:rPr>
    </w:lvl>
    <w:lvl w:ilvl="1">
      <w:start w:val="1"/>
      <w:numFmt w:val="bullet"/>
      <w:isLgl w:val="false"/>
      <w:suff w:val="tab"/>
      <w:lvlText w:val="o"/>
      <w:lvlJc w:val="left"/>
      <w:pPr>
        <w:ind w:left="2149" w:hanging="360"/>
      </w:pPr>
      <w:rPr>
        <w:rFonts w:hint="default" w:ascii="Courier New" w:hAnsi="Courier New" w:cs="Courier New"/>
      </w:rPr>
    </w:lvl>
    <w:lvl w:ilvl="2">
      <w:start w:val="1"/>
      <w:numFmt w:val="bullet"/>
      <w:isLgl w:val="false"/>
      <w:suff w:val="tab"/>
      <w:lvlText w:val=""/>
      <w:lvlJc w:val="left"/>
      <w:pPr>
        <w:ind w:left="2869" w:hanging="360"/>
      </w:pPr>
      <w:rPr>
        <w:rFonts w:hint="default" w:ascii="Wingdings" w:hAnsi="Wingdings"/>
      </w:rPr>
    </w:lvl>
    <w:lvl w:ilvl="3">
      <w:start w:val="1"/>
      <w:numFmt w:val="bullet"/>
      <w:isLgl w:val="false"/>
      <w:suff w:val="tab"/>
      <w:lvlText w:val=""/>
      <w:lvlJc w:val="left"/>
      <w:pPr>
        <w:ind w:left="3589" w:hanging="360"/>
      </w:pPr>
      <w:rPr>
        <w:rFonts w:hint="default" w:ascii="Symbol" w:hAnsi="Symbol"/>
      </w:rPr>
    </w:lvl>
    <w:lvl w:ilvl="4">
      <w:start w:val="1"/>
      <w:numFmt w:val="bullet"/>
      <w:isLgl w:val="false"/>
      <w:suff w:val="tab"/>
      <w:lvlText w:val="o"/>
      <w:lvlJc w:val="left"/>
      <w:pPr>
        <w:ind w:left="4309" w:hanging="360"/>
      </w:pPr>
      <w:rPr>
        <w:rFonts w:hint="default" w:ascii="Courier New" w:hAnsi="Courier New" w:cs="Courier New"/>
      </w:rPr>
    </w:lvl>
    <w:lvl w:ilvl="5">
      <w:start w:val="1"/>
      <w:numFmt w:val="bullet"/>
      <w:isLgl w:val="false"/>
      <w:suff w:val="tab"/>
      <w:lvlText w:val=""/>
      <w:lvlJc w:val="left"/>
      <w:pPr>
        <w:ind w:left="5029" w:hanging="360"/>
      </w:pPr>
      <w:rPr>
        <w:rFonts w:hint="default" w:ascii="Wingdings" w:hAnsi="Wingdings"/>
      </w:rPr>
    </w:lvl>
    <w:lvl w:ilvl="6">
      <w:start w:val="1"/>
      <w:numFmt w:val="bullet"/>
      <w:isLgl w:val="false"/>
      <w:suff w:val="tab"/>
      <w:lvlText w:val=""/>
      <w:lvlJc w:val="left"/>
      <w:pPr>
        <w:ind w:left="5749" w:hanging="360"/>
      </w:pPr>
      <w:rPr>
        <w:rFonts w:hint="default" w:ascii="Symbol" w:hAnsi="Symbol"/>
      </w:rPr>
    </w:lvl>
    <w:lvl w:ilvl="7">
      <w:start w:val="1"/>
      <w:numFmt w:val="bullet"/>
      <w:isLgl w:val="false"/>
      <w:suff w:val="tab"/>
      <w:lvlText w:val="o"/>
      <w:lvlJc w:val="left"/>
      <w:pPr>
        <w:ind w:left="6469" w:hanging="360"/>
      </w:pPr>
      <w:rPr>
        <w:rFonts w:hint="default" w:ascii="Courier New" w:hAnsi="Courier New" w:cs="Courier New"/>
      </w:rPr>
    </w:lvl>
    <w:lvl w:ilvl="8">
      <w:start w:val="1"/>
      <w:numFmt w:val="bullet"/>
      <w:isLgl w:val="false"/>
      <w:suff w:val="tab"/>
      <w:lvlText w:val=""/>
      <w:lvlJc w:val="left"/>
      <w:pPr>
        <w:ind w:left="7189" w:hanging="360"/>
      </w:pPr>
      <w:rPr>
        <w:rFonts w:hint="default" w:ascii="Wingdings" w:hAnsi="Wingdings"/>
      </w:rPr>
    </w:lvl>
  </w:abstractNum>
  <w:abstractNum w:abstractNumId="151">
    <w:multiLevelType w:val="hybridMultilevel"/>
    <w:lvl w:ilvl="0">
      <w:start w:val="1"/>
      <w:numFmt w:val="bullet"/>
      <w:isLgl w:val="false"/>
      <w:suff w:val="tab"/>
      <w:lvlText w:val=""/>
      <w:lvlJc w:val="left"/>
      <w:pPr>
        <w:ind w:left="1429" w:hanging="360"/>
      </w:pPr>
      <w:rPr>
        <w:rFonts w:hint="default" w:ascii="Symbol" w:hAnsi="Symbol"/>
      </w:rPr>
    </w:lvl>
    <w:lvl w:ilvl="1">
      <w:start w:val="1"/>
      <w:numFmt w:val="bullet"/>
      <w:isLgl w:val="false"/>
      <w:suff w:val="tab"/>
      <w:lvlText w:val="o"/>
      <w:lvlJc w:val="left"/>
      <w:pPr>
        <w:ind w:left="2149" w:hanging="360"/>
      </w:pPr>
      <w:rPr>
        <w:rFonts w:hint="default" w:ascii="Courier New" w:hAnsi="Courier New" w:cs="Courier New"/>
      </w:rPr>
    </w:lvl>
    <w:lvl w:ilvl="2">
      <w:start w:val="1"/>
      <w:numFmt w:val="bullet"/>
      <w:isLgl w:val="false"/>
      <w:suff w:val="tab"/>
      <w:lvlText w:val=""/>
      <w:lvlJc w:val="left"/>
      <w:pPr>
        <w:ind w:left="2869" w:hanging="360"/>
      </w:pPr>
      <w:rPr>
        <w:rFonts w:hint="default" w:ascii="Wingdings" w:hAnsi="Wingdings"/>
      </w:rPr>
    </w:lvl>
    <w:lvl w:ilvl="3">
      <w:start w:val="1"/>
      <w:numFmt w:val="bullet"/>
      <w:isLgl w:val="false"/>
      <w:suff w:val="tab"/>
      <w:lvlText w:val=""/>
      <w:lvlJc w:val="left"/>
      <w:pPr>
        <w:ind w:left="3589" w:hanging="360"/>
      </w:pPr>
      <w:rPr>
        <w:rFonts w:hint="default" w:ascii="Symbol" w:hAnsi="Symbol"/>
      </w:rPr>
    </w:lvl>
    <w:lvl w:ilvl="4">
      <w:start w:val="1"/>
      <w:numFmt w:val="bullet"/>
      <w:isLgl w:val="false"/>
      <w:suff w:val="tab"/>
      <w:lvlText w:val="o"/>
      <w:lvlJc w:val="left"/>
      <w:pPr>
        <w:ind w:left="4309" w:hanging="360"/>
      </w:pPr>
      <w:rPr>
        <w:rFonts w:hint="default" w:ascii="Courier New" w:hAnsi="Courier New" w:cs="Courier New"/>
      </w:rPr>
    </w:lvl>
    <w:lvl w:ilvl="5">
      <w:start w:val="1"/>
      <w:numFmt w:val="bullet"/>
      <w:isLgl w:val="false"/>
      <w:suff w:val="tab"/>
      <w:lvlText w:val=""/>
      <w:lvlJc w:val="left"/>
      <w:pPr>
        <w:ind w:left="5029" w:hanging="360"/>
      </w:pPr>
      <w:rPr>
        <w:rFonts w:hint="default" w:ascii="Wingdings" w:hAnsi="Wingdings"/>
      </w:rPr>
    </w:lvl>
    <w:lvl w:ilvl="6">
      <w:start w:val="1"/>
      <w:numFmt w:val="bullet"/>
      <w:isLgl w:val="false"/>
      <w:suff w:val="tab"/>
      <w:lvlText w:val=""/>
      <w:lvlJc w:val="left"/>
      <w:pPr>
        <w:ind w:left="5749" w:hanging="360"/>
      </w:pPr>
      <w:rPr>
        <w:rFonts w:hint="default" w:ascii="Symbol" w:hAnsi="Symbol"/>
      </w:rPr>
    </w:lvl>
    <w:lvl w:ilvl="7">
      <w:start w:val="1"/>
      <w:numFmt w:val="bullet"/>
      <w:isLgl w:val="false"/>
      <w:suff w:val="tab"/>
      <w:lvlText w:val="o"/>
      <w:lvlJc w:val="left"/>
      <w:pPr>
        <w:ind w:left="6469" w:hanging="360"/>
      </w:pPr>
      <w:rPr>
        <w:rFonts w:hint="default" w:ascii="Courier New" w:hAnsi="Courier New" w:cs="Courier New"/>
      </w:rPr>
    </w:lvl>
    <w:lvl w:ilvl="8">
      <w:start w:val="1"/>
      <w:numFmt w:val="bullet"/>
      <w:isLgl w:val="false"/>
      <w:suff w:val="tab"/>
      <w:lvlText w:val=""/>
      <w:lvlJc w:val="left"/>
      <w:pPr>
        <w:ind w:left="7189" w:hanging="360"/>
      </w:pPr>
      <w:rPr>
        <w:rFonts w:hint="default" w:ascii="Wingdings" w:hAnsi="Wingdings"/>
      </w:rPr>
    </w:lvl>
  </w:abstractNum>
  <w:abstractNum w:abstractNumId="152">
    <w:multiLevelType w:val="hybridMultilevel"/>
    <w:lvl w:ilvl="0">
      <w:start w:val="1"/>
      <w:numFmt w:val="bullet"/>
      <w:isLgl w:val="false"/>
      <w:suff w:val="tab"/>
      <w:lvlText w:val=""/>
      <w:lvlJc w:val="left"/>
      <w:pPr>
        <w:ind w:left="1429" w:hanging="360"/>
      </w:pPr>
      <w:rPr>
        <w:rFonts w:hint="default" w:ascii="Symbol" w:hAnsi="Symbol"/>
      </w:rPr>
    </w:lvl>
    <w:lvl w:ilvl="1">
      <w:start w:val="1"/>
      <w:numFmt w:val="bullet"/>
      <w:isLgl w:val="false"/>
      <w:suff w:val="tab"/>
      <w:lvlText w:val="o"/>
      <w:lvlJc w:val="left"/>
      <w:pPr>
        <w:ind w:left="2149" w:hanging="360"/>
      </w:pPr>
      <w:rPr>
        <w:rFonts w:hint="default" w:ascii="Courier New" w:hAnsi="Courier New" w:cs="Courier New"/>
      </w:rPr>
    </w:lvl>
    <w:lvl w:ilvl="2">
      <w:start w:val="1"/>
      <w:numFmt w:val="bullet"/>
      <w:isLgl w:val="false"/>
      <w:suff w:val="tab"/>
      <w:lvlText w:val=""/>
      <w:lvlJc w:val="left"/>
      <w:pPr>
        <w:ind w:left="2869" w:hanging="360"/>
      </w:pPr>
      <w:rPr>
        <w:rFonts w:hint="default" w:ascii="Wingdings" w:hAnsi="Wingdings"/>
      </w:rPr>
    </w:lvl>
    <w:lvl w:ilvl="3">
      <w:start w:val="1"/>
      <w:numFmt w:val="bullet"/>
      <w:isLgl w:val="false"/>
      <w:suff w:val="tab"/>
      <w:lvlText w:val=""/>
      <w:lvlJc w:val="left"/>
      <w:pPr>
        <w:ind w:left="3589" w:hanging="360"/>
      </w:pPr>
      <w:rPr>
        <w:rFonts w:hint="default" w:ascii="Symbol" w:hAnsi="Symbol"/>
      </w:rPr>
    </w:lvl>
    <w:lvl w:ilvl="4">
      <w:start w:val="1"/>
      <w:numFmt w:val="bullet"/>
      <w:isLgl w:val="false"/>
      <w:suff w:val="tab"/>
      <w:lvlText w:val="o"/>
      <w:lvlJc w:val="left"/>
      <w:pPr>
        <w:ind w:left="4309" w:hanging="360"/>
      </w:pPr>
      <w:rPr>
        <w:rFonts w:hint="default" w:ascii="Courier New" w:hAnsi="Courier New" w:cs="Courier New"/>
      </w:rPr>
    </w:lvl>
    <w:lvl w:ilvl="5">
      <w:start w:val="1"/>
      <w:numFmt w:val="bullet"/>
      <w:isLgl w:val="false"/>
      <w:suff w:val="tab"/>
      <w:lvlText w:val=""/>
      <w:lvlJc w:val="left"/>
      <w:pPr>
        <w:ind w:left="5029" w:hanging="360"/>
      </w:pPr>
      <w:rPr>
        <w:rFonts w:hint="default" w:ascii="Wingdings" w:hAnsi="Wingdings"/>
      </w:rPr>
    </w:lvl>
    <w:lvl w:ilvl="6">
      <w:start w:val="1"/>
      <w:numFmt w:val="bullet"/>
      <w:isLgl w:val="false"/>
      <w:suff w:val="tab"/>
      <w:lvlText w:val=""/>
      <w:lvlJc w:val="left"/>
      <w:pPr>
        <w:ind w:left="5749" w:hanging="360"/>
      </w:pPr>
      <w:rPr>
        <w:rFonts w:hint="default" w:ascii="Symbol" w:hAnsi="Symbol"/>
      </w:rPr>
    </w:lvl>
    <w:lvl w:ilvl="7">
      <w:start w:val="1"/>
      <w:numFmt w:val="bullet"/>
      <w:isLgl w:val="false"/>
      <w:suff w:val="tab"/>
      <w:lvlText w:val="o"/>
      <w:lvlJc w:val="left"/>
      <w:pPr>
        <w:ind w:left="6469" w:hanging="360"/>
      </w:pPr>
      <w:rPr>
        <w:rFonts w:hint="default" w:ascii="Courier New" w:hAnsi="Courier New" w:cs="Courier New"/>
      </w:rPr>
    </w:lvl>
    <w:lvl w:ilvl="8">
      <w:start w:val="1"/>
      <w:numFmt w:val="bullet"/>
      <w:isLgl w:val="false"/>
      <w:suff w:val="tab"/>
      <w:lvlText w:val=""/>
      <w:lvlJc w:val="left"/>
      <w:pPr>
        <w:ind w:left="7189" w:hanging="360"/>
      </w:pPr>
      <w:rPr>
        <w:rFonts w:hint="default" w:ascii="Wingdings" w:hAnsi="Wingdings"/>
      </w:rPr>
    </w:lvl>
  </w:abstractNum>
  <w:abstractNum w:abstractNumId="153">
    <w:multiLevelType w:val="hybridMultilevel"/>
    <w:lvl w:ilvl="0">
      <w:start w:val="1"/>
      <w:numFmt w:val="bullet"/>
      <w:isLgl w:val="false"/>
      <w:suff w:val="tab"/>
      <w:lvlText w:val=""/>
      <w:lvlJc w:val="left"/>
      <w:pPr>
        <w:ind w:left="1429" w:hanging="360"/>
      </w:pPr>
      <w:rPr>
        <w:rFonts w:hint="default" w:ascii="Symbol" w:hAnsi="Symbol"/>
      </w:rPr>
    </w:lvl>
    <w:lvl w:ilvl="1">
      <w:start w:val="1"/>
      <w:numFmt w:val="bullet"/>
      <w:isLgl w:val="false"/>
      <w:suff w:val="tab"/>
      <w:lvlText w:val="o"/>
      <w:lvlJc w:val="left"/>
      <w:pPr>
        <w:ind w:left="2149" w:hanging="360"/>
      </w:pPr>
      <w:rPr>
        <w:rFonts w:hint="default" w:ascii="Courier New" w:hAnsi="Courier New" w:cs="Courier New"/>
      </w:rPr>
    </w:lvl>
    <w:lvl w:ilvl="2">
      <w:start w:val="1"/>
      <w:numFmt w:val="bullet"/>
      <w:isLgl w:val="false"/>
      <w:suff w:val="tab"/>
      <w:lvlText w:val=""/>
      <w:lvlJc w:val="left"/>
      <w:pPr>
        <w:ind w:left="2869" w:hanging="360"/>
      </w:pPr>
      <w:rPr>
        <w:rFonts w:hint="default" w:ascii="Wingdings" w:hAnsi="Wingdings"/>
      </w:rPr>
    </w:lvl>
    <w:lvl w:ilvl="3">
      <w:start w:val="1"/>
      <w:numFmt w:val="bullet"/>
      <w:isLgl w:val="false"/>
      <w:suff w:val="tab"/>
      <w:lvlText w:val=""/>
      <w:lvlJc w:val="left"/>
      <w:pPr>
        <w:ind w:left="3589" w:hanging="360"/>
      </w:pPr>
      <w:rPr>
        <w:rFonts w:hint="default" w:ascii="Symbol" w:hAnsi="Symbol"/>
      </w:rPr>
    </w:lvl>
    <w:lvl w:ilvl="4">
      <w:start w:val="1"/>
      <w:numFmt w:val="bullet"/>
      <w:isLgl w:val="false"/>
      <w:suff w:val="tab"/>
      <w:lvlText w:val="o"/>
      <w:lvlJc w:val="left"/>
      <w:pPr>
        <w:ind w:left="4309" w:hanging="360"/>
      </w:pPr>
      <w:rPr>
        <w:rFonts w:hint="default" w:ascii="Courier New" w:hAnsi="Courier New" w:cs="Courier New"/>
      </w:rPr>
    </w:lvl>
    <w:lvl w:ilvl="5">
      <w:start w:val="1"/>
      <w:numFmt w:val="bullet"/>
      <w:isLgl w:val="false"/>
      <w:suff w:val="tab"/>
      <w:lvlText w:val=""/>
      <w:lvlJc w:val="left"/>
      <w:pPr>
        <w:ind w:left="5029" w:hanging="360"/>
      </w:pPr>
      <w:rPr>
        <w:rFonts w:hint="default" w:ascii="Wingdings" w:hAnsi="Wingdings"/>
      </w:rPr>
    </w:lvl>
    <w:lvl w:ilvl="6">
      <w:start w:val="1"/>
      <w:numFmt w:val="bullet"/>
      <w:isLgl w:val="false"/>
      <w:suff w:val="tab"/>
      <w:lvlText w:val=""/>
      <w:lvlJc w:val="left"/>
      <w:pPr>
        <w:ind w:left="5749" w:hanging="360"/>
      </w:pPr>
      <w:rPr>
        <w:rFonts w:hint="default" w:ascii="Symbol" w:hAnsi="Symbol"/>
      </w:rPr>
    </w:lvl>
    <w:lvl w:ilvl="7">
      <w:start w:val="1"/>
      <w:numFmt w:val="bullet"/>
      <w:isLgl w:val="false"/>
      <w:suff w:val="tab"/>
      <w:lvlText w:val="o"/>
      <w:lvlJc w:val="left"/>
      <w:pPr>
        <w:ind w:left="6469" w:hanging="360"/>
      </w:pPr>
      <w:rPr>
        <w:rFonts w:hint="default" w:ascii="Courier New" w:hAnsi="Courier New" w:cs="Courier New"/>
      </w:rPr>
    </w:lvl>
    <w:lvl w:ilvl="8">
      <w:start w:val="1"/>
      <w:numFmt w:val="bullet"/>
      <w:isLgl w:val="false"/>
      <w:suff w:val="tab"/>
      <w:lvlText w:val=""/>
      <w:lvlJc w:val="left"/>
      <w:pPr>
        <w:ind w:left="7189" w:hanging="360"/>
      </w:pPr>
      <w:rPr>
        <w:rFonts w:hint="default" w:ascii="Wingdings" w:hAnsi="Wingdings"/>
      </w:rPr>
    </w:lvl>
  </w:abstractNum>
  <w:abstractNum w:abstractNumId="154">
    <w:multiLevelType w:val="hybridMultilevel"/>
    <w:lvl w:ilvl="0">
      <w:start w:val="1"/>
      <w:numFmt w:val="bullet"/>
      <w:isLgl w:val="false"/>
      <w:suff w:val="tab"/>
      <w:lvlText w:val=""/>
      <w:lvlJc w:val="left"/>
      <w:pPr>
        <w:ind w:left="1429" w:hanging="360"/>
      </w:pPr>
      <w:rPr>
        <w:rFonts w:hint="default" w:ascii="Symbol" w:hAnsi="Symbol"/>
      </w:rPr>
    </w:lvl>
    <w:lvl w:ilvl="1">
      <w:start w:val="1"/>
      <w:numFmt w:val="bullet"/>
      <w:isLgl w:val="false"/>
      <w:suff w:val="tab"/>
      <w:lvlText w:val="o"/>
      <w:lvlJc w:val="left"/>
      <w:pPr>
        <w:ind w:left="2149" w:hanging="360"/>
      </w:pPr>
      <w:rPr>
        <w:rFonts w:hint="default" w:ascii="Courier New" w:hAnsi="Courier New" w:cs="Courier New"/>
      </w:rPr>
    </w:lvl>
    <w:lvl w:ilvl="2">
      <w:start w:val="1"/>
      <w:numFmt w:val="bullet"/>
      <w:isLgl w:val="false"/>
      <w:suff w:val="tab"/>
      <w:lvlText w:val=""/>
      <w:lvlJc w:val="left"/>
      <w:pPr>
        <w:ind w:left="2869" w:hanging="360"/>
      </w:pPr>
      <w:rPr>
        <w:rFonts w:hint="default" w:ascii="Wingdings" w:hAnsi="Wingdings"/>
      </w:rPr>
    </w:lvl>
    <w:lvl w:ilvl="3">
      <w:start w:val="1"/>
      <w:numFmt w:val="bullet"/>
      <w:isLgl w:val="false"/>
      <w:suff w:val="tab"/>
      <w:lvlText w:val=""/>
      <w:lvlJc w:val="left"/>
      <w:pPr>
        <w:ind w:left="3589" w:hanging="360"/>
      </w:pPr>
      <w:rPr>
        <w:rFonts w:hint="default" w:ascii="Symbol" w:hAnsi="Symbol"/>
      </w:rPr>
    </w:lvl>
    <w:lvl w:ilvl="4">
      <w:start w:val="1"/>
      <w:numFmt w:val="bullet"/>
      <w:isLgl w:val="false"/>
      <w:suff w:val="tab"/>
      <w:lvlText w:val="o"/>
      <w:lvlJc w:val="left"/>
      <w:pPr>
        <w:ind w:left="4309" w:hanging="360"/>
      </w:pPr>
      <w:rPr>
        <w:rFonts w:hint="default" w:ascii="Courier New" w:hAnsi="Courier New" w:cs="Courier New"/>
      </w:rPr>
    </w:lvl>
    <w:lvl w:ilvl="5">
      <w:start w:val="1"/>
      <w:numFmt w:val="bullet"/>
      <w:isLgl w:val="false"/>
      <w:suff w:val="tab"/>
      <w:lvlText w:val=""/>
      <w:lvlJc w:val="left"/>
      <w:pPr>
        <w:ind w:left="5029" w:hanging="360"/>
      </w:pPr>
      <w:rPr>
        <w:rFonts w:hint="default" w:ascii="Wingdings" w:hAnsi="Wingdings"/>
      </w:rPr>
    </w:lvl>
    <w:lvl w:ilvl="6">
      <w:start w:val="1"/>
      <w:numFmt w:val="bullet"/>
      <w:isLgl w:val="false"/>
      <w:suff w:val="tab"/>
      <w:lvlText w:val=""/>
      <w:lvlJc w:val="left"/>
      <w:pPr>
        <w:ind w:left="5749" w:hanging="360"/>
      </w:pPr>
      <w:rPr>
        <w:rFonts w:hint="default" w:ascii="Symbol" w:hAnsi="Symbol"/>
      </w:rPr>
    </w:lvl>
    <w:lvl w:ilvl="7">
      <w:start w:val="1"/>
      <w:numFmt w:val="bullet"/>
      <w:isLgl w:val="false"/>
      <w:suff w:val="tab"/>
      <w:lvlText w:val="o"/>
      <w:lvlJc w:val="left"/>
      <w:pPr>
        <w:ind w:left="6469" w:hanging="360"/>
      </w:pPr>
      <w:rPr>
        <w:rFonts w:hint="default" w:ascii="Courier New" w:hAnsi="Courier New" w:cs="Courier New"/>
      </w:rPr>
    </w:lvl>
    <w:lvl w:ilvl="8">
      <w:start w:val="1"/>
      <w:numFmt w:val="bullet"/>
      <w:isLgl w:val="false"/>
      <w:suff w:val="tab"/>
      <w:lvlText w:val=""/>
      <w:lvlJc w:val="left"/>
      <w:pPr>
        <w:ind w:left="7189" w:hanging="360"/>
      </w:pPr>
      <w:rPr>
        <w:rFonts w:hint="default" w:ascii="Wingdings" w:hAnsi="Wingdings"/>
      </w:rPr>
    </w:lvl>
  </w:abstractNum>
  <w:abstractNum w:abstractNumId="155">
    <w:multiLevelType w:val="hybridMultilevel"/>
    <w:lvl w:ilvl="0">
      <w:start w:val="1"/>
      <w:numFmt w:val="bullet"/>
      <w:isLgl w:val="false"/>
      <w:suff w:val="tab"/>
      <w:lvlText w:val=""/>
      <w:lvlJc w:val="left"/>
      <w:pPr>
        <w:ind w:left="1429" w:hanging="360"/>
      </w:pPr>
      <w:rPr>
        <w:rFonts w:hint="default" w:ascii="Symbol" w:hAnsi="Symbol"/>
      </w:rPr>
    </w:lvl>
    <w:lvl w:ilvl="1">
      <w:start w:val="1"/>
      <w:numFmt w:val="bullet"/>
      <w:isLgl w:val="false"/>
      <w:suff w:val="tab"/>
      <w:lvlText w:val="o"/>
      <w:lvlJc w:val="left"/>
      <w:pPr>
        <w:ind w:left="2149" w:hanging="360"/>
      </w:pPr>
      <w:rPr>
        <w:rFonts w:hint="default" w:ascii="Courier New" w:hAnsi="Courier New" w:cs="Courier New"/>
      </w:rPr>
    </w:lvl>
    <w:lvl w:ilvl="2">
      <w:start w:val="1"/>
      <w:numFmt w:val="bullet"/>
      <w:isLgl w:val="false"/>
      <w:suff w:val="tab"/>
      <w:lvlText w:val=""/>
      <w:lvlJc w:val="left"/>
      <w:pPr>
        <w:ind w:left="2869" w:hanging="360"/>
      </w:pPr>
      <w:rPr>
        <w:rFonts w:hint="default" w:ascii="Wingdings" w:hAnsi="Wingdings"/>
      </w:rPr>
    </w:lvl>
    <w:lvl w:ilvl="3">
      <w:start w:val="1"/>
      <w:numFmt w:val="bullet"/>
      <w:isLgl w:val="false"/>
      <w:suff w:val="tab"/>
      <w:lvlText w:val=""/>
      <w:lvlJc w:val="left"/>
      <w:pPr>
        <w:ind w:left="3589" w:hanging="360"/>
      </w:pPr>
      <w:rPr>
        <w:rFonts w:hint="default" w:ascii="Symbol" w:hAnsi="Symbol"/>
      </w:rPr>
    </w:lvl>
    <w:lvl w:ilvl="4">
      <w:start w:val="1"/>
      <w:numFmt w:val="bullet"/>
      <w:isLgl w:val="false"/>
      <w:suff w:val="tab"/>
      <w:lvlText w:val="o"/>
      <w:lvlJc w:val="left"/>
      <w:pPr>
        <w:ind w:left="4309" w:hanging="360"/>
      </w:pPr>
      <w:rPr>
        <w:rFonts w:hint="default" w:ascii="Courier New" w:hAnsi="Courier New" w:cs="Courier New"/>
      </w:rPr>
    </w:lvl>
    <w:lvl w:ilvl="5">
      <w:start w:val="1"/>
      <w:numFmt w:val="bullet"/>
      <w:isLgl w:val="false"/>
      <w:suff w:val="tab"/>
      <w:lvlText w:val=""/>
      <w:lvlJc w:val="left"/>
      <w:pPr>
        <w:ind w:left="5029" w:hanging="360"/>
      </w:pPr>
      <w:rPr>
        <w:rFonts w:hint="default" w:ascii="Wingdings" w:hAnsi="Wingdings"/>
      </w:rPr>
    </w:lvl>
    <w:lvl w:ilvl="6">
      <w:start w:val="1"/>
      <w:numFmt w:val="bullet"/>
      <w:isLgl w:val="false"/>
      <w:suff w:val="tab"/>
      <w:lvlText w:val=""/>
      <w:lvlJc w:val="left"/>
      <w:pPr>
        <w:ind w:left="5749" w:hanging="360"/>
      </w:pPr>
      <w:rPr>
        <w:rFonts w:hint="default" w:ascii="Symbol" w:hAnsi="Symbol"/>
      </w:rPr>
    </w:lvl>
    <w:lvl w:ilvl="7">
      <w:start w:val="1"/>
      <w:numFmt w:val="bullet"/>
      <w:isLgl w:val="false"/>
      <w:suff w:val="tab"/>
      <w:lvlText w:val="o"/>
      <w:lvlJc w:val="left"/>
      <w:pPr>
        <w:ind w:left="6469" w:hanging="360"/>
      </w:pPr>
      <w:rPr>
        <w:rFonts w:hint="default" w:ascii="Courier New" w:hAnsi="Courier New" w:cs="Courier New"/>
      </w:rPr>
    </w:lvl>
    <w:lvl w:ilvl="8">
      <w:start w:val="1"/>
      <w:numFmt w:val="bullet"/>
      <w:isLgl w:val="false"/>
      <w:suff w:val="tab"/>
      <w:lvlText w:val=""/>
      <w:lvlJc w:val="left"/>
      <w:pPr>
        <w:ind w:left="7189" w:hanging="360"/>
      </w:pPr>
      <w:rPr>
        <w:rFonts w:hint="default" w:ascii="Wingdings" w:hAnsi="Wingdings"/>
      </w:rPr>
    </w:lvl>
  </w:abstractNum>
  <w:abstractNum w:abstractNumId="156">
    <w:multiLevelType w:val="hybridMultilevel"/>
    <w:lvl w:ilvl="0">
      <w:start w:val="1"/>
      <w:numFmt w:val="bullet"/>
      <w:isLgl w:val="false"/>
      <w:suff w:val="tab"/>
      <w:lvlText w:val=""/>
      <w:lvlJc w:val="left"/>
      <w:pPr>
        <w:ind w:left="0"/>
      </w:pPr>
      <w:rPr>
        <w:rFonts w:hint="default" w:ascii="Symbol" w:hAnsi="Symbol"/>
        <w:b w:val="0"/>
        <w:i w:val="0"/>
        <w:strike w:val="0"/>
        <w:color w:val="000000"/>
        <w:sz w:val="28"/>
        <w:szCs w:val="28"/>
        <w:u w:val="none"/>
        <w:vertAlign w:val="baseline"/>
      </w:rPr>
    </w:lvl>
    <w:lvl w:ilvl="1">
      <w:start w:val="1"/>
      <w:numFmt w:val="bullet"/>
      <w:isLgl w:val="false"/>
      <w:suff w:val="tab"/>
      <w:lvlText w:val="o"/>
      <w:lvlJc w:val="left"/>
      <w:pPr>
        <w:ind w:left="1788"/>
      </w:pPr>
      <w:rPr>
        <w:rFonts w:ascii="Times New Roman" w:hAnsi="Times New Roman" w:eastAsia="Times New Roman" w:cs="Times New Roman"/>
        <w:b w:val="0"/>
        <w:i w:val="0"/>
        <w:strike w:val="0"/>
        <w:color w:val="000000"/>
        <w:sz w:val="28"/>
        <w:szCs w:val="28"/>
        <w:u w:val="none"/>
        <w:vertAlign w:val="baseline"/>
      </w:rPr>
    </w:lvl>
    <w:lvl w:ilvl="2">
      <w:start w:val="1"/>
      <w:numFmt w:val="bullet"/>
      <w:isLgl w:val="false"/>
      <w:suff w:val="tab"/>
      <w:lvlText w:val="▪"/>
      <w:lvlJc w:val="left"/>
      <w:pPr>
        <w:ind w:left="2508"/>
      </w:pPr>
      <w:rPr>
        <w:rFonts w:ascii="Times New Roman" w:hAnsi="Times New Roman" w:eastAsia="Times New Roman" w:cs="Times New Roman"/>
        <w:b w:val="0"/>
        <w:i w:val="0"/>
        <w:strike w:val="0"/>
        <w:color w:val="000000"/>
        <w:sz w:val="28"/>
        <w:szCs w:val="28"/>
        <w:u w:val="none"/>
        <w:vertAlign w:val="baseline"/>
      </w:rPr>
    </w:lvl>
    <w:lvl w:ilvl="3">
      <w:start w:val="1"/>
      <w:numFmt w:val="bullet"/>
      <w:isLgl w:val="false"/>
      <w:suff w:val="tab"/>
      <w:lvlText w:val="•"/>
      <w:lvlJc w:val="left"/>
      <w:pPr>
        <w:ind w:left="3228"/>
      </w:pPr>
      <w:rPr>
        <w:rFonts w:ascii="Times New Roman" w:hAnsi="Times New Roman" w:eastAsia="Times New Roman" w:cs="Times New Roman"/>
        <w:b w:val="0"/>
        <w:i w:val="0"/>
        <w:strike w:val="0"/>
        <w:color w:val="000000"/>
        <w:sz w:val="28"/>
        <w:szCs w:val="28"/>
        <w:u w:val="none"/>
        <w:vertAlign w:val="baseline"/>
      </w:rPr>
    </w:lvl>
    <w:lvl w:ilvl="4">
      <w:start w:val="1"/>
      <w:numFmt w:val="bullet"/>
      <w:isLgl w:val="false"/>
      <w:suff w:val="tab"/>
      <w:lvlText w:val="o"/>
      <w:lvlJc w:val="left"/>
      <w:pPr>
        <w:ind w:left="3948"/>
      </w:pPr>
      <w:rPr>
        <w:rFonts w:ascii="Times New Roman" w:hAnsi="Times New Roman" w:eastAsia="Times New Roman" w:cs="Times New Roman"/>
        <w:b w:val="0"/>
        <w:i w:val="0"/>
        <w:strike w:val="0"/>
        <w:color w:val="000000"/>
        <w:sz w:val="28"/>
        <w:szCs w:val="28"/>
        <w:u w:val="none"/>
        <w:vertAlign w:val="baseline"/>
      </w:rPr>
    </w:lvl>
    <w:lvl w:ilvl="5">
      <w:start w:val="1"/>
      <w:numFmt w:val="bullet"/>
      <w:isLgl w:val="false"/>
      <w:suff w:val="tab"/>
      <w:lvlText w:val="▪"/>
      <w:lvlJc w:val="left"/>
      <w:pPr>
        <w:ind w:left="4668"/>
      </w:pPr>
      <w:rPr>
        <w:rFonts w:ascii="Times New Roman" w:hAnsi="Times New Roman" w:eastAsia="Times New Roman" w:cs="Times New Roman"/>
        <w:b w:val="0"/>
        <w:i w:val="0"/>
        <w:strike w:val="0"/>
        <w:color w:val="000000"/>
        <w:sz w:val="28"/>
        <w:szCs w:val="28"/>
        <w:u w:val="none"/>
        <w:vertAlign w:val="baseline"/>
      </w:rPr>
    </w:lvl>
    <w:lvl w:ilvl="6">
      <w:start w:val="1"/>
      <w:numFmt w:val="bullet"/>
      <w:isLgl w:val="false"/>
      <w:suff w:val="tab"/>
      <w:lvlText w:val="•"/>
      <w:lvlJc w:val="left"/>
      <w:pPr>
        <w:ind w:left="5388"/>
      </w:pPr>
      <w:rPr>
        <w:rFonts w:ascii="Times New Roman" w:hAnsi="Times New Roman" w:eastAsia="Times New Roman" w:cs="Times New Roman"/>
        <w:b w:val="0"/>
        <w:i w:val="0"/>
        <w:strike w:val="0"/>
        <w:color w:val="000000"/>
        <w:sz w:val="28"/>
        <w:szCs w:val="28"/>
        <w:u w:val="none"/>
        <w:vertAlign w:val="baseline"/>
      </w:rPr>
    </w:lvl>
    <w:lvl w:ilvl="7">
      <w:start w:val="1"/>
      <w:numFmt w:val="bullet"/>
      <w:isLgl w:val="false"/>
      <w:suff w:val="tab"/>
      <w:lvlText w:val="o"/>
      <w:lvlJc w:val="left"/>
      <w:pPr>
        <w:ind w:left="6108"/>
      </w:pPr>
      <w:rPr>
        <w:rFonts w:ascii="Times New Roman" w:hAnsi="Times New Roman" w:eastAsia="Times New Roman" w:cs="Times New Roman"/>
        <w:b w:val="0"/>
        <w:i w:val="0"/>
        <w:strike w:val="0"/>
        <w:color w:val="000000"/>
        <w:sz w:val="28"/>
        <w:szCs w:val="28"/>
        <w:u w:val="none"/>
        <w:vertAlign w:val="baseline"/>
      </w:rPr>
    </w:lvl>
    <w:lvl w:ilvl="8">
      <w:start w:val="1"/>
      <w:numFmt w:val="bullet"/>
      <w:isLgl w:val="false"/>
      <w:suff w:val="tab"/>
      <w:lvlText w:val="▪"/>
      <w:lvlJc w:val="left"/>
      <w:pPr>
        <w:ind w:left="6828"/>
      </w:pPr>
      <w:rPr>
        <w:rFonts w:ascii="Times New Roman" w:hAnsi="Times New Roman" w:eastAsia="Times New Roman" w:cs="Times New Roman"/>
        <w:b w:val="0"/>
        <w:i w:val="0"/>
        <w:strike w:val="0"/>
        <w:color w:val="000000"/>
        <w:sz w:val="28"/>
        <w:szCs w:val="28"/>
        <w:u w:val="none"/>
        <w:vertAlign w:val="baseline"/>
      </w:rPr>
    </w:lvl>
  </w:abstractNum>
  <w:abstractNum w:abstractNumId="157">
    <w:multiLevelType w:val="hybridMultilevel"/>
    <w:lvl w:ilvl="0">
      <w:start w:val="1"/>
      <w:numFmt w:val="bullet"/>
      <w:isLgl w:val="false"/>
      <w:suff w:val="tab"/>
      <w:lvlText w:val=""/>
      <w:lvlJc w:val="left"/>
      <w:pPr>
        <w:ind w:left="0"/>
      </w:pPr>
      <w:rPr>
        <w:rFonts w:hint="default" w:ascii="Symbol" w:hAnsi="Symbol"/>
        <w:b w:val="0"/>
        <w:i w:val="0"/>
        <w:strike w:val="0"/>
        <w:color w:val="000000"/>
        <w:sz w:val="28"/>
        <w:szCs w:val="28"/>
        <w:u w:val="none"/>
        <w:vertAlign w:val="baseline"/>
      </w:rPr>
    </w:lvl>
    <w:lvl w:ilvl="1">
      <w:start w:val="1"/>
      <w:numFmt w:val="bullet"/>
      <w:isLgl w:val="false"/>
      <w:suff w:val="tab"/>
      <w:lvlText w:val="o"/>
      <w:lvlJc w:val="left"/>
      <w:pPr>
        <w:ind w:left="1788"/>
      </w:pPr>
      <w:rPr>
        <w:rFonts w:ascii="Times New Roman" w:hAnsi="Times New Roman" w:eastAsia="Times New Roman" w:cs="Times New Roman"/>
        <w:b w:val="0"/>
        <w:i w:val="0"/>
        <w:strike w:val="0"/>
        <w:color w:val="000000"/>
        <w:sz w:val="28"/>
        <w:szCs w:val="28"/>
        <w:u w:val="none"/>
        <w:vertAlign w:val="baseline"/>
      </w:rPr>
    </w:lvl>
    <w:lvl w:ilvl="2">
      <w:start w:val="1"/>
      <w:numFmt w:val="bullet"/>
      <w:isLgl w:val="false"/>
      <w:suff w:val="tab"/>
      <w:lvlText w:val="▪"/>
      <w:lvlJc w:val="left"/>
      <w:pPr>
        <w:ind w:left="2508"/>
      </w:pPr>
      <w:rPr>
        <w:rFonts w:ascii="Times New Roman" w:hAnsi="Times New Roman" w:eastAsia="Times New Roman" w:cs="Times New Roman"/>
        <w:b w:val="0"/>
        <w:i w:val="0"/>
        <w:strike w:val="0"/>
        <w:color w:val="000000"/>
        <w:sz w:val="28"/>
        <w:szCs w:val="28"/>
        <w:u w:val="none"/>
        <w:vertAlign w:val="baseline"/>
      </w:rPr>
    </w:lvl>
    <w:lvl w:ilvl="3">
      <w:start w:val="1"/>
      <w:numFmt w:val="bullet"/>
      <w:isLgl w:val="false"/>
      <w:suff w:val="tab"/>
      <w:lvlText w:val="•"/>
      <w:lvlJc w:val="left"/>
      <w:pPr>
        <w:ind w:left="3228"/>
      </w:pPr>
      <w:rPr>
        <w:rFonts w:ascii="Times New Roman" w:hAnsi="Times New Roman" w:eastAsia="Times New Roman" w:cs="Times New Roman"/>
        <w:b w:val="0"/>
        <w:i w:val="0"/>
        <w:strike w:val="0"/>
        <w:color w:val="000000"/>
        <w:sz w:val="28"/>
        <w:szCs w:val="28"/>
        <w:u w:val="none"/>
        <w:vertAlign w:val="baseline"/>
      </w:rPr>
    </w:lvl>
    <w:lvl w:ilvl="4">
      <w:start w:val="1"/>
      <w:numFmt w:val="bullet"/>
      <w:isLgl w:val="false"/>
      <w:suff w:val="tab"/>
      <w:lvlText w:val="o"/>
      <w:lvlJc w:val="left"/>
      <w:pPr>
        <w:ind w:left="3948"/>
      </w:pPr>
      <w:rPr>
        <w:rFonts w:ascii="Times New Roman" w:hAnsi="Times New Roman" w:eastAsia="Times New Roman" w:cs="Times New Roman"/>
        <w:b w:val="0"/>
        <w:i w:val="0"/>
        <w:strike w:val="0"/>
        <w:color w:val="000000"/>
        <w:sz w:val="28"/>
        <w:szCs w:val="28"/>
        <w:u w:val="none"/>
        <w:vertAlign w:val="baseline"/>
      </w:rPr>
    </w:lvl>
    <w:lvl w:ilvl="5">
      <w:start w:val="1"/>
      <w:numFmt w:val="bullet"/>
      <w:isLgl w:val="false"/>
      <w:suff w:val="tab"/>
      <w:lvlText w:val="▪"/>
      <w:lvlJc w:val="left"/>
      <w:pPr>
        <w:ind w:left="4668"/>
      </w:pPr>
      <w:rPr>
        <w:rFonts w:ascii="Times New Roman" w:hAnsi="Times New Roman" w:eastAsia="Times New Roman" w:cs="Times New Roman"/>
        <w:b w:val="0"/>
        <w:i w:val="0"/>
        <w:strike w:val="0"/>
        <w:color w:val="000000"/>
        <w:sz w:val="28"/>
        <w:szCs w:val="28"/>
        <w:u w:val="none"/>
        <w:vertAlign w:val="baseline"/>
      </w:rPr>
    </w:lvl>
    <w:lvl w:ilvl="6">
      <w:start w:val="1"/>
      <w:numFmt w:val="bullet"/>
      <w:isLgl w:val="false"/>
      <w:suff w:val="tab"/>
      <w:lvlText w:val="•"/>
      <w:lvlJc w:val="left"/>
      <w:pPr>
        <w:ind w:left="5388"/>
      </w:pPr>
      <w:rPr>
        <w:rFonts w:ascii="Times New Roman" w:hAnsi="Times New Roman" w:eastAsia="Times New Roman" w:cs="Times New Roman"/>
        <w:b w:val="0"/>
        <w:i w:val="0"/>
        <w:strike w:val="0"/>
        <w:color w:val="000000"/>
        <w:sz w:val="28"/>
        <w:szCs w:val="28"/>
        <w:u w:val="none"/>
        <w:vertAlign w:val="baseline"/>
      </w:rPr>
    </w:lvl>
    <w:lvl w:ilvl="7">
      <w:start w:val="1"/>
      <w:numFmt w:val="bullet"/>
      <w:isLgl w:val="false"/>
      <w:suff w:val="tab"/>
      <w:lvlText w:val="o"/>
      <w:lvlJc w:val="left"/>
      <w:pPr>
        <w:ind w:left="6108"/>
      </w:pPr>
      <w:rPr>
        <w:rFonts w:ascii="Times New Roman" w:hAnsi="Times New Roman" w:eastAsia="Times New Roman" w:cs="Times New Roman"/>
        <w:b w:val="0"/>
        <w:i w:val="0"/>
        <w:strike w:val="0"/>
        <w:color w:val="000000"/>
        <w:sz w:val="28"/>
        <w:szCs w:val="28"/>
        <w:u w:val="none"/>
        <w:vertAlign w:val="baseline"/>
      </w:rPr>
    </w:lvl>
    <w:lvl w:ilvl="8">
      <w:start w:val="1"/>
      <w:numFmt w:val="bullet"/>
      <w:isLgl w:val="false"/>
      <w:suff w:val="tab"/>
      <w:lvlText w:val="▪"/>
      <w:lvlJc w:val="left"/>
      <w:pPr>
        <w:ind w:left="6828"/>
      </w:pPr>
      <w:rPr>
        <w:rFonts w:ascii="Times New Roman" w:hAnsi="Times New Roman" w:eastAsia="Times New Roman" w:cs="Times New Roman"/>
        <w:b w:val="0"/>
        <w:i w:val="0"/>
        <w:strike w:val="0"/>
        <w:color w:val="000000"/>
        <w:sz w:val="28"/>
        <w:szCs w:val="28"/>
        <w:u w:val="none"/>
        <w:vertAlign w:val="baseline"/>
      </w:rPr>
    </w:lvl>
  </w:abstractNum>
  <w:abstractNum w:abstractNumId="158">
    <w:multiLevelType w:val="hybridMultilevel"/>
    <w:lvl w:ilvl="0">
      <w:start w:val="1"/>
      <w:numFmt w:val="bullet"/>
      <w:isLgl w:val="false"/>
      <w:suff w:val="tab"/>
      <w:lvlText w:val=""/>
      <w:lvlJc w:val="left"/>
      <w:pPr>
        <w:ind w:left="0"/>
      </w:pPr>
      <w:rPr>
        <w:rFonts w:hint="default" w:ascii="Symbol" w:hAnsi="Symbol"/>
        <w:b w:val="0"/>
        <w:i w:val="0"/>
        <w:strike w:val="0"/>
        <w:color w:val="000000"/>
        <w:sz w:val="28"/>
        <w:szCs w:val="28"/>
        <w:u w:val="none"/>
        <w:vertAlign w:val="baseline"/>
      </w:rPr>
    </w:lvl>
    <w:lvl w:ilvl="1">
      <w:start w:val="1"/>
      <w:numFmt w:val="bullet"/>
      <w:isLgl w:val="false"/>
      <w:suff w:val="tab"/>
      <w:lvlText w:val="o"/>
      <w:lvlJc w:val="left"/>
      <w:pPr>
        <w:ind w:left="1788"/>
      </w:pPr>
      <w:rPr>
        <w:rFonts w:ascii="Times New Roman" w:hAnsi="Times New Roman" w:eastAsia="Times New Roman" w:cs="Times New Roman"/>
        <w:b w:val="0"/>
        <w:i w:val="0"/>
        <w:strike w:val="0"/>
        <w:color w:val="000000"/>
        <w:sz w:val="28"/>
        <w:szCs w:val="28"/>
        <w:u w:val="none"/>
        <w:vertAlign w:val="baseline"/>
      </w:rPr>
    </w:lvl>
    <w:lvl w:ilvl="2">
      <w:start w:val="1"/>
      <w:numFmt w:val="bullet"/>
      <w:isLgl w:val="false"/>
      <w:suff w:val="tab"/>
      <w:lvlText w:val="▪"/>
      <w:lvlJc w:val="left"/>
      <w:pPr>
        <w:ind w:left="2508"/>
      </w:pPr>
      <w:rPr>
        <w:rFonts w:ascii="Times New Roman" w:hAnsi="Times New Roman" w:eastAsia="Times New Roman" w:cs="Times New Roman"/>
        <w:b w:val="0"/>
        <w:i w:val="0"/>
        <w:strike w:val="0"/>
        <w:color w:val="000000"/>
        <w:sz w:val="28"/>
        <w:szCs w:val="28"/>
        <w:u w:val="none"/>
        <w:vertAlign w:val="baseline"/>
      </w:rPr>
    </w:lvl>
    <w:lvl w:ilvl="3">
      <w:start w:val="1"/>
      <w:numFmt w:val="bullet"/>
      <w:isLgl w:val="false"/>
      <w:suff w:val="tab"/>
      <w:lvlText w:val="•"/>
      <w:lvlJc w:val="left"/>
      <w:pPr>
        <w:ind w:left="3228"/>
      </w:pPr>
      <w:rPr>
        <w:rFonts w:ascii="Times New Roman" w:hAnsi="Times New Roman" w:eastAsia="Times New Roman" w:cs="Times New Roman"/>
        <w:b w:val="0"/>
        <w:i w:val="0"/>
        <w:strike w:val="0"/>
        <w:color w:val="000000"/>
        <w:sz w:val="28"/>
        <w:szCs w:val="28"/>
        <w:u w:val="none"/>
        <w:vertAlign w:val="baseline"/>
      </w:rPr>
    </w:lvl>
    <w:lvl w:ilvl="4">
      <w:start w:val="1"/>
      <w:numFmt w:val="bullet"/>
      <w:isLgl w:val="false"/>
      <w:suff w:val="tab"/>
      <w:lvlText w:val="o"/>
      <w:lvlJc w:val="left"/>
      <w:pPr>
        <w:ind w:left="3948"/>
      </w:pPr>
      <w:rPr>
        <w:rFonts w:ascii="Times New Roman" w:hAnsi="Times New Roman" w:eastAsia="Times New Roman" w:cs="Times New Roman"/>
        <w:b w:val="0"/>
        <w:i w:val="0"/>
        <w:strike w:val="0"/>
        <w:color w:val="000000"/>
        <w:sz w:val="28"/>
        <w:szCs w:val="28"/>
        <w:u w:val="none"/>
        <w:vertAlign w:val="baseline"/>
      </w:rPr>
    </w:lvl>
    <w:lvl w:ilvl="5">
      <w:start w:val="1"/>
      <w:numFmt w:val="bullet"/>
      <w:isLgl w:val="false"/>
      <w:suff w:val="tab"/>
      <w:lvlText w:val="▪"/>
      <w:lvlJc w:val="left"/>
      <w:pPr>
        <w:ind w:left="4668"/>
      </w:pPr>
      <w:rPr>
        <w:rFonts w:ascii="Times New Roman" w:hAnsi="Times New Roman" w:eastAsia="Times New Roman" w:cs="Times New Roman"/>
        <w:b w:val="0"/>
        <w:i w:val="0"/>
        <w:strike w:val="0"/>
        <w:color w:val="000000"/>
        <w:sz w:val="28"/>
        <w:szCs w:val="28"/>
        <w:u w:val="none"/>
        <w:vertAlign w:val="baseline"/>
      </w:rPr>
    </w:lvl>
    <w:lvl w:ilvl="6">
      <w:start w:val="1"/>
      <w:numFmt w:val="bullet"/>
      <w:isLgl w:val="false"/>
      <w:suff w:val="tab"/>
      <w:lvlText w:val="•"/>
      <w:lvlJc w:val="left"/>
      <w:pPr>
        <w:ind w:left="5388"/>
      </w:pPr>
      <w:rPr>
        <w:rFonts w:ascii="Times New Roman" w:hAnsi="Times New Roman" w:eastAsia="Times New Roman" w:cs="Times New Roman"/>
        <w:b w:val="0"/>
        <w:i w:val="0"/>
        <w:strike w:val="0"/>
        <w:color w:val="000000"/>
        <w:sz w:val="28"/>
        <w:szCs w:val="28"/>
        <w:u w:val="none"/>
        <w:vertAlign w:val="baseline"/>
      </w:rPr>
    </w:lvl>
    <w:lvl w:ilvl="7">
      <w:start w:val="1"/>
      <w:numFmt w:val="bullet"/>
      <w:isLgl w:val="false"/>
      <w:suff w:val="tab"/>
      <w:lvlText w:val="o"/>
      <w:lvlJc w:val="left"/>
      <w:pPr>
        <w:ind w:left="6108"/>
      </w:pPr>
      <w:rPr>
        <w:rFonts w:ascii="Times New Roman" w:hAnsi="Times New Roman" w:eastAsia="Times New Roman" w:cs="Times New Roman"/>
        <w:b w:val="0"/>
        <w:i w:val="0"/>
        <w:strike w:val="0"/>
        <w:color w:val="000000"/>
        <w:sz w:val="28"/>
        <w:szCs w:val="28"/>
        <w:u w:val="none"/>
        <w:vertAlign w:val="baseline"/>
      </w:rPr>
    </w:lvl>
    <w:lvl w:ilvl="8">
      <w:start w:val="1"/>
      <w:numFmt w:val="bullet"/>
      <w:isLgl w:val="false"/>
      <w:suff w:val="tab"/>
      <w:lvlText w:val="▪"/>
      <w:lvlJc w:val="left"/>
      <w:pPr>
        <w:ind w:left="6828"/>
      </w:pPr>
      <w:rPr>
        <w:rFonts w:ascii="Times New Roman" w:hAnsi="Times New Roman" w:eastAsia="Times New Roman" w:cs="Times New Roman"/>
        <w:b w:val="0"/>
        <w:i w:val="0"/>
        <w:strike w:val="0"/>
        <w:color w:val="000000"/>
        <w:sz w:val="28"/>
        <w:szCs w:val="28"/>
        <w:u w:val="none"/>
        <w:vertAlign w:val="baseline"/>
      </w:rPr>
    </w:lvl>
  </w:abstractNum>
  <w:abstractNum w:abstractNumId="159">
    <w:multiLevelType w:val="hybridMultilevel"/>
    <w:lvl w:ilvl="0">
      <w:start w:val="1"/>
      <w:numFmt w:val="bullet"/>
      <w:isLgl w:val="false"/>
      <w:suff w:val="tab"/>
      <w:lvlText w:val=""/>
      <w:lvlJc w:val="left"/>
      <w:pPr>
        <w:ind w:left="0"/>
      </w:pPr>
      <w:rPr>
        <w:rFonts w:hint="default" w:ascii="Symbol" w:hAnsi="Symbol"/>
        <w:b w:val="0"/>
        <w:i w:val="0"/>
        <w:strike w:val="0"/>
        <w:color w:val="000000"/>
        <w:sz w:val="28"/>
        <w:szCs w:val="28"/>
        <w:u w:val="none"/>
        <w:vertAlign w:val="baseline"/>
      </w:rPr>
    </w:lvl>
    <w:lvl w:ilvl="1">
      <w:start w:val="1"/>
      <w:numFmt w:val="bullet"/>
      <w:isLgl w:val="false"/>
      <w:suff w:val="tab"/>
      <w:lvlText w:val="o"/>
      <w:lvlJc w:val="left"/>
      <w:pPr>
        <w:ind w:left="1788"/>
      </w:pPr>
      <w:rPr>
        <w:rFonts w:ascii="Times New Roman" w:hAnsi="Times New Roman" w:eastAsia="Times New Roman" w:cs="Times New Roman"/>
        <w:b w:val="0"/>
        <w:i w:val="0"/>
        <w:strike w:val="0"/>
        <w:color w:val="000000"/>
        <w:sz w:val="28"/>
        <w:szCs w:val="28"/>
        <w:u w:val="none"/>
        <w:vertAlign w:val="baseline"/>
      </w:rPr>
    </w:lvl>
    <w:lvl w:ilvl="2">
      <w:start w:val="1"/>
      <w:numFmt w:val="bullet"/>
      <w:isLgl w:val="false"/>
      <w:suff w:val="tab"/>
      <w:lvlText w:val="▪"/>
      <w:lvlJc w:val="left"/>
      <w:pPr>
        <w:ind w:left="2508"/>
      </w:pPr>
      <w:rPr>
        <w:rFonts w:ascii="Times New Roman" w:hAnsi="Times New Roman" w:eastAsia="Times New Roman" w:cs="Times New Roman"/>
        <w:b w:val="0"/>
        <w:i w:val="0"/>
        <w:strike w:val="0"/>
        <w:color w:val="000000"/>
        <w:sz w:val="28"/>
        <w:szCs w:val="28"/>
        <w:u w:val="none"/>
        <w:vertAlign w:val="baseline"/>
      </w:rPr>
    </w:lvl>
    <w:lvl w:ilvl="3">
      <w:start w:val="1"/>
      <w:numFmt w:val="bullet"/>
      <w:isLgl w:val="false"/>
      <w:suff w:val="tab"/>
      <w:lvlText w:val="•"/>
      <w:lvlJc w:val="left"/>
      <w:pPr>
        <w:ind w:left="3228"/>
      </w:pPr>
      <w:rPr>
        <w:rFonts w:ascii="Times New Roman" w:hAnsi="Times New Roman" w:eastAsia="Times New Roman" w:cs="Times New Roman"/>
        <w:b w:val="0"/>
        <w:i w:val="0"/>
        <w:strike w:val="0"/>
        <w:color w:val="000000"/>
        <w:sz w:val="28"/>
        <w:szCs w:val="28"/>
        <w:u w:val="none"/>
        <w:vertAlign w:val="baseline"/>
      </w:rPr>
    </w:lvl>
    <w:lvl w:ilvl="4">
      <w:start w:val="1"/>
      <w:numFmt w:val="bullet"/>
      <w:isLgl w:val="false"/>
      <w:suff w:val="tab"/>
      <w:lvlText w:val="o"/>
      <w:lvlJc w:val="left"/>
      <w:pPr>
        <w:ind w:left="3948"/>
      </w:pPr>
      <w:rPr>
        <w:rFonts w:ascii="Times New Roman" w:hAnsi="Times New Roman" w:eastAsia="Times New Roman" w:cs="Times New Roman"/>
        <w:b w:val="0"/>
        <w:i w:val="0"/>
        <w:strike w:val="0"/>
        <w:color w:val="000000"/>
        <w:sz w:val="28"/>
        <w:szCs w:val="28"/>
        <w:u w:val="none"/>
        <w:vertAlign w:val="baseline"/>
      </w:rPr>
    </w:lvl>
    <w:lvl w:ilvl="5">
      <w:start w:val="1"/>
      <w:numFmt w:val="bullet"/>
      <w:isLgl w:val="false"/>
      <w:suff w:val="tab"/>
      <w:lvlText w:val="▪"/>
      <w:lvlJc w:val="left"/>
      <w:pPr>
        <w:ind w:left="4668"/>
      </w:pPr>
      <w:rPr>
        <w:rFonts w:ascii="Times New Roman" w:hAnsi="Times New Roman" w:eastAsia="Times New Roman" w:cs="Times New Roman"/>
        <w:b w:val="0"/>
        <w:i w:val="0"/>
        <w:strike w:val="0"/>
        <w:color w:val="000000"/>
        <w:sz w:val="28"/>
        <w:szCs w:val="28"/>
        <w:u w:val="none"/>
        <w:vertAlign w:val="baseline"/>
      </w:rPr>
    </w:lvl>
    <w:lvl w:ilvl="6">
      <w:start w:val="1"/>
      <w:numFmt w:val="bullet"/>
      <w:isLgl w:val="false"/>
      <w:suff w:val="tab"/>
      <w:lvlText w:val="•"/>
      <w:lvlJc w:val="left"/>
      <w:pPr>
        <w:ind w:left="5388"/>
      </w:pPr>
      <w:rPr>
        <w:rFonts w:ascii="Times New Roman" w:hAnsi="Times New Roman" w:eastAsia="Times New Roman" w:cs="Times New Roman"/>
        <w:b w:val="0"/>
        <w:i w:val="0"/>
        <w:strike w:val="0"/>
        <w:color w:val="000000"/>
        <w:sz w:val="28"/>
        <w:szCs w:val="28"/>
        <w:u w:val="none"/>
        <w:vertAlign w:val="baseline"/>
      </w:rPr>
    </w:lvl>
    <w:lvl w:ilvl="7">
      <w:start w:val="1"/>
      <w:numFmt w:val="bullet"/>
      <w:isLgl w:val="false"/>
      <w:suff w:val="tab"/>
      <w:lvlText w:val="o"/>
      <w:lvlJc w:val="left"/>
      <w:pPr>
        <w:ind w:left="6108"/>
      </w:pPr>
      <w:rPr>
        <w:rFonts w:ascii="Times New Roman" w:hAnsi="Times New Roman" w:eastAsia="Times New Roman" w:cs="Times New Roman"/>
        <w:b w:val="0"/>
        <w:i w:val="0"/>
        <w:strike w:val="0"/>
        <w:color w:val="000000"/>
        <w:sz w:val="28"/>
        <w:szCs w:val="28"/>
        <w:u w:val="none"/>
        <w:vertAlign w:val="baseline"/>
      </w:rPr>
    </w:lvl>
    <w:lvl w:ilvl="8">
      <w:start w:val="1"/>
      <w:numFmt w:val="bullet"/>
      <w:isLgl w:val="false"/>
      <w:suff w:val="tab"/>
      <w:lvlText w:val="▪"/>
      <w:lvlJc w:val="left"/>
      <w:pPr>
        <w:ind w:left="6828"/>
      </w:pPr>
      <w:rPr>
        <w:rFonts w:ascii="Times New Roman" w:hAnsi="Times New Roman" w:eastAsia="Times New Roman" w:cs="Times New Roman"/>
        <w:b w:val="0"/>
        <w:i w:val="0"/>
        <w:strike w:val="0"/>
        <w:color w:val="000000"/>
        <w:sz w:val="28"/>
        <w:szCs w:val="28"/>
        <w:u w:val="none"/>
        <w:vertAlign w:val="baseline"/>
      </w:rPr>
    </w:lvl>
  </w:abstractNum>
  <w:abstractNum w:abstractNumId="160">
    <w:multiLevelType w:val="hybridMultilevel"/>
    <w:lvl w:ilvl="0">
      <w:start w:val="1"/>
      <w:numFmt w:val="bullet"/>
      <w:isLgl w:val="false"/>
      <w:suff w:val="tab"/>
      <w:lvlText w:val=""/>
      <w:lvlJc w:val="left"/>
      <w:pPr>
        <w:ind w:left="0"/>
      </w:pPr>
      <w:rPr>
        <w:rFonts w:hint="default" w:ascii="Symbol" w:hAnsi="Symbol"/>
        <w:b w:val="0"/>
        <w:i w:val="0"/>
        <w:strike w:val="0"/>
        <w:color w:val="000000"/>
        <w:sz w:val="28"/>
        <w:szCs w:val="28"/>
        <w:u w:val="none"/>
        <w:vertAlign w:val="baseline"/>
      </w:rPr>
    </w:lvl>
    <w:lvl w:ilvl="1">
      <w:start w:val="1"/>
      <w:numFmt w:val="bullet"/>
      <w:isLgl w:val="false"/>
      <w:suff w:val="tab"/>
      <w:lvlText w:val="o"/>
      <w:lvlJc w:val="left"/>
      <w:pPr>
        <w:ind w:left="1788"/>
      </w:pPr>
      <w:rPr>
        <w:rFonts w:ascii="Times New Roman" w:hAnsi="Times New Roman" w:eastAsia="Times New Roman" w:cs="Times New Roman"/>
        <w:b w:val="0"/>
        <w:i w:val="0"/>
        <w:strike w:val="0"/>
        <w:color w:val="000000"/>
        <w:sz w:val="28"/>
        <w:szCs w:val="28"/>
        <w:u w:val="none"/>
        <w:vertAlign w:val="baseline"/>
      </w:rPr>
    </w:lvl>
    <w:lvl w:ilvl="2">
      <w:start w:val="1"/>
      <w:numFmt w:val="bullet"/>
      <w:isLgl w:val="false"/>
      <w:suff w:val="tab"/>
      <w:lvlText w:val="▪"/>
      <w:lvlJc w:val="left"/>
      <w:pPr>
        <w:ind w:left="2508"/>
      </w:pPr>
      <w:rPr>
        <w:rFonts w:ascii="Times New Roman" w:hAnsi="Times New Roman" w:eastAsia="Times New Roman" w:cs="Times New Roman"/>
        <w:b w:val="0"/>
        <w:i w:val="0"/>
        <w:strike w:val="0"/>
        <w:color w:val="000000"/>
        <w:sz w:val="28"/>
        <w:szCs w:val="28"/>
        <w:u w:val="none"/>
        <w:vertAlign w:val="baseline"/>
      </w:rPr>
    </w:lvl>
    <w:lvl w:ilvl="3">
      <w:start w:val="1"/>
      <w:numFmt w:val="bullet"/>
      <w:isLgl w:val="false"/>
      <w:suff w:val="tab"/>
      <w:lvlText w:val="•"/>
      <w:lvlJc w:val="left"/>
      <w:pPr>
        <w:ind w:left="3228"/>
      </w:pPr>
      <w:rPr>
        <w:rFonts w:ascii="Times New Roman" w:hAnsi="Times New Roman" w:eastAsia="Times New Roman" w:cs="Times New Roman"/>
        <w:b w:val="0"/>
        <w:i w:val="0"/>
        <w:strike w:val="0"/>
        <w:color w:val="000000"/>
        <w:sz w:val="28"/>
        <w:szCs w:val="28"/>
        <w:u w:val="none"/>
        <w:vertAlign w:val="baseline"/>
      </w:rPr>
    </w:lvl>
    <w:lvl w:ilvl="4">
      <w:start w:val="1"/>
      <w:numFmt w:val="bullet"/>
      <w:isLgl w:val="false"/>
      <w:suff w:val="tab"/>
      <w:lvlText w:val="o"/>
      <w:lvlJc w:val="left"/>
      <w:pPr>
        <w:ind w:left="3948"/>
      </w:pPr>
      <w:rPr>
        <w:rFonts w:ascii="Times New Roman" w:hAnsi="Times New Roman" w:eastAsia="Times New Roman" w:cs="Times New Roman"/>
        <w:b w:val="0"/>
        <w:i w:val="0"/>
        <w:strike w:val="0"/>
        <w:color w:val="000000"/>
        <w:sz w:val="28"/>
        <w:szCs w:val="28"/>
        <w:u w:val="none"/>
        <w:vertAlign w:val="baseline"/>
      </w:rPr>
    </w:lvl>
    <w:lvl w:ilvl="5">
      <w:start w:val="1"/>
      <w:numFmt w:val="bullet"/>
      <w:isLgl w:val="false"/>
      <w:suff w:val="tab"/>
      <w:lvlText w:val="▪"/>
      <w:lvlJc w:val="left"/>
      <w:pPr>
        <w:ind w:left="4668"/>
      </w:pPr>
      <w:rPr>
        <w:rFonts w:ascii="Times New Roman" w:hAnsi="Times New Roman" w:eastAsia="Times New Roman" w:cs="Times New Roman"/>
        <w:b w:val="0"/>
        <w:i w:val="0"/>
        <w:strike w:val="0"/>
        <w:color w:val="000000"/>
        <w:sz w:val="28"/>
        <w:szCs w:val="28"/>
        <w:u w:val="none"/>
        <w:vertAlign w:val="baseline"/>
      </w:rPr>
    </w:lvl>
    <w:lvl w:ilvl="6">
      <w:start w:val="1"/>
      <w:numFmt w:val="bullet"/>
      <w:isLgl w:val="false"/>
      <w:suff w:val="tab"/>
      <w:lvlText w:val="•"/>
      <w:lvlJc w:val="left"/>
      <w:pPr>
        <w:ind w:left="5388"/>
      </w:pPr>
      <w:rPr>
        <w:rFonts w:ascii="Times New Roman" w:hAnsi="Times New Roman" w:eastAsia="Times New Roman" w:cs="Times New Roman"/>
        <w:b w:val="0"/>
        <w:i w:val="0"/>
        <w:strike w:val="0"/>
        <w:color w:val="000000"/>
        <w:sz w:val="28"/>
        <w:szCs w:val="28"/>
        <w:u w:val="none"/>
        <w:vertAlign w:val="baseline"/>
      </w:rPr>
    </w:lvl>
    <w:lvl w:ilvl="7">
      <w:start w:val="1"/>
      <w:numFmt w:val="bullet"/>
      <w:isLgl w:val="false"/>
      <w:suff w:val="tab"/>
      <w:lvlText w:val="o"/>
      <w:lvlJc w:val="left"/>
      <w:pPr>
        <w:ind w:left="6108"/>
      </w:pPr>
      <w:rPr>
        <w:rFonts w:ascii="Times New Roman" w:hAnsi="Times New Roman" w:eastAsia="Times New Roman" w:cs="Times New Roman"/>
        <w:b w:val="0"/>
        <w:i w:val="0"/>
        <w:strike w:val="0"/>
        <w:color w:val="000000"/>
        <w:sz w:val="28"/>
        <w:szCs w:val="28"/>
        <w:u w:val="none"/>
        <w:vertAlign w:val="baseline"/>
      </w:rPr>
    </w:lvl>
    <w:lvl w:ilvl="8">
      <w:start w:val="1"/>
      <w:numFmt w:val="bullet"/>
      <w:isLgl w:val="false"/>
      <w:suff w:val="tab"/>
      <w:lvlText w:val="▪"/>
      <w:lvlJc w:val="left"/>
      <w:pPr>
        <w:ind w:left="6828"/>
      </w:pPr>
      <w:rPr>
        <w:rFonts w:ascii="Times New Roman" w:hAnsi="Times New Roman" w:eastAsia="Times New Roman" w:cs="Times New Roman"/>
        <w:b w:val="0"/>
        <w:i w:val="0"/>
        <w:strike w:val="0"/>
        <w:color w:val="000000"/>
        <w:sz w:val="28"/>
        <w:szCs w:val="28"/>
        <w:u w:val="none"/>
        <w:vertAlign w:val="baseline"/>
      </w:rPr>
    </w:lvl>
  </w:abstractNum>
  <w:abstractNum w:abstractNumId="161">
    <w:multiLevelType w:val="hybridMultilevel"/>
    <w:lvl w:ilvl="0">
      <w:start w:val="1"/>
      <w:numFmt w:val="bullet"/>
      <w:isLgl w:val="false"/>
      <w:suff w:val="tab"/>
      <w:lvlText w:val=""/>
      <w:lvlJc w:val="left"/>
      <w:pPr>
        <w:ind w:left="0"/>
      </w:pPr>
      <w:rPr>
        <w:rFonts w:hint="default" w:ascii="Symbol" w:hAnsi="Symbol"/>
        <w:b w:val="0"/>
        <w:i w:val="0"/>
        <w:strike w:val="0"/>
        <w:color w:val="000000"/>
        <w:sz w:val="28"/>
        <w:szCs w:val="28"/>
        <w:u w:val="none"/>
        <w:vertAlign w:val="baseline"/>
      </w:rPr>
    </w:lvl>
    <w:lvl w:ilvl="1">
      <w:start w:val="1"/>
      <w:numFmt w:val="bullet"/>
      <w:isLgl w:val="false"/>
      <w:suff w:val="tab"/>
      <w:lvlText w:val="o"/>
      <w:lvlJc w:val="left"/>
      <w:pPr>
        <w:ind w:left="1788"/>
      </w:pPr>
      <w:rPr>
        <w:rFonts w:ascii="Times New Roman" w:hAnsi="Times New Roman" w:eastAsia="Times New Roman" w:cs="Times New Roman"/>
        <w:b w:val="0"/>
        <w:i w:val="0"/>
        <w:strike w:val="0"/>
        <w:color w:val="000000"/>
        <w:sz w:val="28"/>
        <w:szCs w:val="28"/>
        <w:u w:val="none"/>
        <w:vertAlign w:val="baseline"/>
      </w:rPr>
    </w:lvl>
    <w:lvl w:ilvl="2">
      <w:start w:val="1"/>
      <w:numFmt w:val="bullet"/>
      <w:isLgl w:val="false"/>
      <w:suff w:val="tab"/>
      <w:lvlText w:val="▪"/>
      <w:lvlJc w:val="left"/>
      <w:pPr>
        <w:ind w:left="2508"/>
      </w:pPr>
      <w:rPr>
        <w:rFonts w:ascii="Times New Roman" w:hAnsi="Times New Roman" w:eastAsia="Times New Roman" w:cs="Times New Roman"/>
        <w:b w:val="0"/>
        <w:i w:val="0"/>
        <w:strike w:val="0"/>
        <w:color w:val="000000"/>
        <w:sz w:val="28"/>
        <w:szCs w:val="28"/>
        <w:u w:val="none"/>
        <w:vertAlign w:val="baseline"/>
      </w:rPr>
    </w:lvl>
    <w:lvl w:ilvl="3">
      <w:start w:val="1"/>
      <w:numFmt w:val="bullet"/>
      <w:isLgl w:val="false"/>
      <w:suff w:val="tab"/>
      <w:lvlText w:val="•"/>
      <w:lvlJc w:val="left"/>
      <w:pPr>
        <w:ind w:left="3228"/>
      </w:pPr>
      <w:rPr>
        <w:rFonts w:ascii="Times New Roman" w:hAnsi="Times New Roman" w:eastAsia="Times New Roman" w:cs="Times New Roman"/>
        <w:b w:val="0"/>
        <w:i w:val="0"/>
        <w:strike w:val="0"/>
        <w:color w:val="000000"/>
        <w:sz w:val="28"/>
        <w:szCs w:val="28"/>
        <w:u w:val="none"/>
        <w:vertAlign w:val="baseline"/>
      </w:rPr>
    </w:lvl>
    <w:lvl w:ilvl="4">
      <w:start w:val="1"/>
      <w:numFmt w:val="bullet"/>
      <w:isLgl w:val="false"/>
      <w:suff w:val="tab"/>
      <w:lvlText w:val="o"/>
      <w:lvlJc w:val="left"/>
      <w:pPr>
        <w:ind w:left="3948"/>
      </w:pPr>
      <w:rPr>
        <w:rFonts w:ascii="Times New Roman" w:hAnsi="Times New Roman" w:eastAsia="Times New Roman" w:cs="Times New Roman"/>
        <w:b w:val="0"/>
        <w:i w:val="0"/>
        <w:strike w:val="0"/>
        <w:color w:val="000000"/>
        <w:sz w:val="28"/>
        <w:szCs w:val="28"/>
        <w:u w:val="none"/>
        <w:vertAlign w:val="baseline"/>
      </w:rPr>
    </w:lvl>
    <w:lvl w:ilvl="5">
      <w:start w:val="1"/>
      <w:numFmt w:val="bullet"/>
      <w:isLgl w:val="false"/>
      <w:suff w:val="tab"/>
      <w:lvlText w:val="▪"/>
      <w:lvlJc w:val="left"/>
      <w:pPr>
        <w:ind w:left="4668"/>
      </w:pPr>
      <w:rPr>
        <w:rFonts w:ascii="Times New Roman" w:hAnsi="Times New Roman" w:eastAsia="Times New Roman" w:cs="Times New Roman"/>
        <w:b w:val="0"/>
        <w:i w:val="0"/>
        <w:strike w:val="0"/>
        <w:color w:val="000000"/>
        <w:sz w:val="28"/>
        <w:szCs w:val="28"/>
        <w:u w:val="none"/>
        <w:vertAlign w:val="baseline"/>
      </w:rPr>
    </w:lvl>
    <w:lvl w:ilvl="6">
      <w:start w:val="1"/>
      <w:numFmt w:val="bullet"/>
      <w:isLgl w:val="false"/>
      <w:suff w:val="tab"/>
      <w:lvlText w:val="•"/>
      <w:lvlJc w:val="left"/>
      <w:pPr>
        <w:ind w:left="5388"/>
      </w:pPr>
      <w:rPr>
        <w:rFonts w:ascii="Times New Roman" w:hAnsi="Times New Roman" w:eastAsia="Times New Roman" w:cs="Times New Roman"/>
        <w:b w:val="0"/>
        <w:i w:val="0"/>
        <w:strike w:val="0"/>
        <w:color w:val="000000"/>
        <w:sz w:val="28"/>
        <w:szCs w:val="28"/>
        <w:u w:val="none"/>
        <w:vertAlign w:val="baseline"/>
      </w:rPr>
    </w:lvl>
    <w:lvl w:ilvl="7">
      <w:start w:val="1"/>
      <w:numFmt w:val="bullet"/>
      <w:isLgl w:val="false"/>
      <w:suff w:val="tab"/>
      <w:lvlText w:val="o"/>
      <w:lvlJc w:val="left"/>
      <w:pPr>
        <w:ind w:left="6108"/>
      </w:pPr>
      <w:rPr>
        <w:rFonts w:ascii="Times New Roman" w:hAnsi="Times New Roman" w:eastAsia="Times New Roman" w:cs="Times New Roman"/>
        <w:b w:val="0"/>
        <w:i w:val="0"/>
        <w:strike w:val="0"/>
        <w:color w:val="000000"/>
        <w:sz w:val="28"/>
        <w:szCs w:val="28"/>
        <w:u w:val="none"/>
        <w:vertAlign w:val="baseline"/>
      </w:rPr>
    </w:lvl>
    <w:lvl w:ilvl="8">
      <w:start w:val="1"/>
      <w:numFmt w:val="bullet"/>
      <w:isLgl w:val="false"/>
      <w:suff w:val="tab"/>
      <w:lvlText w:val="▪"/>
      <w:lvlJc w:val="left"/>
      <w:pPr>
        <w:ind w:left="6828"/>
      </w:pPr>
      <w:rPr>
        <w:rFonts w:ascii="Times New Roman" w:hAnsi="Times New Roman" w:eastAsia="Times New Roman" w:cs="Times New Roman"/>
        <w:b w:val="0"/>
        <w:i w:val="0"/>
        <w:strike w:val="0"/>
        <w:color w:val="000000"/>
        <w:sz w:val="28"/>
        <w:szCs w:val="28"/>
        <w:u w:val="none"/>
        <w:vertAlign w:val="baseline"/>
      </w:rPr>
    </w:lvl>
  </w:abstractNum>
  <w:abstractNum w:abstractNumId="162">
    <w:multiLevelType w:val="hybridMultilevel"/>
    <w:lvl w:ilvl="0">
      <w:start w:val="1"/>
      <w:numFmt w:val="bullet"/>
      <w:isLgl w:val="false"/>
      <w:suff w:val="tab"/>
      <w:lvlText w:val=""/>
      <w:lvlJc w:val="left"/>
      <w:pPr>
        <w:ind w:left="0"/>
      </w:pPr>
      <w:rPr>
        <w:rFonts w:hint="default" w:ascii="Symbol" w:hAnsi="Symbol"/>
        <w:b w:val="0"/>
        <w:i w:val="0"/>
        <w:strike w:val="0"/>
        <w:color w:val="000000"/>
        <w:sz w:val="28"/>
        <w:szCs w:val="28"/>
        <w:u w:val="none"/>
        <w:vertAlign w:val="baseline"/>
      </w:rPr>
    </w:lvl>
    <w:lvl w:ilvl="1">
      <w:start w:val="1"/>
      <w:numFmt w:val="bullet"/>
      <w:isLgl w:val="false"/>
      <w:suff w:val="tab"/>
      <w:lvlText w:val="o"/>
      <w:lvlJc w:val="left"/>
      <w:pPr>
        <w:ind w:left="1788"/>
      </w:pPr>
      <w:rPr>
        <w:rFonts w:ascii="Times New Roman" w:hAnsi="Times New Roman" w:eastAsia="Times New Roman" w:cs="Times New Roman"/>
        <w:b w:val="0"/>
        <w:i w:val="0"/>
        <w:strike w:val="0"/>
        <w:color w:val="000000"/>
        <w:sz w:val="28"/>
        <w:szCs w:val="28"/>
        <w:u w:val="none"/>
        <w:vertAlign w:val="baseline"/>
      </w:rPr>
    </w:lvl>
    <w:lvl w:ilvl="2">
      <w:start w:val="1"/>
      <w:numFmt w:val="bullet"/>
      <w:isLgl w:val="false"/>
      <w:suff w:val="tab"/>
      <w:lvlText w:val="▪"/>
      <w:lvlJc w:val="left"/>
      <w:pPr>
        <w:ind w:left="2508"/>
      </w:pPr>
      <w:rPr>
        <w:rFonts w:ascii="Times New Roman" w:hAnsi="Times New Roman" w:eastAsia="Times New Roman" w:cs="Times New Roman"/>
        <w:b w:val="0"/>
        <w:i w:val="0"/>
        <w:strike w:val="0"/>
        <w:color w:val="000000"/>
        <w:sz w:val="28"/>
        <w:szCs w:val="28"/>
        <w:u w:val="none"/>
        <w:vertAlign w:val="baseline"/>
      </w:rPr>
    </w:lvl>
    <w:lvl w:ilvl="3">
      <w:start w:val="1"/>
      <w:numFmt w:val="bullet"/>
      <w:isLgl w:val="false"/>
      <w:suff w:val="tab"/>
      <w:lvlText w:val="•"/>
      <w:lvlJc w:val="left"/>
      <w:pPr>
        <w:ind w:left="3228"/>
      </w:pPr>
      <w:rPr>
        <w:rFonts w:ascii="Times New Roman" w:hAnsi="Times New Roman" w:eastAsia="Times New Roman" w:cs="Times New Roman"/>
        <w:b w:val="0"/>
        <w:i w:val="0"/>
        <w:strike w:val="0"/>
        <w:color w:val="000000"/>
        <w:sz w:val="28"/>
        <w:szCs w:val="28"/>
        <w:u w:val="none"/>
        <w:vertAlign w:val="baseline"/>
      </w:rPr>
    </w:lvl>
    <w:lvl w:ilvl="4">
      <w:start w:val="1"/>
      <w:numFmt w:val="bullet"/>
      <w:isLgl w:val="false"/>
      <w:suff w:val="tab"/>
      <w:lvlText w:val="o"/>
      <w:lvlJc w:val="left"/>
      <w:pPr>
        <w:ind w:left="3948"/>
      </w:pPr>
      <w:rPr>
        <w:rFonts w:ascii="Times New Roman" w:hAnsi="Times New Roman" w:eastAsia="Times New Roman" w:cs="Times New Roman"/>
        <w:b w:val="0"/>
        <w:i w:val="0"/>
        <w:strike w:val="0"/>
        <w:color w:val="000000"/>
        <w:sz w:val="28"/>
        <w:szCs w:val="28"/>
        <w:u w:val="none"/>
        <w:vertAlign w:val="baseline"/>
      </w:rPr>
    </w:lvl>
    <w:lvl w:ilvl="5">
      <w:start w:val="1"/>
      <w:numFmt w:val="bullet"/>
      <w:isLgl w:val="false"/>
      <w:suff w:val="tab"/>
      <w:lvlText w:val="▪"/>
      <w:lvlJc w:val="left"/>
      <w:pPr>
        <w:ind w:left="4668"/>
      </w:pPr>
      <w:rPr>
        <w:rFonts w:ascii="Times New Roman" w:hAnsi="Times New Roman" w:eastAsia="Times New Roman" w:cs="Times New Roman"/>
        <w:b w:val="0"/>
        <w:i w:val="0"/>
        <w:strike w:val="0"/>
        <w:color w:val="000000"/>
        <w:sz w:val="28"/>
        <w:szCs w:val="28"/>
        <w:u w:val="none"/>
        <w:vertAlign w:val="baseline"/>
      </w:rPr>
    </w:lvl>
    <w:lvl w:ilvl="6">
      <w:start w:val="1"/>
      <w:numFmt w:val="bullet"/>
      <w:isLgl w:val="false"/>
      <w:suff w:val="tab"/>
      <w:lvlText w:val="•"/>
      <w:lvlJc w:val="left"/>
      <w:pPr>
        <w:ind w:left="5388"/>
      </w:pPr>
      <w:rPr>
        <w:rFonts w:ascii="Times New Roman" w:hAnsi="Times New Roman" w:eastAsia="Times New Roman" w:cs="Times New Roman"/>
        <w:b w:val="0"/>
        <w:i w:val="0"/>
        <w:strike w:val="0"/>
        <w:color w:val="000000"/>
        <w:sz w:val="28"/>
        <w:szCs w:val="28"/>
        <w:u w:val="none"/>
        <w:vertAlign w:val="baseline"/>
      </w:rPr>
    </w:lvl>
    <w:lvl w:ilvl="7">
      <w:start w:val="1"/>
      <w:numFmt w:val="bullet"/>
      <w:isLgl w:val="false"/>
      <w:suff w:val="tab"/>
      <w:lvlText w:val="o"/>
      <w:lvlJc w:val="left"/>
      <w:pPr>
        <w:ind w:left="6108"/>
      </w:pPr>
      <w:rPr>
        <w:rFonts w:ascii="Times New Roman" w:hAnsi="Times New Roman" w:eastAsia="Times New Roman" w:cs="Times New Roman"/>
        <w:b w:val="0"/>
        <w:i w:val="0"/>
        <w:strike w:val="0"/>
        <w:color w:val="000000"/>
        <w:sz w:val="28"/>
        <w:szCs w:val="28"/>
        <w:u w:val="none"/>
        <w:vertAlign w:val="baseline"/>
      </w:rPr>
    </w:lvl>
    <w:lvl w:ilvl="8">
      <w:start w:val="1"/>
      <w:numFmt w:val="bullet"/>
      <w:isLgl w:val="false"/>
      <w:suff w:val="tab"/>
      <w:lvlText w:val="▪"/>
      <w:lvlJc w:val="left"/>
      <w:pPr>
        <w:ind w:left="6828"/>
      </w:pPr>
      <w:rPr>
        <w:rFonts w:ascii="Times New Roman" w:hAnsi="Times New Roman" w:eastAsia="Times New Roman" w:cs="Times New Roman"/>
        <w:b w:val="0"/>
        <w:i w:val="0"/>
        <w:strike w:val="0"/>
        <w:color w:val="000000"/>
        <w:sz w:val="28"/>
        <w:szCs w:val="28"/>
        <w:u w:val="none"/>
        <w:vertAlign w:val="baseline"/>
      </w:rPr>
    </w:lvl>
  </w:abstractNum>
  <w:abstractNum w:abstractNumId="163">
    <w:multiLevelType w:val="hybridMultilevel"/>
    <w:lvl w:ilvl="0">
      <w:start w:val="1"/>
      <w:numFmt w:val="bullet"/>
      <w:isLgl w:val="false"/>
      <w:suff w:val="tab"/>
      <w:lvlText w:val=""/>
      <w:lvlJc w:val="left"/>
      <w:pPr>
        <w:ind w:left="0"/>
      </w:pPr>
      <w:rPr>
        <w:rFonts w:hint="default" w:ascii="Symbol" w:hAnsi="Symbol"/>
        <w:b w:val="0"/>
        <w:i w:val="0"/>
        <w:strike w:val="0"/>
        <w:color w:val="000000"/>
        <w:sz w:val="28"/>
        <w:szCs w:val="28"/>
        <w:u w:val="none"/>
        <w:vertAlign w:val="baseline"/>
      </w:rPr>
    </w:lvl>
    <w:lvl w:ilvl="1">
      <w:start w:val="1"/>
      <w:numFmt w:val="bullet"/>
      <w:isLgl w:val="false"/>
      <w:suff w:val="tab"/>
      <w:lvlText w:val="o"/>
      <w:lvlJc w:val="left"/>
      <w:pPr>
        <w:ind w:left="1788"/>
      </w:pPr>
      <w:rPr>
        <w:rFonts w:ascii="Times New Roman" w:hAnsi="Times New Roman" w:eastAsia="Times New Roman" w:cs="Times New Roman"/>
        <w:b w:val="0"/>
        <w:i w:val="0"/>
        <w:strike w:val="0"/>
        <w:color w:val="000000"/>
        <w:sz w:val="28"/>
        <w:szCs w:val="28"/>
        <w:u w:val="none"/>
        <w:vertAlign w:val="baseline"/>
      </w:rPr>
    </w:lvl>
    <w:lvl w:ilvl="2">
      <w:start w:val="1"/>
      <w:numFmt w:val="bullet"/>
      <w:isLgl w:val="false"/>
      <w:suff w:val="tab"/>
      <w:lvlText w:val="▪"/>
      <w:lvlJc w:val="left"/>
      <w:pPr>
        <w:ind w:left="2508"/>
      </w:pPr>
      <w:rPr>
        <w:rFonts w:ascii="Times New Roman" w:hAnsi="Times New Roman" w:eastAsia="Times New Roman" w:cs="Times New Roman"/>
        <w:b w:val="0"/>
        <w:i w:val="0"/>
        <w:strike w:val="0"/>
        <w:color w:val="000000"/>
        <w:sz w:val="28"/>
        <w:szCs w:val="28"/>
        <w:u w:val="none"/>
        <w:vertAlign w:val="baseline"/>
      </w:rPr>
    </w:lvl>
    <w:lvl w:ilvl="3">
      <w:start w:val="1"/>
      <w:numFmt w:val="bullet"/>
      <w:isLgl w:val="false"/>
      <w:suff w:val="tab"/>
      <w:lvlText w:val="•"/>
      <w:lvlJc w:val="left"/>
      <w:pPr>
        <w:ind w:left="3228"/>
      </w:pPr>
      <w:rPr>
        <w:rFonts w:ascii="Times New Roman" w:hAnsi="Times New Roman" w:eastAsia="Times New Roman" w:cs="Times New Roman"/>
        <w:b w:val="0"/>
        <w:i w:val="0"/>
        <w:strike w:val="0"/>
        <w:color w:val="000000"/>
        <w:sz w:val="28"/>
        <w:szCs w:val="28"/>
        <w:u w:val="none"/>
        <w:vertAlign w:val="baseline"/>
      </w:rPr>
    </w:lvl>
    <w:lvl w:ilvl="4">
      <w:start w:val="1"/>
      <w:numFmt w:val="bullet"/>
      <w:isLgl w:val="false"/>
      <w:suff w:val="tab"/>
      <w:lvlText w:val="o"/>
      <w:lvlJc w:val="left"/>
      <w:pPr>
        <w:ind w:left="3948"/>
      </w:pPr>
      <w:rPr>
        <w:rFonts w:ascii="Times New Roman" w:hAnsi="Times New Roman" w:eastAsia="Times New Roman" w:cs="Times New Roman"/>
        <w:b w:val="0"/>
        <w:i w:val="0"/>
        <w:strike w:val="0"/>
        <w:color w:val="000000"/>
        <w:sz w:val="28"/>
        <w:szCs w:val="28"/>
        <w:u w:val="none"/>
        <w:vertAlign w:val="baseline"/>
      </w:rPr>
    </w:lvl>
    <w:lvl w:ilvl="5">
      <w:start w:val="1"/>
      <w:numFmt w:val="bullet"/>
      <w:isLgl w:val="false"/>
      <w:suff w:val="tab"/>
      <w:lvlText w:val="▪"/>
      <w:lvlJc w:val="left"/>
      <w:pPr>
        <w:ind w:left="4668"/>
      </w:pPr>
      <w:rPr>
        <w:rFonts w:ascii="Times New Roman" w:hAnsi="Times New Roman" w:eastAsia="Times New Roman" w:cs="Times New Roman"/>
        <w:b w:val="0"/>
        <w:i w:val="0"/>
        <w:strike w:val="0"/>
        <w:color w:val="000000"/>
        <w:sz w:val="28"/>
        <w:szCs w:val="28"/>
        <w:u w:val="none"/>
        <w:vertAlign w:val="baseline"/>
      </w:rPr>
    </w:lvl>
    <w:lvl w:ilvl="6">
      <w:start w:val="1"/>
      <w:numFmt w:val="bullet"/>
      <w:isLgl w:val="false"/>
      <w:suff w:val="tab"/>
      <w:lvlText w:val="•"/>
      <w:lvlJc w:val="left"/>
      <w:pPr>
        <w:ind w:left="5388"/>
      </w:pPr>
      <w:rPr>
        <w:rFonts w:ascii="Times New Roman" w:hAnsi="Times New Roman" w:eastAsia="Times New Roman" w:cs="Times New Roman"/>
        <w:b w:val="0"/>
        <w:i w:val="0"/>
        <w:strike w:val="0"/>
        <w:color w:val="000000"/>
        <w:sz w:val="28"/>
        <w:szCs w:val="28"/>
        <w:u w:val="none"/>
        <w:vertAlign w:val="baseline"/>
      </w:rPr>
    </w:lvl>
    <w:lvl w:ilvl="7">
      <w:start w:val="1"/>
      <w:numFmt w:val="bullet"/>
      <w:isLgl w:val="false"/>
      <w:suff w:val="tab"/>
      <w:lvlText w:val="o"/>
      <w:lvlJc w:val="left"/>
      <w:pPr>
        <w:ind w:left="6108"/>
      </w:pPr>
      <w:rPr>
        <w:rFonts w:ascii="Times New Roman" w:hAnsi="Times New Roman" w:eastAsia="Times New Roman" w:cs="Times New Roman"/>
        <w:b w:val="0"/>
        <w:i w:val="0"/>
        <w:strike w:val="0"/>
        <w:color w:val="000000"/>
        <w:sz w:val="28"/>
        <w:szCs w:val="28"/>
        <w:u w:val="none"/>
        <w:vertAlign w:val="baseline"/>
      </w:rPr>
    </w:lvl>
    <w:lvl w:ilvl="8">
      <w:start w:val="1"/>
      <w:numFmt w:val="bullet"/>
      <w:isLgl w:val="false"/>
      <w:suff w:val="tab"/>
      <w:lvlText w:val="▪"/>
      <w:lvlJc w:val="left"/>
      <w:pPr>
        <w:ind w:left="6828"/>
      </w:pPr>
      <w:rPr>
        <w:rFonts w:ascii="Times New Roman" w:hAnsi="Times New Roman" w:eastAsia="Times New Roman" w:cs="Times New Roman"/>
        <w:b w:val="0"/>
        <w:i w:val="0"/>
        <w:strike w:val="0"/>
        <w:color w:val="000000"/>
        <w:sz w:val="28"/>
        <w:szCs w:val="28"/>
        <w:u w:val="none"/>
        <w:vertAlign w:val="baseline"/>
      </w:rPr>
    </w:lvl>
  </w:abstractNum>
  <w:abstractNum w:abstractNumId="164">
    <w:multiLevelType w:val="hybridMultilevel"/>
    <w:lvl w:ilvl="0">
      <w:start w:val="1"/>
      <w:numFmt w:val="bullet"/>
      <w:isLgl w:val="false"/>
      <w:suff w:val="tab"/>
      <w:lvlText w:val=""/>
      <w:lvlJc w:val="left"/>
      <w:pPr>
        <w:ind w:left="0"/>
      </w:pPr>
      <w:rPr>
        <w:rFonts w:hint="default" w:ascii="Symbol" w:hAnsi="Symbol"/>
        <w:b w:val="0"/>
        <w:i w:val="0"/>
        <w:strike w:val="0"/>
        <w:color w:val="000000"/>
        <w:sz w:val="28"/>
        <w:szCs w:val="28"/>
        <w:u w:val="none"/>
        <w:vertAlign w:val="baseline"/>
      </w:rPr>
    </w:lvl>
    <w:lvl w:ilvl="1">
      <w:start w:val="1"/>
      <w:numFmt w:val="bullet"/>
      <w:isLgl w:val="false"/>
      <w:suff w:val="tab"/>
      <w:lvlText w:val="o"/>
      <w:lvlJc w:val="left"/>
      <w:pPr>
        <w:ind w:left="1788"/>
      </w:pPr>
      <w:rPr>
        <w:rFonts w:ascii="Times New Roman" w:hAnsi="Times New Roman" w:eastAsia="Times New Roman" w:cs="Times New Roman"/>
        <w:b w:val="0"/>
        <w:i w:val="0"/>
        <w:strike w:val="0"/>
        <w:color w:val="000000"/>
        <w:sz w:val="28"/>
        <w:szCs w:val="28"/>
        <w:u w:val="none"/>
        <w:vertAlign w:val="baseline"/>
      </w:rPr>
    </w:lvl>
    <w:lvl w:ilvl="2">
      <w:start w:val="1"/>
      <w:numFmt w:val="bullet"/>
      <w:isLgl w:val="false"/>
      <w:suff w:val="tab"/>
      <w:lvlText w:val="▪"/>
      <w:lvlJc w:val="left"/>
      <w:pPr>
        <w:ind w:left="2508"/>
      </w:pPr>
      <w:rPr>
        <w:rFonts w:ascii="Times New Roman" w:hAnsi="Times New Roman" w:eastAsia="Times New Roman" w:cs="Times New Roman"/>
        <w:b w:val="0"/>
        <w:i w:val="0"/>
        <w:strike w:val="0"/>
        <w:color w:val="000000"/>
        <w:sz w:val="28"/>
        <w:szCs w:val="28"/>
        <w:u w:val="none"/>
        <w:vertAlign w:val="baseline"/>
      </w:rPr>
    </w:lvl>
    <w:lvl w:ilvl="3">
      <w:start w:val="1"/>
      <w:numFmt w:val="bullet"/>
      <w:isLgl w:val="false"/>
      <w:suff w:val="tab"/>
      <w:lvlText w:val="•"/>
      <w:lvlJc w:val="left"/>
      <w:pPr>
        <w:ind w:left="3228"/>
      </w:pPr>
      <w:rPr>
        <w:rFonts w:ascii="Times New Roman" w:hAnsi="Times New Roman" w:eastAsia="Times New Roman" w:cs="Times New Roman"/>
        <w:b w:val="0"/>
        <w:i w:val="0"/>
        <w:strike w:val="0"/>
        <w:color w:val="000000"/>
        <w:sz w:val="28"/>
        <w:szCs w:val="28"/>
        <w:u w:val="none"/>
        <w:vertAlign w:val="baseline"/>
      </w:rPr>
    </w:lvl>
    <w:lvl w:ilvl="4">
      <w:start w:val="1"/>
      <w:numFmt w:val="bullet"/>
      <w:isLgl w:val="false"/>
      <w:suff w:val="tab"/>
      <w:lvlText w:val="o"/>
      <w:lvlJc w:val="left"/>
      <w:pPr>
        <w:ind w:left="3948"/>
      </w:pPr>
      <w:rPr>
        <w:rFonts w:ascii="Times New Roman" w:hAnsi="Times New Roman" w:eastAsia="Times New Roman" w:cs="Times New Roman"/>
        <w:b w:val="0"/>
        <w:i w:val="0"/>
        <w:strike w:val="0"/>
        <w:color w:val="000000"/>
        <w:sz w:val="28"/>
        <w:szCs w:val="28"/>
        <w:u w:val="none"/>
        <w:vertAlign w:val="baseline"/>
      </w:rPr>
    </w:lvl>
    <w:lvl w:ilvl="5">
      <w:start w:val="1"/>
      <w:numFmt w:val="bullet"/>
      <w:isLgl w:val="false"/>
      <w:suff w:val="tab"/>
      <w:lvlText w:val="▪"/>
      <w:lvlJc w:val="left"/>
      <w:pPr>
        <w:ind w:left="4668"/>
      </w:pPr>
      <w:rPr>
        <w:rFonts w:ascii="Times New Roman" w:hAnsi="Times New Roman" w:eastAsia="Times New Roman" w:cs="Times New Roman"/>
        <w:b w:val="0"/>
        <w:i w:val="0"/>
        <w:strike w:val="0"/>
        <w:color w:val="000000"/>
        <w:sz w:val="28"/>
        <w:szCs w:val="28"/>
        <w:u w:val="none"/>
        <w:vertAlign w:val="baseline"/>
      </w:rPr>
    </w:lvl>
    <w:lvl w:ilvl="6">
      <w:start w:val="1"/>
      <w:numFmt w:val="bullet"/>
      <w:isLgl w:val="false"/>
      <w:suff w:val="tab"/>
      <w:lvlText w:val="•"/>
      <w:lvlJc w:val="left"/>
      <w:pPr>
        <w:ind w:left="5388"/>
      </w:pPr>
      <w:rPr>
        <w:rFonts w:ascii="Times New Roman" w:hAnsi="Times New Roman" w:eastAsia="Times New Roman" w:cs="Times New Roman"/>
        <w:b w:val="0"/>
        <w:i w:val="0"/>
        <w:strike w:val="0"/>
        <w:color w:val="000000"/>
        <w:sz w:val="28"/>
        <w:szCs w:val="28"/>
        <w:u w:val="none"/>
        <w:vertAlign w:val="baseline"/>
      </w:rPr>
    </w:lvl>
    <w:lvl w:ilvl="7">
      <w:start w:val="1"/>
      <w:numFmt w:val="bullet"/>
      <w:isLgl w:val="false"/>
      <w:suff w:val="tab"/>
      <w:lvlText w:val="o"/>
      <w:lvlJc w:val="left"/>
      <w:pPr>
        <w:ind w:left="6108"/>
      </w:pPr>
      <w:rPr>
        <w:rFonts w:ascii="Times New Roman" w:hAnsi="Times New Roman" w:eastAsia="Times New Roman" w:cs="Times New Roman"/>
        <w:b w:val="0"/>
        <w:i w:val="0"/>
        <w:strike w:val="0"/>
        <w:color w:val="000000"/>
        <w:sz w:val="28"/>
        <w:szCs w:val="28"/>
        <w:u w:val="none"/>
        <w:vertAlign w:val="baseline"/>
      </w:rPr>
    </w:lvl>
    <w:lvl w:ilvl="8">
      <w:start w:val="1"/>
      <w:numFmt w:val="bullet"/>
      <w:isLgl w:val="false"/>
      <w:suff w:val="tab"/>
      <w:lvlText w:val="▪"/>
      <w:lvlJc w:val="left"/>
      <w:pPr>
        <w:ind w:left="6828"/>
      </w:pPr>
      <w:rPr>
        <w:rFonts w:ascii="Times New Roman" w:hAnsi="Times New Roman" w:eastAsia="Times New Roman" w:cs="Times New Roman"/>
        <w:b w:val="0"/>
        <w:i w:val="0"/>
        <w:strike w:val="0"/>
        <w:color w:val="000000"/>
        <w:sz w:val="28"/>
        <w:szCs w:val="28"/>
        <w:u w:val="none"/>
        <w:vertAlign w:val="baseline"/>
      </w:rPr>
    </w:lvl>
  </w:abstractNum>
  <w:abstractNum w:abstractNumId="165">
    <w:multiLevelType w:val="hybridMultilevel"/>
    <w:lvl w:ilvl="0">
      <w:start w:val="1"/>
      <w:numFmt w:val="bullet"/>
      <w:isLgl w:val="false"/>
      <w:suff w:val="tab"/>
      <w:lvlText w:val=""/>
      <w:lvlJc w:val="left"/>
      <w:pPr>
        <w:ind w:left="0"/>
      </w:pPr>
      <w:rPr>
        <w:rFonts w:hint="default" w:ascii="Symbol" w:hAnsi="Symbol"/>
        <w:b w:val="0"/>
        <w:i w:val="0"/>
        <w:strike w:val="0"/>
        <w:color w:val="000000"/>
        <w:sz w:val="28"/>
        <w:szCs w:val="28"/>
        <w:u w:val="none"/>
        <w:vertAlign w:val="baseline"/>
      </w:rPr>
    </w:lvl>
    <w:lvl w:ilvl="1">
      <w:start w:val="1"/>
      <w:numFmt w:val="bullet"/>
      <w:isLgl w:val="false"/>
      <w:suff w:val="tab"/>
      <w:lvlText w:val="o"/>
      <w:lvlJc w:val="left"/>
      <w:pPr>
        <w:ind w:left="1788"/>
      </w:pPr>
      <w:rPr>
        <w:rFonts w:ascii="Times New Roman" w:hAnsi="Times New Roman" w:eastAsia="Times New Roman" w:cs="Times New Roman"/>
        <w:b w:val="0"/>
        <w:i w:val="0"/>
        <w:strike w:val="0"/>
        <w:color w:val="000000"/>
        <w:sz w:val="28"/>
        <w:szCs w:val="28"/>
        <w:u w:val="none"/>
        <w:vertAlign w:val="baseline"/>
      </w:rPr>
    </w:lvl>
    <w:lvl w:ilvl="2">
      <w:start w:val="1"/>
      <w:numFmt w:val="bullet"/>
      <w:isLgl w:val="false"/>
      <w:suff w:val="tab"/>
      <w:lvlText w:val="▪"/>
      <w:lvlJc w:val="left"/>
      <w:pPr>
        <w:ind w:left="2508"/>
      </w:pPr>
      <w:rPr>
        <w:rFonts w:ascii="Times New Roman" w:hAnsi="Times New Roman" w:eastAsia="Times New Roman" w:cs="Times New Roman"/>
        <w:b w:val="0"/>
        <w:i w:val="0"/>
        <w:strike w:val="0"/>
        <w:color w:val="000000"/>
        <w:sz w:val="28"/>
        <w:szCs w:val="28"/>
        <w:u w:val="none"/>
        <w:vertAlign w:val="baseline"/>
      </w:rPr>
    </w:lvl>
    <w:lvl w:ilvl="3">
      <w:start w:val="1"/>
      <w:numFmt w:val="bullet"/>
      <w:isLgl w:val="false"/>
      <w:suff w:val="tab"/>
      <w:lvlText w:val="•"/>
      <w:lvlJc w:val="left"/>
      <w:pPr>
        <w:ind w:left="3228"/>
      </w:pPr>
      <w:rPr>
        <w:rFonts w:ascii="Times New Roman" w:hAnsi="Times New Roman" w:eastAsia="Times New Roman" w:cs="Times New Roman"/>
        <w:b w:val="0"/>
        <w:i w:val="0"/>
        <w:strike w:val="0"/>
        <w:color w:val="000000"/>
        <w:sz w:val="28"/>
        <w:szCs w:val="28"/>
        <w:u w:val="none"/>
        <w:vertAlign w:val="baseline"/>
      </w:rPr>
    </w:lvl>
    <w:lvl w:ilvl="4">
      <w:start w:val="1"/>
      <w:numFmt w:val="bullet"/>
      <w:isLgl w:val="false"/>
      <w:suff w:val="tab"/>
      <w:lvlText w:val="o"/>
      <w:lvlJc w:val="left"/>
      <w:pPr>
        <w:ind w:left="3948"/>
      </w:pPr>
      <w:rPr>
        <w:rFonts w:ascii="Times New Roman" w:hAnsi="Times New Roman" w:eastAsia="Times New Roman" w:cs="Times New Roman"/>
        <w:b w:val="0"/>
        <w:i w:val="0"/>
        <w:strike w:val="0"/>
        <w:color w:val="000000"/>
        <w:sz w:val="28"/>
        <w:szCs w:val="28"/>
        <w:u w:val="none"/>
        <w:vertAlign w:val="baseline"/>
      </w:rPr>
    </w:lvl>
    <w:lvl w:ilvl="5">
      <w:start w:val="1"/>
      <w:numFmt w:val="bullet"/>
      <w:isLgl w:val="false"/>
      <w:suff w:val="tab"/>
      <w:lvlText w:val="▪"/>
      <w:lvlJc w:val="left"/>
      <w:pPr>
        <w:ind w:left="4668"/>
      </w:pPr>
      <w:rPr>
        <w:rFonts w:ascii="Times New Roman" w:hAnsi="Times New Roman" w:eastAsia="Times New Roman" w:cs="Times New Roman"/>
        <w:b w:val="0"/>
        <w:i w:val="0"/>
        <w:strike w:val="0"/>
        <w:color w:val="000000"/>
        <w:sz w:val="28"/>
        <w:szCs w:val="28"/>
        <w:u w:val="none"/>
        <w:vertAlign w:val="baseline"/>
      </w:rPr>
    </w:lvl>
    <w:lvl w:ilvl="6">
      <w:start w:val="1"/>
      <w:numFmt w:val="bullet"/>
      <w:isLgl w:val="false"/>
      <w:suff w:val="tab"/>
      <w:lvlText w:val="•"/>
      <w:lvlJc w:val="left"/>
      <w:pPr>
        <w:ind w:left="5388"/>
      </w:pPr>
      <w:rPr>
        <w:rFonts w:ascii="Times New Roman" w:hAnsi="Times New Roman" w:eastAsia="Times New Roman" w:cs="Times New Roman"/>
        <w:b w:val="0"/>
        <w:i w:val="0"/>
        <w:strike w:val="0"/>
        <w:color w:val="000000"/>
        <w:sz w:val="28"/>
        <w:szCs w:val="28"/>
        <w:u w:val="none"/>
        <w:vertAlign w:val="baseline"/>
      </w:rPr>
    </w:lvl>
    <w:lvl w:ilvl="7">
      <w:start w:val="1"/>
      <w:numFmt w:val="bullet"/>
      <w:isLgl w:val="false"/>
      <w:suff w:val="tab"/>
      <w:lvlText w:val="o"/>
      <w:lvlJc w:val="left"/>
      <w:pPr>
        <w:ind w:left="6108"/>
      </w:pPr>
      <w:rPr>
        <w:rFonts w:ascii="Times New Roman" w:hAnsi="Times New Roman" w:eastAsia="Times New Roman" w:cs="Times New Roman"/>
        <w:b w:val="0"/>
        <w:i w:val="0"/>
        <w:strike w:val="0"/>
        <w:color w:val="000000"/>
        <w:sz w:val="28"/>
        <w:szCs w:val="28"/>
        <w:u w:val="none"/>
        <w:vertAlign w:val="baseline"/>
      </w:rPr>
    </w:lvl>
    <w:lvl w:ilvl="8">
      <w:start w:val="1"/>
      <w:numFmt w:val="bullet"/>
      <w:isLgl w:val="false"/>
      <w:suff w:val="tab"/>
      <w:lvlText w:val="▪"/>
      <w:lvlJc w:val="left"/>
      <w:pPr>
        <w:ind w:left="6828"/>
      </w:pPr>
      <w:rPr>
        <w:rFonts w:ascii="Times New Roman" w:hAnsi="Times New Roman" w:eastAsia="Times New Roman" w:cs="Times New Roman"/>
        <w:b w:val="0"/>
        <w:i w:val="0"/>
        <w:strike w:val="0"/>
        <w:color w:val="000000"/>
        <w:sz w:val="28"/>
        <w:szCs w:val="28"/>
        <w:u w:val="none"/>
        <w:vertAlign w:val="baseline"/>
      </w:rPr>
    </w:lvl>
  </w:abstractNum>
  <w:abstractNum w:abstractNumId="166">
    <w:multiLevelType w:val="hybridMultilevel"/>
    <w:lvl w:ilvl="0">
      <w:start w:val="1"/>
      <w:numFmt w:val="bullet"/>
      <w:isLgl w:val="false"/>
      <w:suff w:val="tab"/>
      <w:lvlText w:val=""/>
      <w:lvlJc w:val="left"/>
      <w:pPr>
        <w:ind w:left="0"/>
      </w:pPr>
      <w:rPr>
        <w:rFonts w:hint="default" w:ascii="Symbol" w:hAnsi="Symbol"/>
        <w:b w:val="0"/>
        <w:i w:val="0"/>
        <w:strike w:val="0"/>
        <w:color w:val="000000"/>
        <w:sz w:val="28"/>
        <w:szCs w:val="28"/>
        <w:u w:val="none"/>
        <w:vertAlign w:val="baseline"/>
      </w:rPr>
    </w:lvl>
    <w:lvl w:ilvl="1">
      <w:start w:val="1"/>
      <w:numFmt w:val="bullet"/>
      <w:isLgl w:val="false"/>
      <w:suff w:val="tab"/>
      <w:lvlText w:val="o"/>
      <w:lvlJc w:val="left"/>
      <w:pPr>
        <w:ind w:left="1788"/>
      </w:pPr>
      <w:rPr>
        <w:rFonts w:ascii="Times New Roman" w:hAnsi="Times New Roman" w:eastAsia="Times New Roman" w:cs="Times New Roman"/>
        <w:b w:val="0"/>
        <w:i w:val="0"/>
        <w:strike w:val="0"/>
        <w:color w:val="000000"/>
        <w:sz w:val="28"/>
        <w:szCs w:val="28"/>
        <w:u w:val="none"/>
        <w:vertAlign w:val="baseline"/>
      </w:rPr>
    </w:lvl>
    <w:lvl w:ilvl="2">
      <w:start w:val="1"/>
      <w:numFmt w:val="bullet"/>
      <w:isLgl w:val="false"/>
      <w:suff w:val="tab"/>
      <w:lvlText w:val="▪"/>
      <w:lvlJc w:val="left"/>
      <w:pPr>
        <w:ind w:left="2508"/>
      </w:pPr>
      <w:rPr>
        <w:rFonts w:ascii="Times New Roman" w:hAnsi="Times New Roman" w:eastAsia="Times New Roman" w:cs="Times New Roman"/>
        <w:b w:val="0"/>
        <w:i w:val="0"/>
        <w:strike w:val="0"/>
        <w:color w:val="000000"/>
        <w:sz w:val="28"/>
        <w:szCs w:val="28"/>
        <w:u w:val="none"/>
        <w:vertAlign w:val="baseline"/>
      </w:rPr>
    </w:lvl>
    <w:lvl w:ilvl="3">
      <w:start w:val="1"/>
      <w:numFmt w:val="bullet"/>
      <w:isLgl w:val="false"/>
      <w:suff w:val="tab"/>
      <w:lvlText w:val="•"/>
      <w:lvlJc w:val="left"/>
      <w:pPr>
        <w:ind w:left="3228"/>
      </w:pPr>
      <w:rPr>
        <w:rFonts w:ascii="Times New Roman" w:hAnsi="Times New Roman" w:eastAsia="Times New Roman" w:cs="Times New Roman"/>
        <w:b w:val="0"/>
        <w:i w:val="0"/>
        <w:strike w:val="0"/>
        <w:color w:val="000000"/>
        <w:sz w:val="28"/>
        <w:szCs w:val="28"/>
        <w:u w:val="none"/>
        <w:vertAlign w:val="baseline"/>
      </w:rPr>
    </w:lvl>
    <w:lvl w:ilvl="4">
      <w:start w:val="1"/>
      <w:numFmt w:val="bullet"/>
      <w:isLgl w:val="false"/>
      <w:suff w:val="tab"/>
      <w:lvlText w:val="o"/>
      <w:lvlJc w:val="left"/>
      <w:pPr>
        <w:ind w:left="3948"/>
      </w:pPr>
      <w:rPr>
        <w:rFonts w:ascii="Times New Roman" w:hAnsi="Times New Roman" w:eastAsia="Times New Roman" w:cs="Times New Roman"/>
        <w:b w:val="0"/>
        <w:i w:val="0"/>
        <w:strike w:val="0"/>
        <w:color w:val="000000"/>
        <w:sz w:val="28"/>
        <w:szCs w:val="28"/>
        <w:u w:val="none"/>
        <w:vertAlign w:val="baseline"/>
      </w:rPr>
    </w:lvl>
    <w:lvl w:ilvl="5">
      <w:start w:val="1"/>
      <w:numFmt w:val="bullet"/>
      <w:isLgl w:val="false"/>
      <w:suff w:val="tab"/>
      <w:lvlText w:val="▪"/>
      <w:lvlJc w:val="left"/>
      <w:pPr>
        <w:ind w:left="4668"/>
      </w:pPr>
      <w:rPr>
        <w:rFonts w:ascii="Times New Roman" w:hAnsi="Times New Roman" w:eastAsia="Times New Roman" w:cs="Times New Roman"/>
        <w:b w:val="0"/>
        <w:i w:val="0"/>
        <w:strike w:val="0"/>
        <w:color w:val="000000"/>
        <w:sz w:val="28"/>
        <w:szCs w:val="28"/>
        <w:u w:val="none"/>
        <w:vertAlign w:val="baseline"/>
      </w:rPr>
    </w:lvl>
    <w:lvl w:ilvl="6">
      <w:start w:val="1"/>
      <w:numFmt w:val="bullet"/>
      <w:isLgl w:val="false"/>
      <w:suff w:val="tab"/>
      <w:lvlText w:val="•"/>
      <w:lvlJc w:val="left"/>
      <w:pPr>
        <w:ind w:left="5388"/>
      </w:pPr>
      <w:rPr>
        <w:rFonts w:ascii="Times New Roman" w:hAnsi="Times New Roman" w:eastAsia="Times New Roman" w:cs="Times New Roman"/>
        <w:b w:val="0"/>
        <w:i w:val="0"/>
        <w:strike w:val="0"/>
        <w:color w:val="000000"/>
        <w:sz w:val="28"/>
        <w:szCs w:val="28"/>
        <w:u w:val="none"/>
        <w:vertAlign w:val="baseline"/>
      </w:rPr>
    </w:lvl>
    <w:lvl w:ilvl="7">
      <w:start w:val="1"/>
      <w:numFmt w:val="bullet"/>
      <w:isLgl w:val="false"/>
      <w:suff w:val="tab"/>
      <w:lvlText w:val="o"/>
      <w:lvlJc w:val="left"/>
      <w:pPr>
        <w:ind w:left="6108"/>
      </w:pPr>
      <w:rPr>
        <w:rFonts w:ascii="Times New Roman" w:hAnsi="Times New Roman" w:eastAsia="Times New Roman" w:cs="Times New Roman"/>
        <w:b w:val="0"/>
        <w:i w:val="0"/>
        <w:strike w:val="0"/>
        <w:color w:val="000000"/>
        <w:sz w:val="28"/>
        <w:szCs w:val="28"/>
        <w:u w:val="none"/>
        <w:vertAlign w:val="baseline"/>
      </w:rPr>
    </w:lvl>
    <w:lvl w:ilvl="8">
      <w:start w:val="1"/>
      <w:numFmt w:val="bullet"/>
      <w:isLgl w:val="false"/>
      <w:suff w:val="tab"/>
      <w:lvlText w:val="▪"/>
      <w:lvlJc w:val="left"/>
      <w:pPr>
        <w:ind w:left="6828"/>
      </w:pPr>
      <w:rPr>
        <w:rFonts w:ascii="Times New Roman" w:hAnsi="Times New Roman" w:eastAsia="Times New Roman" w:cs="Times New Roman"/>
        <w:b w:val="0"/>
        <w:i w:val="0"/>
        <w:strike w:val="0"/>
        <w:color w:val="000000"/>
        <w:sz w:val="28"/>
        <w:szCs w:val="28"/>
        <w:u w:val="none"/>
        <w:vertAlign w:val="baseline"/>
      </w:rPr>
    </w:lvl>
  </w:abstractNum>
  <w:abstractNum w:abstractNumId="167">
    <w:multiLevelType w:val="hybridMultilevel"/>
    <w:lvl w:ilvl="0">
      <w:start w:val="1"/>
      <w:numFmt w:val="bullet"/>
      <w:isLgl w:val="false"/>
      <w:suff w:val="tab"/>
      <w:lvlText w:val=""/>
      <w:lvlJc w:val="left"/>
      <w:pPr>
        <w:ind w:left="0"/>
      </w:pPr>
      <w:rPr>
        <w:rFonts w:hint="default" w:ascii="Symbol" w:hAnsi="Symbol"/>
        <w:b w:val="0"/>
        <w:i w:val="0"/>
        <w:strike w:val="0"/>
        <w:color w:val="000000"/>
        <w:sz w:val="28"/>
        <w:szCs w:val="28"/>
        <w:u w:val="none"/>
        <w:vertAlign w:val="baseline"/>
      </w:rPr>
    </w:lvl>
    <w:lvl w:ilvl="1">
      <w:start w:val="1"/>
      <w:numFmt w:val="bullet"/>
      <w:isLgl w:val="false"/>
      <w:suff w:val="tab"/>
      <w:lvlText w:val="o"/>
      <w:lvlJc w:val="left"/>
      <w:pPr>
        <w:ind w:left="1788"/>
      </w:pPr>
      <w:rPr>
        <w:rFonts w:ascii="Times New Roman" w:hAnsi="Times New Roman" w:eastAsia="Times New Roman" w:cs="Times New Roman"/>
        <w:b w:val="0"/>
        <w:i w:val="0"/>
        <w:strike w:val="0"/>
        <w:color w:val="000000"/>
        <w:sz w:val="28"/>
        <w:szCs w:val="28"/>
        <w:u w:val="none"/>
        <w:vertAlign w:val="baseline"/>
      </w:rPr>
    </w:lvl>
    <w:lvl w:ilvl="2">
      <w:start w:val="1"/>
      <w:numFmt w:val="bullet"/>
      <w:isLgl w:val="false"/>
      <w:suff w:val="tab"/>
      <w:lvlText w:val="▪"/>
      <w:lvlJc w:val="left"/>
      <w:pPr>
        <w:ind w:left="2508"/>
      </w:pPr>
      <w:rPr>
        <w:rFonts w:ascii="Times New Roman" w:hAnsi="Times New Roman" w:eastAsia="Times New Roman" w:cs="Times New Roman"/>
        <w:b w:val="0"/>
        <w:i w:val="0"/>
        <w:strike w:val="0"/>
        <w:color w:val="000000"/>
        <w:sz w:val="28"/>
        <w:szCs w:val="28"/>
        <w:u w:val="none"/>
        <w:vertAlign w:val="baseline"/>
      </w:rPr>
    </w:lvl>
    <w:lvl w:ilvl="3">
      <w:start w:val="1"/>
      <w:numFmt w:val="bullet"/>
      <w:isLgl w:val="false"/>
      <w:suff w:val="tab"/>
      <w:lvlText w:val="•"/>
      <w:lvlJc w:val="left"/>
      <w:pPr>
        <w:ind w:left="3228"/>
      </w:pPr>
      <w:rPr>
        <w:rFonts w:ascii="Times New Roman" w:hAnsi="Times New Roman" w:eastAsia="Times New Roman" w:cs="Times New Roman"/>
        <w:b w:val="0"/>
        <w:i w:val="0"/>
        <w:strike w:val="0"/>
        <w:color w:val="000000"/>
        <w:sz w:val="28"/>
        <w:szCs w:val="28"/>
        <w:u w:val="none"/>
        <w:vertAlign w:val="baseline"/>
      </w:rPr>
    </w:lvl>
    <w:lvl w:ilvl="4">
      <w:start w:val="1"/>
      <w:numFmt w:val="bullet"/>
      <w:isLgl w:val="false"/>
      <w:suff w:val="tab"/>
      <w:lvlText w:val="o"/>
      <w:lvlJc w:val="left"/>
      <w:pPr>
        <w:ind w:left="3948"/>
      </w:pPr>
      <w:rPr>
        <w:rFonts w:ascii="Times New Roman" w:hAnsi="Times New Roman" w:eastAsia="Times New Roman" w:cs="Times New Roman"/>
        <w:b w:val="0"/>
        <w:i w:val="0"/>
        <w:strike w:val="0"/>
        <w:color w:val="000000"/>
        <w:sz w:val="28"/>
        <w:szCs w:val="28"/>
        <w:u w:val="none"/>
        <w:vertAlign w:val="baseline"/>
      </w:rPr>
    </w:lvl>
    <w:lvl w:ilvl="5">
      <w:start w:val="1"/>
      <w:numFmt w:val="bullet"/>
      <w:isLgl w:val="false"/>
      <w:suff w:val="tab"/>
      <w:lvlText w:val="▪"/>
      <w:lvlJc w:val="left"/>
      <w:pPr>
        <w:ind w:left="4668"/>
      </w:pPr>
      <w:rPr>
        <w:rFonts w:ascii="Times New Roman" w:hAnsi="Times New Roman" w:eastAsia="Times New Roman" w:cs="Times New Roman"/>
        <w:b w:val="0"/>
        <w:i w:val="0"/>
        <w:strike w:val="0"/>
        <w:color w:val="000000"/>
        <w:sz w:val="28"/>
        <w:szCs w:val="28"/>
        <w:u w:val="none"/>
        <w:vertAlign w:val="baseline"/>
      </w:rPr>
    </w:lvl>
    <w:lvl w:ilvl="6">
      <w:start w:val="1"/>
      <w:numFmt w:val="bullet"/>
      <w:isLgl w:val="false"/>
      <w:suff w:val="tab"/>
      <w:lvlText w:val="•"/>
      <w:lvlJc w:val="left"/>
      <w:pPr>
        <w:ind w:left="5388"/>
      </w:pPr>
      <w:rPr>
        <w:rFonts w:ascii="Times New Roman" w:hAnsi="Times New Roman" w:eastAsia="Times New Roman" w:cs="Times New Roman"/>
        <w:b w:val="0"/>
        <w:i w:val="0"/>
        <w:strike w:val="0"/>
        <w:color w:val="000000"/>
        <w:sz w:val="28"/>
        <w:szCs w:val="28"/>
        <w:u w:val="none"/>
        <w:vertAlign w:val="baseline"/>
      </w:rPr>
    </w:lvl>
    <w:lvl w:ilvl="7">
      <w:start w:val="1"/>
      <w:numFmt w:val="bullet"/>
      <w:isLgl w:val="false"/>
      <w:suff w:val="tab"/>
      <w:lvlText w:val="o"/>
      <w:lvlJc w:val="left"/>
      <w:pPr>
        <w:ind w:left="6108"/>
      </w:pPr>
      <w:rPr>
        <w:rFonts w:ascii="Times New Roman" w:hAnsi="Times New Roman" w:eastAsia="Times New Roman" w:cs="Times New Roman"/>
        <w:b w:val="0"/>
        <w:i w:val="0"/>
        <w:strike w:val="0"/>
        <w:color w:val="000000"/>
        <w:sz w:val="28"/>
        <w:szCs w:val="28"/>
        <w:u w:val="none"/>
        <w:vertAlign w:val="baseline"/>
      </w:rPr>
    </w:lvl>
    <w:lvl w:ilvl="8">
      <w:start w:val="1"/>
      <w:numFmt w:val="bullet"/>
      <w:isLgl w:val="false"/>
      <w:suff w:val="tab"/>
      <w:lvlText w:val="▪"/>
      <w:lvlJc w:val="left"/>
      <w:pPr>
        <w:ind w:left="6828"/>
      </w:pPr>
      <w:rPr>
        <w:rFonts w:ascii="Times New Roman" w:hAnsi="Times New Roman" w:eastAsia="Times New Roman" w:cs="Times New Roman"/>
        <w:b w:val="0"/>
        <w:i w:val="0"/>
        <w:strike w:val="0"/>
        <w:color w:val="000000"/>
        <w:sz w:val="28"/>
        <w:szCs w:val="28"/>
        <w:u w:val="none"/>
        <w:vertAlign w:val="baseline"/>
      </w:rPr>
    </w:lvl>
  </w:abstractNum>
  <w:abstractNum w:abstractNumId="168">
    <w:multiLevelType w:val="hybridMultilevel"/>
    <w:lvl w:ilvl="0">
      <w:start w:val="1"/>
      <w:numFmt w:val="bullet"/>
      <w:isLgl w:val="false"/>
      <w:suff w:val="tab"/>
      <w:lvlText w:val=""/>
      <w:lvlJc w:val="left"/>
      <w:pPr>
        <w:ind w:left="0"/>
      </w:pPr>
      <w:rPr>
        <w:rFonts w:hint="default" w:ascii="Symbol" w:hAnsi="Symbol"/>
        <w:b w:val="0"/>
        <w:i w:val="0"/>
        <w:strike w:val="0"/>
        <w:color w:val="000000"/>
        <w:sz w:val="28"/>
        <w:szCs w:val="28"/>
        <w:u w:val="none"/>
        <w:vertAlign w:val="baseline"/>
      </w:rPr>
    </w:lvl>
    <w:lvl w:ilvl="1">
      <w:start w:val="1"/>
      <w:numFmt w:val="bullet"/>
      <w:isLgl w:val="false"/>
      <w:suff w:val="tab"/>
      <w:lvlText w:val="o"/>
      <w:lvlJc w:val="left"/>
      <w:pPr>
        <w:ind w:left="1788"/>
      </w:pPr>
      <w:rPr>
        <w:rFonts w:ascii="Times New Roman" w:hAnsi="Times New Roman" w:eastAsia="Times New Roman" w:cs="Times New Roman"/>
        <w:b w:val="0"/>
        <w:i w:val="0"/>
        <w:strike w:val="0"/>
        <w:color w:val="000000"/>
        <w:sz w:val="28"/>
        <w:szCs w:val="28"/>
        <w:u w:val="none"/>
        <w:vertAlign w:val="baseline"/>
      </w:rPr>
    </w:lvl>
    <w:lvl w:ilvl="2">
      <w:start w:val="1"/>
      <w:numFmt w:val="bullet"/>
      <w:isLgl w:val="false"/>
      <w:suff w:val="tab"/>
      <w:lvlText w:val="▪"/>
      <w:lvlJc w:val="left"/>
      <w:pPr>
        <w:ind w:left="2508"/>
      </w:pPr>
      <w:rPr>
        <w:rFonts w:ascii="Times New Roman" w:hAnsi="Times New Roman" w:eastAsia="Times New Roman" w:cs="Times New Roman"/>
        <w:b w:val="0"/>
        <w:i w:val="0"/>
        <w:strike w:val="0"/>
        <w:color w:val="000000"/>
        <w:sz w:val="28"/>
        <w:szCs w:val="28"/>
        <w:u w:val="none"/>
        <w:vertAlign w:val="baseline"/>
      </w:rPr>
    </w:lvl>
    <w:lvl w:ilvl="3">
      <w:start w:val="1"/>
      <w:numFmt w:val="bullet"/>
      <w:isLgl w:val="false"/>
      <w:suff w:val="tab"/>
      <w:lvlText w:val="•"/>
      <w:lvlJc w:val="left"/>
      <w:pPr>
        <w:ind w:left="3228"/>
      </w:pPr>
      <w:rPr>
        <w:rFonts w:ascii="Times New Roman" w:hAnsi="Times New Roman" w:eastAsia="Times New Roman" w:cs="Times New Roman"/>
        <w:b w:val="0"/>
        <w:i w:val="0"/>
        <w:strike w:val="0"/>
        <w:color w:val="000000"/>
        <w:sz w:val="28"/>
        <w:szCs w:val="28"/>
        <w:u w:val="none"/>
        <w:vertAlign w:val="baseline"/>
      </w:rPr>
    </w:lvl>
    <w:lvl w:ilvl="4">
      <w:start w:val="1"/>
      <w:numFmt w:val="bullet"/>
      <w:isLgl w:val="false"/>
      <w:suff w:val="tab"/>
      <w:lvlText w:val="o"/>
      <w:lvlJc w:val="left"/>
      <w:pPr>
        <w:ind w:left="3948"/>
      </w:pPr>
      <w:rPr>
        <w:rFonts w:ascii="Times New Roman" w:hAnsi="Times New Roman" w:eastAsia="Times New Roman" w:cs="Times New Roman"/>
        <w:b w:val="0"/>
        <w:i w:val="0"/>
        <w:strike w:val="0"/>
        <w:color w:val="000000"/>
        <w:sz w:val="28"/>
        <w:szCs w:val="28"/>
        <w:u w:val="none"/>
        <w:vertAlign w:val="baseline"/>
      </w:rPr>
    </w:lvl>
    <w:lvl w:ilvl="5">
      <w:start w:val="1"/>
      <w:numFmt w:val="bullet"/>
      <w:isLgl w:val="false"/>
      <w:suff w:val="tab"/>
      <w:lvlText w:val="▪"/>
      <w:lvlJc w:val="left"/>
      <w:pPr>
        <w:ind w:left="4668"/>
      </w:pPr>
      <w:rPr>
        <w:rFonts w:ascii="Times New Roman" w:hAnsi="Times New Roman" w:eastAsia="Times New Roman" w:cs="Times New Roman"/>
        <w:b w:val="0"/>
        <w:i w:val="0"/>
        <w:strike w:val="0"/>
        <w:color w:val="000000"/>
        <w:sz w:val="28"/>
        <w:szCs w:val="28"/>
        <w:u w:val="none"/>
        <w:vertAlign w:val="baseline"/>
      </w:rPr>
    </w:lvl>
    <w:lvl w:ilvl="6">
      <w:start w:val="1"/>
      <w:numFmt w:val="bullet"/>
      <w:isLgl w:val="false"/>
      <w:suff w:val="tab"/>
      <w:lvlText w:val="•"/>
      <w:lvlJc w:val="left"/>
      <w:pPr>
        <w:ind w:left="5388"/>
      </w:pPr>
      <w:rPr>
        <w:rFonts w:ascii="Times New Roman" w:hAnsi="Times New Roman" w:eastAsia="Times New Roman" w:cs="Times New Roman"/>
        <w:b w:val="0"/>
        <w:i w:val="0"/>
        <w:strike w:val="0"/>
        <w:color w:val="000000"/>
        <w:sz w:val="28"/>
        <w:szCs w:val="28"/>
        <w:u w:val="none"/>
        <w:vertAlign w:val="baseline"/>
      </w:rPr>
    </w:lvl>
    <w:lvl w:ilvl="7">
      <w:start w:val="1"/>
      <w:numFmt w:val="bullet"/>
      <w:isLgl w:val="false"/>
      <w:suff w:val="tab"/>
      <w:lvlText w:val="o"/>
      <w:lvlJc w:val="left"/>
      <w:pPr>
        <w:ind w:left="6108"/>
      </w:pPr>
      <w:rPr>
        <w:rFonts w:ascii="Times New Roman" w:hAnsi="Times New Roman" w:eastAsia="Times New Roman" w:cs="Times New Roman"/>
        <w:b w:val="0"/>
        <w:i w:val="0"/>
        <w:strike w:val="0"/>
        <w:color w:val="000000"/>
        <w:sz w:val="28"/>
        <w:szCs w:val="28"/>
        <w:u w:val="none"/>
        <w:vertAlign w:val="baseline"/>
      </w:rPr>
    </w:lvl>
    <w:lvl w:ilvl="8">
      <w:start w:val="1"/>
      <w:numFmt w:val="bullet"/>
      <w:isLgl w:val="false"/>
      <w:suff w:val="tab"/>
      <w:lvlText w:val="▪"/>
      <w:lvlJc w:val="left"/>
      <w:pPr>
        <w:ind w:left="6828"/>
      </w:pPr>
      <w:rPr>
        <w:rFonts w:ascii="Times New Roman" w:hAnsi="Times New Roman" w:eastAsia="Times New Roman" w:cs="Times New Roman"/>
        <w:b w:val="0"/>
        <w:i w:val="0"/>
        <w:strike w:val="0"/>
        <w:color w:val="000000"/>
        <w:sz w:val="28"/>
        <w:szCs w:val="28"/>
        <w:u w:val="none"/>
        <w:vertAlign w:val="baseline"/>
      </w:rPr>
    </w:lvl>
  </w:abstractNum>
  <w:abstractNum w:abstractNumId="169">
    <w:multiLevelType w:val="hybridMultilevel"/>
    <w:lvl w:ilvl="0">
      <w:start w:val="1"/>
      <w:numFmt w:val="bullet"/>
      <w:isLgl w:val="false"/>
      <w:suff w:val="tab"/>
      <w:lvlText w:val=""/>
      <w:lvlJc w:val="left"/>
      <w:pPr>
        <w:ind w:left="0"/>
      </w:pPr>
      <w:rPr>
        <w:rFonts w:hint="default" w:ascii="Symbol" w:hAnsi="Symbol"/>
        <w:b w:val="0"/>
        <w:i w:val="0"/>
        <w:strike w:val="0"/>
        <w:color w:val="000000"/>
        <w:sz w:val="28"/>
        <w:szCs w:val="28"/>
        <w:u w:val="none"/>
        <w:vertAlign w:val="baseline"/>
      </w:rPr>
    </w:lvl>
    <w:lvl w:ilvl="1">
      <w:start w:val="1"/>
      <w:numFmt w:val="bullet"/>
      <w:isLgl w:val="false"/>
      <w:suff w:val="tab"/>
      <w:lvlText w:val="o"/>
      <w:lvlJc w:val="left"/>
      <w:pPr>
        <w:ind w:left="1788"/>
      </w:pPr>
      <w:rPr>
        <w:rFonts w:ascii="Times New Roman" w:hAnsi="Times New Roman" w:eastAsia="Times New Roman" w:cs="Times New Roman"/>
        <w:b w:val="0"/>
        <w:i w:val="0"/>
        <w:strike w:val="0"/>
        <w:color w:val="000000"/>
        <w:sz w:val="28"/>
        <w:szCs w:val="28"/>
        <w:u w:val="none"/>
        <w:vertAlign w:val="baseline"/>
      </w:rPr>
    </w:lvl>
    <w:lvl w:ilvl="2">
      <w:start w:val="1"/>
      <w:numFmt w:val="bullet"/>
      <w:isLgl w:val="false"/>
      <w:suff w:val="tab"/>
      <w:lvlText w:val="▪"/>
      <w:lvlJc w:val="left"/>
      <w:pPr>
        <w:ind w:left="2508"/>
      </w:pPr>
      <w:rPr>
        <w:rFonts w:ascii="Times New Roman" w:hAnsi="Times New Roman" w:eastAsia="Times New Roman" w:cs="Times New Roman"/>
        <w:b w:val="0"/>
        <w:i w:val="0"/>
        <w:strike w:val="0"/>
        <w:color w:val="000000"/>
        <w:sz w:val="28"/>
        <w:szCs w:val="28"/>
        <w:u w:val="none"/>
        <w:vertAlign w:val="baseline"/>
      </w:rPr>
    </w:lvl>
    <w:lvl w:ilvl="3">
      <w:start w:val="1"/>
      <w:numFmt w:val="bullet"/>
      <w:isLgl w:val="false"/>
      <w:suff w:val="tab"/>
      <w:lvlText w:val="•"/>
      <w:lvlJc w:val="left"/>
      <w:pPr>
        <w:ind w:left="3228"/>
      </w:pPr>
      <w:rPr>
        <w:rFonts w:ascii="Times New Roman" w:hAnsi="Times New Roman" w:eastAsia="Times New Roman" w:cs="Times New Roman"/>
        <w:b w:val="0"/>
        <w:i w:val="0"/>
        <w:strike w:val="0"/>
        <w:color w:val="000000"/>
        <w:sz w:val="28"/>
        <w:szCs w:val="28"/>
        <w:u w:val="none"/>
        <w:vertAlign w:val="baseline"/>
      </w:rPr>
    </w:lvl>
    <w:lvl w:ilvl="4">
      <w:start w:val="1"/>
      <w:numFmt w:val="bullet"/>
      <w:isLgl w:val="false"/>
      <w:suff w:val="tab"/>
      <w:lvlText w:val="o"/>
      <w:lvlJc w:val="left"/>
      <w:pPr>
        <w:ind w:left="3948"/>
      </w:pPr>
      <w:rPr>
        <w:rFonts w:ascii="Times New Roman" w:hAnsi="Times New Roman" w:eastAsia="Times New Roman" w:cs="Times New Roman"/>
        <w:b w:val="0"/>
        <w:i w:val="0"/>
        <w:strike w:val="0"/>
        <w:color w:val="000000"/>
        <w:sz w:val="28"/>
        <w:szCs w:val="28"/>
        <w:u w:val="none"/>
        <w:vertAlign w:val="baseline"/>
      </w:rPr>
    </w:lvl>
    <w:lvl w:ilvl="5">
      <w:start w:val="1"/>
      <w:numFmt w:val="bullet"/>
      <w:isLgl w:val="false"/>
      <w:suff w:val="tab"/>
      <w:lvlText w:val="▪"/>
      <w:lvlJc w:val="left"/>
      <w:pPr>
        <w:ind w:left="4668"/>
      </w:pPr>
      <w:rPr>
        <w:rFonts w:ascii="Times New Roman" w:hAnsi="Times New Roman" w:eastAsia="Times New Roman" w:cs="Times New Roman"/>
        <w:b w:val="0"/>
        <w:i w:val="0"/>
        <w:strike w:val="0"/>
        <w:color w:val="000000"/>
        <w:sz w:val="28"/>
        <w:szCs w:val="28"/>
        <w:u w:val="none"/>
        <w:vertAlign w:val="baseline"/>
      </w:rPr>
    </w:lvl>
    <w:lvl w:ilvl="6">
      <w:start w:val="1"/>
      <w:numFmt w:val="bullet"/>
      <w:isLgl w:val="false"/>
      <w:suff w:val="tab"/>
      <w:lvlText w:val="•"/>
      <w:lvlJc w:val="left"/>
      <w:pPr>
        <w:ind w:left="5388"/>
      </w:pPr>
      <w:rPr>
        <w:rFonts w:ascii="Times New Roman" w:hAnsi="Times New Roman" w:eastAsia="Times New Roman" w:cs="Times New Roman"/>
        <w:b w:val="0"/>
        <w:i w:val="0"/>
        <w:strike w:val="0"/>
        <w:color w:val="000000"/>
        <w:sz w:val="28"/>
        <w:szCs w:val="28"/>
        <w:u w:val="none"/>
        <w:vertAlign w:val="baseline"/>
      </w:rPr>
    </w:lvl>
    <w:lvl w:ilvl="7">
      <w:start w:val="1"/>
      <w:numFmt w:val="bullet"/>
      <w:isLgl w:val="false"/>
      <w:suff w:val="tab"/>
      <w:lvlText w:val="o"/>
      <w:lvlJc w:val="left"/>
      <w:pPr>
        <w:ind w:left="6108"/>
      </w:pPr>
      <w:rPr>
        <w:rFonts w:ascii="Times New Roman" w:hAnsi="Times New Roman" w:eastAsia="Times New Roman" w:cs="Times New Roman"/>
        <w:b w:val="0"/>
        <w:i w:val="0"/>
        <w:strike w:val="0"/>
        <w:color w:val="000000"/>
        <w:sz w:val="28"/>
        <w:szCs w:val="28"/>
        <w:u w:val="none"/>
        <w:vertAlign w:val="baseline"/>
      </w:rPr>
    </w:lvl>
    <w:lvl w:ilvl="8">
      <w:start w:val="1"/>
      <w:numFmt w:val="bullet"/>
      <w:isLgl w:val="false"/>
      <w:suff w:val="tab"/>
      <w:lvlText w:val="▪"/>
      <w:lvlJc w:val="left"/>
      <w:pPr>
        <w:ind w:left="6828"/>
      </w:pPr>
      <w:rPr>
        <w:rFonts w:ascii="Times New Roman" w:hAnsi="Times New Roman" w:eastAsia="Times New Roman" w:cs="Times New Roman"/>
        <w:b w:val="0"/>
        <w:i w:val="0"/>
        <w:strike w:val="0"/>
        <w:color w:val="000000"/>
        <w:sz w:val="28"/>
        <w:szCs w:val="28"/>
        <w:u w:val="none"/>
        <w:vertAlign w:val="baseline"/>
      </w:rPr>
    </w:lvl>
  </w:abstractNum>
  <w:abstractNum w:abstractNumId="170">
    <w:multiLevelType w:val="hybridMultilevel"/>
    <w:lvl w:ilvl="0">
      <w:start w:val="1"/>
      <w:numFmt w:val="bullet"/>
      <w:isLgl w:val="false"/>
      <w:suff w:val="tab"/>
      <w:lvlText w:val=""/>
      <w:lvlJc w:val="left"/>
      <w:pPr>
        <w:ind w:left="1429" w:hanging="360"/>
      </w:pPr>
      <w:rPr>
        <w:rFonts w:hint="default" w:ascii="Symbol" w:hAnsi="Symbol"/>
      </w:rPr>
    </w:lvl>
    <w:lvl w:ilvl="1">
      <w:start w:val="1"/>
      <w:numFmt w:val="bullet"/>
      <w:isLgl w:val="false"/>
      <w:suff w:val="tab"/>
      <w:lvlText w:val="o"/>
      <w:lvlJc w:val="left"/>
      <w:pPr>
        <w:ind w:left="2149" w:hanging="360"/>
      </w:pPr>
      <w:rPr>
        <w:rFonts w:hint="default" w:ascii="Courier New" w:hAnsi="Courier New" w:cs="Courier New"/>
      </w:rPr>
    </w:lvl>
    <w:lvl w:ilvl="2">
      <w:start w:val="1"/>
      <w:numFmt w:val="bullet"/>
      <w:isLgl w:val="false"/>
      <w:suff w:val="tab"/>
      <w:lvlText w:val=""/>
      <w:lvlJc w:val="left"/>
      <w:pPr>
        <w:ind w:left="2869" w:hanging="360"/>
      </w:pPr>
      <w:rPr>
        <w:rFonts w:hint="default" w:ascii="Wingdings" w:hAnsi="Wingdings"/>
      </w:rPr>
    </w:lvl>
    <w:lvl w:ilvl="3">
      <w:start w:val="1"/>
      <w:numFmt w:val="bullet"/>
      <w:isLgl w:val="false"/>
      <w:suff w:val="tab"/>
      <w:lvlText w:val=""/>
      <w:lvlJc w:val="left"/>
      <w:pPr>
        <w:ind w:left="3589" w:hanging="360"/>
      </w:pPr>
      <w:rPr>
        <w:rFonts w:hint="default" w:ascii="Symbol" w:hAnsi="Symbol"/>
      </w:rPr>
    </w:lvl>
    <w:lvl w:ilvl="4">
      <w:start w:val="1"/>
      <w:numFmt w:val="bullet"/>
      <w:isLgl w:val="false"/>
      <w:suff w:val="tab"/>
      <w:lvlText w:val="o"/>
      <w:lvlJc w:val="left"/>
      <w:pPr>
        <w:ind w:left="4309" w:hanging="360"/>
      </w:pPr>
      <w:rPr>
        <w:rFonts w:hint="default" w:ascii="Courier New" w:hAnsi="Courier New" w:cs="Courier New"/>
      </w:rPr>
    </w:lvl>
    <w:lvl w:ilvl="5">
      <w:start w:val="1"/>
      <w:numFmt w:val="bullet"/>
      <w:isLgl w:val="false"/>
      <w:suff w:val="tab"/>
      <w:lvlText w:val=""/>
      <w:lvlJc w:val="left"/>
      <w:pPr>
        <w:ind w:left="5029" w:hanging="360"/>
      </w:pPr>
      <w:rPr>
        <w:rFonts w:hint="default" w:ascii="Wingdings" w:hAnsi="Wingdings"/>
      </w:rPr>
    </w:lvl>
    <w:lvl w:ilvl="6">
      <w:start w:val="1"/>
      <w:numFmt w:val="bullet"/>
      <w:isLgl w:val="false"/>
      <w:suff w:val="tab"/>
      <w:lvlText w:val=""/>
      <w:lvlJc w:val="left"/>
      <w:pPr>
        <w:ind w:left="5749" w:hanging="360"/>
      </w:pPr>
      <w:rPr>
        <w:rFonts w:hint="default" w:ascii="Symbol" w:hAnsi="Symbol"/>
      </w:rPr>
    </w:lvl>
    <w:lvl w:ilvl="7">
      <w:start w:val="1"/>
      <w:numFmt w:val="bullet"/>
      <w:isLgl w:val="false"/>
      <w:suff w:val="tab"/>
      <w:lvlText w:val="o"/>
      <w:lvlJc w:val="left"/>
      <w:pPr>
        <w:ind w:left="6469" w:hanging="360"/>
      </w:pPr>
      <w:rPr>
        <w:rFonts w:hint="default" w:ascii="Courier New" w:hAnsi="Courier New" w:cs="Courier New"/>
      </w:rPr>
    </w:lvl>
    <w:lvl w:ilvl="8">
      <w:start w:val="1"/>
      <w:numFmt w:val="bullet"/>
      <w:isLgl w:val="false"/>
      <w:suff w:val="tab"/>
      <w:lvlText w:val=""/>
      <w:lvlJc w:val="left"/>
      <w:pPr>
        <w:ind w:left="7189" w:hanging="360"/>
      </w:pPr>
      <w:rPr>
        <w:rFonts w:hint="default" w:ascii="Wingdings" w:hAnsi="Wingdings"/>
      </w:rPr>
    </w:lvl>
  </w:abstractNum>
  <w:abstractNum w:abstractNumId="171">
    <w:multiLevelType w:val="hybridMultilevel"/>
    <w:lvl w:ilvl="0">
      <w:start w:val="1"/>
      <w:numFmt w:val="bullet"/>
      <w:isLgl w:val="false"/>
      <w:suff w:val="tab"/>
      <w:lvlText w:val="–"/>
      <w:lvlJc w:val="left"/>
      <w:pPr>
        <w:ind w:left="720" w:hanging="360"/>
      </w:pPr>
      <w:rPr>
        <w:rFonts w:ascii="Arial" w:hAnsi="Arial" w:eastAsia="Arial" w:cs="Arial"/>
      </w:rPr>
    </w:lvl>
    <w:lvl w:ilvl="1">
      <w:start w:val="1"/>
      <w:numFmt w:val="bullet"/>
      <w:isLgl w:val="false"/>
      <w:suff w:val="tab"/>
      <w:lvlText w:val="o"/>
      <w:lvlJc w:val="left"/>
      <w:pPr>
        <w:ind w:left="1440" w:hanging="360"/>
      </w:pPr>
      <w:rPr>
        <w:rFonts w:hint="default" w:ascii="Courier New" w:hAnsi="Courier New" w:eastAsia="Courier New" w:cs="Courier New"/>
      </w:rPr>
    </w:lvl>
    <w:lvl w:ilvl="2">
      <w:start w:val="1"/>
      <w:numFmt w:val="bullet"/>
      <w:isLgl w:val="false"/>
      <w:suff w:val="tab"/>
      <w:lvlText w:val="§"/>
      <w:lvlJc w:val="left"/>
      <w:pPr>
        <w:ind w:left="2160" w:hanging="360"/>
      </w:pPr>
      <w:rPr>
        <w:rFonts w:hint="default" w:ascii="Wingdings" w:hAnsi="Wingdings" w:eastAsia="Wingdings" w:cs="Wingdings"/>
      </w:rPr>
    </w:lvl>
    <w:lvl w:ilvl="3">
      <w:start w:val="1"/>
      <w:numFmt w:val="bullet"/>
      <w:isLgl w:val="false"/>
      <w:suff w:val="tab"/>
      <w:lvlText w:val="·"/>
      <w:lvlJc w:val="left"/>
      <w:pPr>
        <w:ind w:left="2880" w:hanging="360"/>
      </w:pPr>
      <w:rPr>
        <w:rFonts w:hint="default" w:ascii="Symbol" w:hAnsi="Symbol" w:eastAsia="Symbol" w:cs="Symbol"/>
      </w:rPr>
    </w:lvl>
    <w:lvl w:ilvl="4">
      <w:start w:val="1"/>
      <w:numFmt w:val="bullet"/>
      <w:isLgl w:val="false"/>
      <w:suff w:val="tab"/>
      <w:lvlText w:val="o"/>
      <w:lvlJc w:val="left"/>
      <w:pPr>
        <w:ind w:left="3600" w:hanging="360"/>
      </w:pPr>
      <w:rPr>
        <w:rFonts w:hint="default" w:ascii="Courier New" w:hAnsi="Courier New" w:eastAsia="Courier New" w:cs="Courier New"/>
      </w:rPr>
    </w:lvl>
    <w:lvl w:ilvl="5">
      <w:start w:val="1"/>
      <w:numFmt w:val="bullet"/>
      <w:isLgl w:val="false"/>
      <w:suff w:val="tab"/>
      <w:lvlText w:val="§"/>
      <w:lvlJc w:val="left"/>
      <w:pPr>
        <w:ind w:left="4320" w:hanging="360"/>
      </w:pPr>
      <w:rPr>
        <w:rFonts w:hint="default" w:ascii="Wingdings" w:hAnsi="Wingdings" w:eastAsia="Wingdings" w:cs="Wingdings"/>
      </w:rPr>
    </w:lvl>
    <w:lvl w:ilvl="6">
      <w:start w:val="1"/>
      <w:numFmt w:val="bullet"/>
      <w:isLgl w:val="false"/>
      <w:suff w:val="tab"/>
      <w:lvlText w:val="·"/>
      <w:lvlJc w:val="left"/>
      <w:pPr>
        <w:ind w:left="5040" w:hanging="360"/>
      </w:pPr>
      <w:rPr>
        <w:rFonts w:hint="default" w:ascii="Symbol" w:hAnsi="Symbol" w:eastAsia="Symbol" w:cs="Symbol"/>
      </w:rPr>
    </w:lvl>
    <w:lvl w:ilvl="7">
      <w:start w:val="1"/>
      <w:numFmt w:val="bullet"/>
      <w:isLgl w:val="false"/>
      <w:suff w:val="tab"/>
      <w:lvlText w:val="o"/>
      <w:lvlJc w:val="left"/>
      <w:pPr>
        <w:ind w:left="5760" w:hanging="360"/>
      </w:pPr>
      <w:rPr>
        <w:rFonts w:hint="default" w:ascii="Courier New" w:hAnsi="Courier New" w:eastAsia="Courier New" w:cs="Courier New"/>
      </w:rPr>
    </w:lvl>
    <w:lvl w:ilvl="8">
      <w:start w:val="1"/>
      <w:numFmt w:val="bullet"/>
      <w:isLgl w:val="false"/>
      <w:suff w:val="tab"/>
      <w:lvlText w:val="§"/>
      <w:lvlJc w:val="left"/>
      <w:pPr>
        <w:ind w:left="6480" w:hanging="360"/>
      </w:pPr>
      <w:rPr>
        <w:rFonts w:hint="default" w:ascii="Wingdings" w:hAnsi="Wingdings" w:eastAsia="Wingdings" w:cs="Wingdings"/>
      </w:rPr>
    </w:lvl>
  </w:abstractNum>
  <w:abstractNum w:abstractNumId="172">
    <w:multiLevelType w:val="hybridMultilevel"/>
    <w:lvl w:ilvl="0">
      <w:start w:val="1"/>
      <w:numFmt w:val="bullet"/>
      <w:isLgl w:val="false"/>
      <w:suff w:val="tab"/>
      <w:lvlText w:val=""/>
      <w:lvlJc w:val="left"/>
      <w:pPr>
        <w:ind w:left="1287" w:hanging="360"/>
      </w:pPr>
      <w:rPr>
        <w:rFonts w:ascii="Symbol" w:hAnsi="Symbol"/>
      </w:rPr>
    </w:lvl>
    <w:lvl w:ilvl="1">
      <w:start w:val="1"/>
      <w:numFmt w:val="bullet"/>
      <w:isLgl w:val="false"/>
      <w:suff w:val="tab"/>
      <w:lvlText w:val="o"/>
      <w:lvlJc w:val="left"/>
      <w:pPr>
        <w:ind w:left="2007" w:hanging="360"/>
      </w:pPr>
      <w:rPr>
        <w:rFonts w:hint="default" w:ascii="Courier New" w:hAnsi="Courier New" w:cs="Courier New"/>
      </w:rPr>
    </w:lvl>
    <w:lvl w:ilvl="2">
      <w:start w:val="1"/>
      <w:numFmt w:val="bullet"/>
      <w:isLgl w:val="false"/>
      <w:suff w:val="tab"/>
      <w:lvlText w:val=""/>
      <w:lvlJc w:val="left"/>
      <w:pPr>
        <w:ind w:left="2727" w:hanging="360"/>
      </w:pPr>
      <w:rPr>
        <w:rFonts w:hint="default" w:ascii="Wingdings" w:hAnsi="Wingdings"/>
      </w:rPr>
    </w:lvl>
    <w:lvl w:ilvl="3">
      <w:start w:val="1"/>
      <w:numFmt w:val="bullet"/>
      <w:isLgl w:val="false"/>
      <w:suff w:val="tab"/>
      <w:lvlText w:val=""/>
      <w:lvlJc w:val="left"/>
      <w:pPr>
        <w:ind w:left="3447" w:hanging="360"/>
      </w:pPr>
      <w:rPr>
        <w:rFonts w:hint="default" w:ascii="Symbol" w:hAnsi="Symbol"/>
      </w:rPr>
    </w:lvl>
    <w:lvl w:ilvl="4">
      <w:start w:val="1"/>
      <w:numFmt w:val="bullet"/>
      <w:isLgl w:val="false"/>
      <w:suff w:val="tab"/>
      <w:lvlText w:val="o"/>
      <w:lvlJc w:val="left"/>
      <w:pPr>
        <w:ind w:left="4167" w:hanging="360"/>
      </w:pPr>
      <w:rPr>
        <w:rFonts w:hint="default" w:ascii="Courier New" w:hAnsi="Courier New" w:cs="Courier New"/>
      </w:rPr>
    </w:lvl>
    <w:lvl w:ilvl="5">
      <w:start w:val="1"/>
      <w:numFmt w:val="bullet"/>
      <w:isLgl w:val="false"/>
      <w:suff w:val="tab"/>
      <w:lvlText w:val=""/>
      <w:lvlJc w:val="left"/>
      <w:pPr>
        <w:ind w:left="4887" w:hanging="360"/>
      </w:pPr>
      <w:rPr>
        <w:rFonts w:hint="default" w:ascii="Wingdings" w:hAnsi="Wingdings"/>
      </w:rPr>
    </w:lvl>
    <w:lvl w:ilvl="6">
      <w:start w:val="1"/>
      <w:numFmt w:val="bullet"/>
      <w:isLgl w:val="false"/>
      <w:suff w:val="tab"/>
      <w:lvlText w:val=""/>
      <w:lvlJc w:val="left"/>
      <w:pPr>
        <w:ind w:left="5607" w:hanging="360"/>
      </w:pPr>
      <w:rPr>
        <w:rFonts w:hint="default" w:ascii="Symbol" w:hAnsi="Symbol"/>
      </w:rPr>
    </w:lvl>
    <w:lvl w:ilvl="7">
      <w:start w:val="1"/>
      <w:numFmt w:val="bullet"/>
      <w:isLgl w:val="false"/>
      <w:suff w:val="tab"/>
      <w:lvlText w:val="o"/>
      <w:lvlJc w:val="left"/>
      <w:pPr>
        <w:ind w:left="6327" w:hanging="360"/>
      </w:pPr>
      <w:rPr>
        <w:rFonts w:hint="default" w:ascii="Courier New" w:hAnsi="Courier New" w:cs="Courier New"/>
      </w:rPr>
    </w:lvl>
    <w:lvl w:ilvl="8">
      <w:start w:val="1"/>
      <w:numFmt w:val="bullet"/>
      <w:isLgl w:val="false"/>
      <w:suff w:val="tab"/>
      <w:lvlText w:val=""/>
      <w:lvlJc w:val="left"/>
      <w:pPr>
        <w:ind w:left="7047" w:hanging="360"/>
      </w:pPr>
      <w:rPr>
        <w:rFonts w:hint="default" w:ascii="Wingdings" w:hAnsi="Wingdings"/>
      </w:rPr>
    </w:lvl>
  </w:abstractNum>
  <w:abstractNum w:abstractNumId="173">
    <w:multiLevelType w:val="hybridMultilevel"/>
    <w:lvl w:ilvl="0">
      <w:start w:val="1"/>
      <w:numFmt w:val="bullet"/>
      <w:isLgl w:val="false"/>
      <w:suff w:val="tab"/>
      <w:lvlText w:val=""/>
      <w:lvlJc w:val="left"/>
      <w:pPr>
        <w:ind w:left="2126" w:hanging="360"/>
      </w:pPr>
      <w:rPr>
        <w:rFonts w:hint="default" w:ascii="Symbol" w:hAnsi="Symbol"/>
      </w:rPr>
    </w:lvl>
    <w:lvl w:ilvl="1">
      <w:start w:val="1"/>
      <w:numFmt w:val="bullet"/>
      <w:isLgl w:val="false"/>
      <w:suff w:val="tab"/>
      <w:lvlText w:val="o"/>
      <w:lvlJc w:val="left"/>
      <w:pPr>
        <w:ind w:left="2846" w:hanging="360"/>
      </w:pPr>
      <w:rPr>
        <w:rFonts w:hint="default" w:ascii="Courier New" w:hAnsi="Courier New" w:eastAsia="Courier New" w:cs="Courier New"/>
      </w:rPr>
    </w:lvl>
    <w:lvl w:ilvl="2">
      <w:start w:val="1"/>
      <w:numFmt w:val="bullet"/>
      <w:isLgl w:val="false"/>
      <w:suff w:val="tab"/>
      <w:lvlText w:val="§"/>
      <w:lvlJc w:val="left"/>
      <w:pPr>
        <w:ind w:left="3566" w:hanging="360"/>
      </w:pPr>
      <w:rPr>
        <w:rFonts w:hint="default" w:ascii="Wingdings" w:hAnsi="Wingdings" w:eastAsia="Wingdings" w:cs="Wingdings"/>
      </w:rPr>
    </w:lvl>
    <w:lvl w:ilvl="3">
      <w:start w:val="1"/>
      <w:numFmt w:val="bullet"/>
      <w:isLgl w:val="false"/>
      <w:suff w:val="tab"/>
      <w:lvlText w:val="·"/>
      <w:lvlJc w:val="left"/>
      <w:pPr>
        <w:ind w:left="4286" w:hanging="360"/>
      </w:pPr>
      <w:rPr>
        <w:rFonts w:hint="default" w:ascii="Symbol" w:hAnsi="Symbol" w:eastAsia="Symbol" w:cs="Symbol"/>
      </w:rPr>
    </w:lvl>
    <w:lvl w:ilvl="4">
      <w:start w:val="1"/>
      <w:numFmt w:val="bullet"/>
      <w:isLgl w:val="false"/>
      <w:suff w:val="tab"/>
      <w:lvlText w:val="o"/>
      <w:lvlJc w:val="left"/>
      <w:pPr>
        <w:ind w:left="5006" w:hanging="360"/>
      </w:pPr>
      <w:rPr>
        <w:rFonts w:hint="default" w:ascii="Courier New" w:hAnsi="Courier New" w:eastAsia="Courier New" w:cs="Courier New"/>
      </w:rPr>
    </w:lvl>
    <w:lvl w:ilvl="5">
      <w:start w:val="1"/>
      <w:numFmt w:val="bullet"/>
      <w:isLgl w:val="false"/>
      <w:suff w:val="tab"/>
      <w:lvlText w:val="§"/>
      <w:lvlJc w:val="left"/>
      <w:pPr>
        <w:ind w:left="5726" w:hanging="360"/>
      </w:pPr>
      <w:rPr>
        <w:rFonts w:hint="default" w:ascii="Wingdings" w:hAnsi="Wingdings" w:eastAsia="Wingdings" w:cs="Wingdings"/>
      </w:rPr>
    </w:lvl>
    <w:lvl w:ilvl="6">
      <w:start w:val="1"/>
      <w:numFmt w:val="bullet"/>
      <w:isLgl w:val="false"/>
      <w:suff w:val="tab"/>
      <w:lvlText w:val="·"/>
      <w:lvlJc w:val="left"/>
      <w:pPr>
        <w:ind w:left="6446" w:hanging="360"/>
      </w:pPr>
      <w:rPr>
        <w:rFonts w:hint="default" w:ascii="Symbol" w:hAnsi="Symbol" w:eastAsia="Symbol" w:cs="Symbol"/>
      </w:rPr>
    </w:lvl>
    <w:lvl w:ilvl="7">
      <w:start w:val="1"/>
      <w:numFmt w:val="bullet"/>
      <w:isLgl w:val="false"/>
      <w:suff w:val="tab"/>
      <w:lvlText w:val="o"/>
      <w:lvlJc w:val="left"/>
      <w:pPr>
        <w:ind w:left="7166" w:hanging="360"/>
      </w:pPr>
      <w:rPr>
        <w:rFonts w:hint="default" w:ascii="Courier New" w:hAnsi="Courier New" w:eastAsia="Courier New" w:cs="Courier New"/>
      </w:rPr>
    </w:lvl>
    <w:lvl w:ilvl="8">
      <w:start w:val="1"/>
      <w:numFmt w:val="bullet"/>
      <w:isLgl w:val="false"/>
      <w:suff w:val="tab"/>
      <w:lvlText w:val="§"/>
      <w:lvlJc w:val="left"/>
      <w:pPr>
        <w:ind w:left="7886" w:hanging="360"/>
      </w:pPr>
      <w:rPr>
        <w:rFonts w:hint="default" w:ascii="Wingdings" w:hAnsi="Wingdings" w:eastAsia="Wingdings" w:cs="Wingdings"/>
      </w:rPr>
    </w:lvl>
  </w:abstractNum>
  <w:abstractNum w:abstractNumId="174">
    <w:multiLevelType w:val="hybridMultilevel"/>
    <w:lvl w:ilvl="0">
      <w:start w:val="1"/>
      <w:numFmt w:val="bullet"/>
      <w:isLgl w:val="false"/>
      <w:suff w:val="tab"/>
      <w:lvlText w:val=""/>
      <w:lvlJc w:val="left"/>
      <w:pPr>
        <w:ind w:left="2126" w:hanging="360"/>
      </w:pPr>
      <w:rPr>
        <w:rFonts w:hint="default" w:ascii="Symbol" w:hAnsi="Symbol"/>
      </w:rPr>
    </w:lvl>
    <w:lvl w:ilvl="1">
      <w:start w:val="1"/>
      <w:numFmt w:val="bullet"/>
      <w:isLgl w:val="false"/>
      <w:suff w:val="tab"/>
      <w:lvlText w:val="o"/>
      <w:lvlJc w:val="left"/>
      <w:pPr>
        <w:ind w:left="2846" w:hanging="360"/>
      </w:pPr>
      <w:rPr>
        <w:rFonts w:hint="default" w:ascii="Courier New" w:hAnsi="Courier New" w:eastAsia="Courier New" w:cs="Courier New"/>
      </w:rPr>
    </w:lvl>
    <w:lvl w:ilvl="2">
      <w:start w:val="1"/>
      <w:numFmt w:val="bullet"/>
      <w:isLgl w:val="false"/>
      <w:suff w:val="tab"/>
      <w:lvlText w:val="§"/>
      <w:lvlJc w:val="left"/>
      <w:pPr>
        <w:ind w:left="3566" w:hanging="360"/>
      </w:pPr>
      <w:rPr>
        <w:rFonts w:hint="default" w:ascii="Wingdings" w:hAnsi="Wingdings" w:eastAsia="Wingdings" w:cs="Wingdings"/>
      </w:rPr>
    </w:lvl>
    <w:lvl w:ilvl="3">
      <w:start w:val="1"/>
      <w:numFmt w:val="bullet"/>
      <w:isLgl w:val="false"/>
      <w:suff w:val="tab"/>
      <w:lvlText w:val="·"/>
      <w:lvlJc w:val="left"/>
      <w:pPr>
        <w:ind w:left="4286" w:hanging="360"/>
      </w:pPr>
      <w:rPr>
        <w:rFonts w:hint="default" w:ascii="Symbol" w:hAnsi="Symbol" w:eastAsia="Symbol" w:cs="Symbol"/>
      </w:rPr>
    </w:lvl>
    <w:lvl w:ilvl="4">
      <w:start w:val="1"/>
      <w:numFmt w:val="bullet"/>
      <w:isLgl w:val="false"/>
      <w:suff w:val="tab"/>
      <w:lvlText w:val="o"/>
      <w:lvlJc w:val="left"/>
      <w:pPr>
        <w:ind w:left="5006" w:hanging="360"/>
      </w:pPr>
      <w:rPr>
        <w:rFonts w:hint="default" w:ascii="Courier New" w:hAnsi="Courier New" w:eastAsia="Courier New" w:cs="Courier New"/>
      </w:rPr>
    </w:lvl>
    <w:lvl w:ilvl="5">
      <w:start w:val="1"/>
      <w:numFmt w:val="bullet"/>
      <w:isLgl w:val="false"/>
      <w:suff w:val="tab"/>
      <w:lvlText w:val="§"/>
      <w:lvlJc w:val="left"/>
      <w:pPr>
        <w:ind w:left="5726" w:hanging="360"/>
      </w:pPr>
      <w:rPr>
        <w:rFonts w:hint="default" w:ascii="Wingdings" w:hAnsi="Wingdings" w:eastAsia="Wingdings" w:cs="Wingdings"/>
      </w:rPr>
    </w:lvl>
    <w:lvl w:ilvl="6">
      <w:start w:val="1"/>
      <w:numFmt w:val="bullet"/>
      <w:isLgl w:val="false"/>
      <w:suff w:val="tab"/>
      <w:lvlText w:val="·"/>
      <w:lvlJc w:val="left"/>
      <w:pPr>
        <w:ind w:left="6446" w:hanging="360"/>
      </w:pPr>
      <w:rPr>
        <w:rFonts w:hint="default" w:ascii="Symbol" w:hAnsi="Symbol" w:eastAsia="Symbol" w:cs="Symbol"/>
      </w:rPr>
    </w:lvl>
    <w:lvl w:ilvl="7">
      <w:start w:val="1"/>
      <w:numFmt w:val="bullet"/>
      <w:isLgl w:val="false"/>
      <w:suff w:val="tab"/>
      <w:lvlText w:val="o"/>
      <w:lvlJc w:val="left"/>
      <w:pPr>
        <w:ind w:left="7166" w:hanging="360"/>
      </w:pPr>
      <w:rPr>
        <w:rFonts w:hint="default" w:ascii="Courier New" w:hAnsi="Courier New" w:eastAsia="Courier New" w:cs="Courier New"/>
      </w:rPr>
    </w:lvl>
    <w:lvl w:ilvl="8">
      <w:start w:val="1"/>
      <w:numFmt w:val="bullet"/>
      <w:isLgl w:val="false"/>
      <w:suff w:val="tab"/>
      <w:lvlText w:val="§"/>
      <w:lvlJc w:val="left"/>
      <w:pPr>
        <w:ind w:left="7886" w:hanging="360"/>
      </w:pPr>
      <w:rPr>
        <w:rFonts w:hint="default" w:ascii="Wingdings" w:hAnsi="Wingdings" w:eastAsia="Wingdings" w:cs="Wingdings"/>
      </w:rPr>
    </w:lvl>
  </w:abstractNum>
  <w:abstractNum w:abstractNumId="175">
    <w:multiLevelType w:val="hybridMultilevel"/>
    <w:lvl w:ilvl="0">
      <w:start w:val="1"/>
      <w:numFmt w:val="bullet"/>
      <w:isLgl w:val="false"/>
      <w:suff w:val="tab"/>
      <w:lvlText w:val=""/>
      <w:lvlJc w:val="left"/>
      <w:pPr>
        <w:ind w:left="2126" w:hanging="360"/>
      </w:pPr>
      <w:rPr>
        <w:rFonts w:hint="default" w:ascii="Symbol" w:hAnsi="Symbol"/>
      </w:rPr>
    </w:lvl>
    <w:lvl w:ilvl="1">
      <w:start w:val="1"/>
      <w:numFmt w:val="bullet"/>
      <w:isLgl w:val="false"/>
      <w:suff w:val="tab"/>
      <w:lvlText w:val="o"/>
      <w:lvlJc w:val="left"/>
      <w:pPr>
        <w:ind w:left="2846" w:hanging="360"/>
      </w:pPr>
      <w:rPr>
        <w:rFonts w:hint="default" w:ascii="Courier New" w:hAnsi="Courier New" w:eastAsia="Courier New" w:cs="Courier New"/>
      </w:rPr>
    </w:lvl>
    <w:lvl w:ilvl="2">
      <w:start w:val="1"/>
      <w:numFmt w:val="bullet"/>
      <w:isLgl w:val="false"/>
      <w:suff w:val="tab"/>
      <w:lvlText w:val="§"/>
      <w:lvlJc w:val="left"/>
      <w:pPr>
        <w:ind w:left="3566" w:hanging="360"/>
      </w:pPr>
      <w:rPr>
        <w:rFonts w:hint="default" w:ascii="Wingdings" w:hAnsi="Wingdings" w:eastAsia="Wingdings" w:cs="Wingdings"/>
      </w:rPr>
    </w:lvl>
    <w:lvl w:ilvl="3">
      <w:start w:val="1"/>
      <w:numFmt w:val="bullet"/>
      <w:isLgl w:val="false"/>
      <w:suff w:val="tab"/>
      <w:lvlText w:val="·"/>
      <w:lvlJc w:val="left"/>
      <w:pPr>
        <w:ind w:left="4286" w:hanging="360"/>
      </w:pPr>
      <w:rPr>
        <w:rFonts w:hint="default" w:ascii="Symbol" w:hAnsi="Symbol" w:eastAsia="Symbol" w:cs="Symbol"/>
      </w:rPr>
    </w:lvl>
    <w:lvl w:ilvl="4">
      <w:start w:val="1"/>
      <w:numFmt w:val="bullet"/>
      <w:isLgl w:val="false"/>
      <w:suff w:val="tab"/>
      <w:lvlText w:val="o"/>
      <w:lvlJc w:val="left"/>
      <w:pPr>
        <w:ind w:left="5006" w:hanging="360"/>
      </w:pPr>
      <w:rPr>
        <w:rFonts w:hint="default" w:ascii="Courier New" w:hAnsi="Courier New" w:eastAsia="Courier New" w:cs="Courier New"/>
      </w:rPr>
    </w:lvl>
    <w:lvl w:ilvl="5">
      <w:start w:val="1"/>
      <w:numFmt w:val="bullet"/>
      <w:isLgl w:val="false"/>
      <w:suff w:val="tab"/>
      <w:lvlText w:val="§"/>
      <w:lvlJc w:val="left"/>
      <w:pPr>
        <w:ind w:left="5726" w:hanging="360"/>
      </w:pPr>
      <w:rPr>
        <w:rFonts w:hint="default" w:ascii="Wingdings" w:hAnsi="Wingdings" w:eastAsia="Wingdings" w:cs="Wingdings"/>
      </w:rPr>
    </w:lvl>
    <w:lvl w:ilvl="6">
      <w:start w:val="1"/>
      <w:numFmt w:val="bullet"/>
      <w:isLgl w:val="false"/>
      <w:suff w:val="tab"/>
      <w:lvlText w:val="·"/>
      <w:lvlJc w:val="left"/>
      <w:pPr>
        <w:ind w:left="6446" w:hanging="360"/>
      </w:pPr>
      <w:rPr>
        <w:rFonts w:hint="default" w:ascii="Symbol" w:hAnsi="Symbol" w:eastAsia="Symbol" w:cs="Symbol"/>
      </w:rPr>
    </w:lvl>
    <w:lvl w:ilvl="7">
      <w:start w:val="1"/>
      <w:numFmt w:val="bullet"/>
      <w:isLgl w:val="false"/>
      <w:suff w:val="tab"/>
      <w:lvlText w:val="o"/>
      <w:lvlJc w:val="left"/>
      <w:pPr>
        <w:ind w:left="7166" w:hanging="360"/>
      </w:pPr>
      <w:rPr>
        <w:rFonts w:hint="default" w:ascii="Courier New" w:hAnsi="Courier New" w:eastAsia="Courier New" w:cs="Courier New"/>
      </w:rPr>
    </w:lvl>
    <w:lvl w:ilvl="8">
      <w:start w:val="1"/>
      <w:numFmt w:val="bullet"/>
      <w:isLgl w:val="false"/>
      <w:suff w:val="tab"/>
      <w:lvlText w:val="§"/>
      <w:lvlJc w:val="left"/>
      <w:pPr>
        <w:ind w:left="7886" w:hanging="360"/>
      </w:pPr>
      <w:rPr>
        <w:rFonts w:hint="default" w:ascii="Wingdings" w:hAnsi="Wingdings" w:eastAsia="Wingdings" w:cs="Wingdings"/>
      </w:rPr>
    </w:lvl>
  </w:abstractNum>
  <w:abstractNum w:abstractNumId="176">
    <w:multiLevelType w:val="hybridMultilevel"/>
    <w:lvl w:ilvl="0">
      <w:start w:val="1"/>
      <w:numFmt w:val="bullet"/>
      <w:isLgl w:val="false"/>
      <w:suff w:val="tab"/>
      <w:lvlText w:val=""/>
      <w:lvlJc w:val="left"/>
      <w:pPr>
        <w:ind w:left="2126" w:hanging="360"/>
      </w:pPr>
      <w:rPr>
        <w:rFonts w:hint="default" w:ascii="Symbol" w:hAnsi="Symbol"/>
      </w:rPr>
    </w:lvl>
    <w:lvl w:ilvl="1">
      <w:start w:val="1"/>
      <w:numFmt w:val="bullet"/>
      <w:isLgl w:val="false"/>
      <w:suff w:val="tab"/>
      <w:lvlText w:val="o"/>
      <w:lvlJc w:val="left"/>
      <w:pPr>
        <w:ind w:left="2846" w:hanging="360"/>
      </w:pPr>
      <w:rPr>
        <w:rFonts w:hint="default" w:ascii="Courier New" w:hAnsi="Courier New" w:eastAsia="Courier New" w:cs="Courier New"/>
      </w:rPr>
    </w:lvl>
    <w:lvl w:ilvl="2">
      <w:start w:val="1"/>
      <w:numFmt w:val="bullet"/>
      <w:isLgl w:val="false"/>
      <w:suff w:val="tab"/>
      <w:lvlText w:val="§"/>
      <w:lvlJc w:val="left"/>
      <w:pPr>
        <w:ind w:left="3566" w:hanging="360"/>
      </w:pPr>
      <w:rPr>
        <w:rFonts w:hint="default" w:ascii="Wingdings" w:hAnsi="Wingdings" w:eastAsia="Wingdings" w:cs="Wingdings"/>
      </w:rPr>
    </w:lvl>
    <w:lvl w:ilvl="3">
      <w:start w:val="1"/>
      <w:numFmt w:val="bullet"/>
      <w:isLgl w:val="false"/>
      <w:suff w:val="tab"/>
      <w:lvlText w:val="·"/>
      <w:lvlJc w:val="left"/>
      <w:pPr>
        <w:ind w:left="4286" w:hanging="360"/>
      </w:pPr>
      <w:rPr>
        <w:rFonts w:hint="default" w:ascii="Symbol" w:hAnsi="Symbol" w:eastAsia="Symbol" w:cs="Symbol"/>
      </w:rPr>
    </w:lvl>
    <w:lvl w:ilvl="4">
      <w:start w:val="1"/>
      <w:numFmt w:val="bullet"/>
      <w:isLgl w:val="false"/>
      <w:suff w:val="tab"/>
      <w:lvlText w:val="o"/>
      <w:lvlJc w:val="left"/>
      <w:pPr>
        <w:ind w:left="5006" w:hanging="360"/>
      </w:pPr>
      <w:rPr>
        <w:rFonts w:hint="default" w:ascii="Courier New" w:hAnsi="Courier New" w:eastAsia="Courier New" w:cs="Courier New"/>
      </w:rPr>
    </w:lvl>
    <w:lvl w:ilvl="5">
      <w:start w:val="1"/>
      <w:numFmt w:val="bullet"/>
      <w:isLgl w:val="false"/>
      <w:suff w:val="tab"/>
      <w:lvlText w:val="§"/>
      <w:lvlJc w:val="left"/>
      <w:pPr>
        <w:ind w:left="5726" w:hanging="360"/>
      </w:pPr>
      <w:rPr>
        <w:rFonts w:hint="default" w:ascii="Wingdings" w:hAnsi="Wingdings" w:eastAsia="Wingdings" w:cs="Wingdings"/>
      </w:rPr>
    </w:lvl>
    <w:lvl w:ilvl="6">
      <w:start w:val="1"/>
      <w:numFmt w:val="bullet"/>
      <w:isLgl w:val="false"/>
      <w:suff w:val="tab"/>
      <w:lvlText w:val="·"/>
      <w:lvlJc w:val="left"/>
      <w:pPr>
        <w:ind w:left="6446" w:hanging="360"/>
      </w:pPr>
      <w:rPr>
        <w:rFonts w:hint="default" w:ascii="Symbol" w:hAnsi="Symbol" w:eastAsia="Symbol" w:cs="Symbol"/>
      </w:rPr>
    </w:lvl>
    <w:lvl w:ilvl="7">
      <w:start w:val="1"/>
      <w:numFmt w:val="bullet"/>
      <w:isLgl w:val="false"/>
      <w:suff w:val="tab"/>
      <w:lvlText w:val="o"/>
      <w:lvlJc w:val="left"/>
      <w:pPr>
        <w:ind w:left="7166" w:hanging="360"/>
      </w:pPr>
      <w:rPr>
        <w:rFonts w:hint="default" w:ascii="Courier New" w:hAnsi="Courier New" w:eastAsia="Courier New" w:cs="Courier New"/>
      </w:rPr>
    </w:lvl>
    <w:lvl w:ilvl="8">
      <w:start w:val="1"/>
      <w:numFmt w:val="bullet"/>
      <w:isLgl w:val="false"/>
      <w:suff w:val="tab"/>
      <w:lvlText w:val="§"/>
      <w:lvlJc w:val="left"/>
      <w:pPr>
        <w:ind w:left="7886" w:hanging="360"/>
      </w:pPr>
      <w:rPr>
        <w:rFonts w:hint="default" w:ascii="Wingdings" w:hAnsi="Wingdings" w:eastAsia="Wingdings" w:cs="Wingdings"/>
      </w:rPr>
    </w:lvl>
  </w:abstractNum>
  <w:abstractNum w:abstractNumId="177">
    <w:multiLevelType w:val="hybridMultilevel"/>
    <w:lvl w:ilvl="0">
      <w:start w:val="1"/>
      <w:numFmt w:val="bullet"/>
      <w:isLgl w:val="false"/>
      <w:suff w:val="tab"/>
      <w:lvlText w:val=""/>
      <w:lvlJc w:val="left"/>
      <w:pPr>
        <w:ind w:left="2126" w:hanging="360"/>
      </w:pPr>
      <w:rPr>
        <w:rFonts w:hint="default" w:ascii="Symbol" w:hAnsi="Symbol"/>
      </w:rPr>
    </w:lvl>
    <w:lvl w:ilvl="1">
      <w:start w:val="1"/>
      <w:numFmt w:val="bullet"/>
      <w:isLgl w:val="false"/>
      <w:suff w:val="tab"/>
      <w:lvlText w:val="o"/>
      <w:lvlJc w:val="left"/>
      <w:pPr>
        <w:ind w:left="2846" w:hanging="360"/>
      </w:pPr>
      <w:rPr>
        <w:rFonts w:hint="default" w:ascii="Courier New" w:hAnsi="Courier New" w:eastAsia="Courier New" w:cs="Courier New"/>
      </w:rPr>
    </w:lvl>
    <w:lvl w:ilvl="2">
      <w:start w:val="1"/>
      <w:numFmt w:val="bullet"/>
      <w:isLgl w:val="false"/>
      <w:suff w:val="tab"/>
      <w:lvlText w:val="§"/>
      <w:lvlJc w:val="left"/>
      <w:pPr>
        <w:ind w:left="3566" w:hanging="360"/>
      </w:pPr>
      <w:rPr>
        <w:rFonts w:hint="default" w:ascii="Wingdings" w:hAnsi="Wingdings" w:eastAsia="Wingdings" w:cs="Wingdings"/>
      </w:rPr>
    </w:lvl>
    <w:lvl w:ilvl="3">
      <w:start w:val="1"/>
      <w:numFmt w:val="bullet"/>
      <w:isLgl w:val="false"/>
      <w:suff w:val="tab"/>
      <w:lvlText w:val="·"/>
      <w:lvlJc w:val="left"/>
      <w:pPr>
        <w:ind w:left="4286" w:hanging="360"/>
      </w:pPr>
      <w:rPr>
        <w:rFonts w:hint="default" w:ascii="Symbol" w:hAnsi="Symbol" w:eastAsia="Symbol" w:cs="Symbol"/>
      </w:rPr>
    </w:lvl>
    <w:lvl w:ilvl="4">
      <w:start w:val="1"/>
      <w:numFmt w:val="bullet"/>
      <w:isLgl w:val="false"/>
      <w:suff w:val="tab"/>
      <w:lvlText w:val="o"/>
      <w:lvlJc w:val="left"/>
      <w:pPr>
        <w:ind w:left="5006" w:hanging="360"/>
      </w:pPr>
      <w:rPr>
        <w:rFonts w:hint="default" w:ascii="Courier New" w:hAnsi="Courier New" w:eastAsia="Courier New" w:cs="Courier New"/>
      </w:rPr>
    </w:lvl>
    <w:lvl w:ilvl="5">
      <w:start w:val="1"/>
      <w:numFmt w:val="bullet"/>
      <w:isLgl w:val="false"/>
      <w:suff w:val="tab"/>
      <w:lvlText w:val="§"/>
      <w:lvlJc w:val="left"/>
      <w:pPr>
        <w:ind w:left="5726" w:hanging="360"/>
      </w:pPr>
      <w:rPr>
        <w:rFonts w:hint="default" w:ascii="Wingdings" w:hAnsi="Wingdings" w:eastAsia="Wingdings" w:cs="Wingdings"/>
      </w:rPr>
    </w:lvl>
    <w:lvl w:ilvl="6">
      <w:start w:val="1"/>
      <w:numFmt w:val="bullet"/>
      <w:isLgl w:val="false"/>
      <w:suff w:val="tab"/>
      <w:lvlText w:val="·"/>
      <w:lvlJc w:val="left"/>
      <w:pPr>
        <w:ind w:left="6446" w:hanging="360"/>
      </w:pPr>
      <w:rPr>
        <w:rFonts w:hint="default" w:ascii="Symbol" w:hAnsi="Symbol" w:eastAsia="Symbol" w:cs="Symbol"/>
      </w:rPr>
    </w:lvl>
    <w:lvl w:ilvl="7">
      <w:start w:val="1"/>
      <w:numFmt w:val="bullet"/>
      <w:isLgl w:val="false"/>
      <w:suff w:val="tab"/>
      <w:lvlText w:val="o"/>
      <w:lvlJc w:val="left"/>
      <w:pPr>
        <w:ind w:left="7166" w:hanging="360"/>
      </w:pPr>
      <w:rPr>
        <w:rFonts w:hint="default" w:ascii="Courier New" w:hAnsi="Courier New" w:eastAsia="Courier New" w:cs="Courier New"/>
      </w:rPr>
    </w:lvl>
    <w:lvl w:ilvl="8">
      <w:start w:val="1"/>
      <w:numFmt w:val="bullet"/>
      <w:isLgl w:val="false"/>
      <w:suff w:val="tab"/>
      <w:lvlText w:val="§"/>
      <w:lvlJc w:val="left"/>
      <w:pPr>
        <w:ind w:left="7886" w:hanging="360"/>
      </w:pPr>
      <w:rPr>
        <w:rFonts w:hint="default" w:ascii="Wingdings" w:hAnsi="Wingdings" w:eastAsia="Wingdings" w:cs="Wingdings"/>
      </w:rPr>
    </w:lvl>
  </w:abstractNum>
  <w:abstractNum w:abstractNumId="178">
    <w:multiLevelType w:val="hybridMultilevel"/>
    <w:lvl w:ilvl="0">
      <w:start w:val="1"/>
      <w:numFmt w:val="bullet"/>
      <w:isLgl w:val="false"/>
      <w:suff w:val="tab"/>
      <w:lvlText w:val=""/>
      <w:lvlJc w:val="left"/>
      <w:pPr>
        <w:ind w:left="2126" w:hanging="360"/>
      </w:pPr>
      <w:rPr>
        <w:rFonts w:hint="default" w:ascii="Symbol" w:hAnsi="Symbol"/>
      </w:rPr>
    </w:lvl>
    <w:lvl w:ilvl="1">
      <w:start w:val="1"/>
      <w:numFmt w:val="bullet"/>
      <w:isLgl w:val="false"/>
      <w:suff w:val="tab"/>
      <w:lvlText w:val="o"/>
      <w:lvlJc w:val="left"/>
      <w:pPr>
        <w:ind w:left="2846" w:hanging="360"/>
      </w:pPr>
      <w:rPr>
        <w:rFonts w:hint="default" w:ascii="Courier New" w:hAnsi="Courier New" w:eastAsia="Courier New" w:cs="Courier New"/>
      </w:rPr>
    </w:lvl>
    <w:lvl w:ilvl="2">
      <w:start w:val="1"/>
      <w:numFmt w:val="bullet"/>
      <w:isLgl w:val="false"/>
      <w:suff w:val="tab"/>
      <w:lvlText w:val="§"/>
      <w:lvlJc w:val="left"/>
      <w:pPr>
        <w:ind w:left="3566" w:hanging="360"/>
      </w:pPr>
      <w:rPr>
        <w:rFonts w:hint="default" w:ascii="Wingdings" w:hAnsi="Wingdings" w:eastAsia="Wingdings" w:cs="Wingdings"/>
      </w:rPr>
    </w:lvl>
    <w:lvl w:ilvl="3">
      <w:start w:val="1"/>
      <w:numFmt w:val="bullet"/>
      <w:isLgl w:val="false"/>
      <w:suff w:val="tab"/>
      <w:lvlText w:val="·"/>
      <w:lvlJc w:val="left"/>
      <w:pPr>
        <w:ind w:left="4286" w:hanging="360"/>
      </w:pPr>
      <w:rPr>
        <w:rFonts w:hint="default" w:ascii="Symbol" w:hAnsi="Symbol" w:eastAsia="Symbol" w:cs="Symbol"/>
      </w:rPr>
    </w:lvl>
    <w:lvl w:ilvl="4">
      <w:start w:val="1"/>
      <w:numFmt w:val="bullet"/>
      <w:isLgl w:val="false"/>
      <w:suff w:val="tab"/>
      <w:lvlText w:val="o"/>
      <w:lvlJc w:val="left"/>
      <w:pPr>
        <w:ind w:left="5006" w:hanging="360"/>
      </w:pPr>
      <w:rPr>
        <w:rFonts w:hint="default" w:ascii="Courier New" w:hAnsi="Courier New" w:eastAsia="Courier New" w:cs="Courier New"/>
      </w:rPr>
    </w:lvl>
    <w:lvl w:ilvl="5">
      <w:start w:val="1"/>
      <w:numFmt w:val="bullet"/>
      <w:isLgl w:val="false"/>
      <w:suff w:val="tab"/>
      <w:lvlText w:val="§"/>
      <w:lvlJc w:val="left"/>
      <w:pPr>
        <w:ind w:left="5726" w:hanging="360"/>
      </w:pPr>
      <w:rPr>
        <w:rFonts w:hint="default" w:ascii="Wingdings" w:hAnsi="Wingdings" w:eastAsia="Wingdings" w:cs="Wingdings"/>
      </w:rPr>
    </w:lvl>
    <w:lvl w:ilvl="6">
      <w:start w:val="1"/>
      <w:numFmt w:val="bullet"/>
      <w:isLgl w:val="false"/>
      <w:suff w:val="tab"/>
      <w:lvlText w:val="·"/>
      <w:lvlJc w:val="left"/>
      <w:pPr>
        <w:ind w:left="6446" w:hanging="360"/>
      </w:pPr>
      <w:rPr>
        <w:rFonts w:hint="default" w:ascii="Symbol" w:hAnsi="Symbol" w:eastAsia="Symbol" w:cs="Symbol"/>
      </w:rPr>
    </w:lvl>
    <w:lvl w:ilvl="7">
      <w:start w:val="1"/>
      <w:numFmt w:val="bullet"/>
      <w:isLgl w:val="false"/>
      <w:suff w:val="tab"/>
      <w:lvlText w:val="o"/>
      <w:lvlJc w:val="left"/>
      <w:pPr>
        <w:ind w:left="7166" w:hanging="360"/>
      </w:pPr>
      <w:rPr>
        <w:rFonts w:hint="default" w:ascii="Courier New" w:hAnsi="Courier New" w:eastAsia="Courier New" w:cs="Courier New"/>
      </w:rPr>
    </w:lvl>
    <w:lvl w:ilvl="8">
      <w:start w:val="1"/>
      <w:numFmt w:val="bullet"/>
      <w:isLgl w:val="false"/>
      <w:suff w:val="tab"/>
      <w:lvlText w:val="§"/>
      <w:lvlJc w:val="left"/>
      <w:pPr>
        <w:ind w:left="7886" w:hanging="360"/>
      </w:pPr>
      <w:rPr>
        <w:rFonts w:hint="default" w:ascii="Wingdings" w:hAnsi="Wingdings" w:eastAsia="Wingdings" w:cs="Wingdings"/>
      </w:rPr>
    </w:lvl>
  </w:abstractNum>
  <w:abstractNum w:abstractNumId="179">
    <w:multiLevelType w:val="hybridMultilevel"/>
    <w:lvl w:ilvl="0">
      <w:start w:val="1"/>
      <w:numFmt w:val="bullet"/>
      <w:isLgl w:val="false"/>
      <w:suff w:val="tab"/>
      <w:lvlText w:val=""/>
      <w:lvlJc w:val="left"/>
      <w:pPr>
        <w:ind w:left="2126" w:hanging="360"/>
      </w:pPr>
      <w:rPr>
        <w:rFonts w:hint="default" w:ascii="Symbol" w:hAnsi="Symbol"/>
      </w:rPr>
    </w:lvl>
    <w:lvl w:ilvl="1">
      <w:start w:val="1"/>
      <w:numFmt w:val="bullet"/>
      <w:isLgl w:val="false"/>
      <w:suff w:val="tab"/>
      <w:lvlText w:val="o"/>
      <w:lvlJc w:val="left"/>
      <w:pPr>
        <w:ind w:left="2846" w:hanging="360"/>
      </w:pPr>
      <w:rPr>
        <w:rFonts w:hint="default" w:ascii="Courier New" w:hAnsi="Courier New" w:eastAsia="Courier New" w:cs="Courier New"/>
      </w:rPr>
    </w:lvl>
    <w:lvl w:ilvl="2">
      <w:start w:val="1"/>
      <w:numFmt w:val="bullet"/>
      <w:isLgl w:val="false"/>
      <w:suff w:val="tab"/>
      <w:lvlText w:val="§"/>
      <w:lvlJc w:val="left"/>
      <w:pPr>
        <w:ind w:left="3566" w:hanging="360"/>
      </w:pPr>
      <w:rPr>
        <w:rFonts w:hint="default" w:ascii="Wingdings" w:hAnsi="Wingdings" w:eastAsia="Wingdings" w:cs="Wingdings"/>
      </w:rPr>
    </w:lvl>
    <w:lvl w:ilvl="3">
      <w:start w:val="1"/>
      <w:numFmt w:val="bullet"/>
      <w:isLgl w:val="false"/>
      <w:suff w:val="tab"/>
      <w:lvlText w:val="·"/>
      <w:lvlJc w:val="left"/>
      <w:pPr>
        <w:ind w:left="4286" w:hanging="360"/>
      </w:pPr>
      <w:rPr>
        <w:rFonts w:hint="default" w:ascii="Symbol" w:hAnsi="Symbol" w:eastAsia="Symbol" w:cs="Symbol"/>
      </w:rPr>
    </w:lvl>
    <w:lvl w:ilvl="4">
      <w:start w:val="1"/>
      <w:numFmt w:val="bullet"/>
      <w:isLgl w:val="false"/>
      <w:suff w:val="tab"/>
      <w:lvlText w:val="o"/>
      <w:lvlJc w:val="left"/>
      <w:pPr>
        <w:ind w:left="5006" w:hanging="360"/>
      </w:pPr>
      <w:rPr>
        <w:rFonts w:hint="default" w:ascii="Courier New" w:hAnsi="Courier New" w:eastAsia="Courier New" w:cs="Courier New"/>
      </w:rPr>
    </w:lvl>
    <w:lvl w:ilvl="5">
      <w:start w:val="1"/>
      <w:numFmt w:val="bullet"/>
      <w:isLgl w:val="false"/>
      <w:suff w:val="tab"/>
      <w:lvlText w:val="§"/>
      <w:lvlJc w:val="left"/>
      <w:pPr>
        <w:ind w:left="5726" w:hanging="360"/>
      </w:pPr>
      <w:rPr>
        <w:rFonts w:hint="default" w:ascii="Wingdings" w:hAnsi="Wingdings" w:eastAsia="Wingdings" w:cs="Wingdings"/>
      </w:rPr>
    </w:lvl>
    <w:lvl w:ilvl="6">
      <w:start w:val="1"/>
      <w:numFmt w:val="bullet"/>
      <w:isLgl w:val="false"/>
      <w:suff w:val="tab"/>
      <w:lvlText w:val="·"/>
      <w:lvlJc w:val="left"/>
      <w:pPr>
        <w:ind w:left="6446" w:hanging="360"/>
      </w:pPr>
      <w:rPr>
        <w:rFonts w:hint="default" w:ascii="Symbol" w:hAnsi="Symbol" w:eastAsia="Symbol" w:cs="Symbol"/>
      </w:rPr>
    </w:lvl>
    <w:lvl w:ilvl="7">
      <w:start w:val="1"/>
      <w:numFmt w:val="bullet"/>
      <w:isLgl w:val="false"/>
      <w:suff w:val="tab"/>
      <w:lvlText w:val="o"/>
      <w:lvlJc w:val="left"/>
      <w:pPr>
        <w:ind w:left="7166" w:hanging="360"/>
      </w:pPr>
      <w:rPr>
        <w:rFonts w:hint="default" w:ascii="Courier New" w:hAnsi="Courier New" w:eastAsia="Courier New" w:cs="Courier New"/>
      </w:rPr>
    </w:lvl>
    <w:lvl w:ilvl="8">
      <w:start w:val="1"/>
      <w:numFmt w:val="bullet"/>
      <w:isLgl w:val="false"/>
      <w:suff w:val="tab"/>
      <w:lvlText w:val="§"/>
      <w:lvlJc w:val="left"/>
      <w:pPr>
        <w:ind w:left="7886" w:hanging="360"/>
      </w:pPr>
      <w:rPr>
        <w:rFonts w:hint="default" w:ascii="Wingdings" w:hAnsi="Wingdings" w:eastAsia="Wingdings" w:cs="Wingdings"/>
      </w:rPr>
    </w:lvl>
  </w:abstractNum>
  <w:abstractNum w:abstractNumId="180">
    <w:multiLevelType w:val="hybridMultilevel"/>
    <w:lvl w:ilvl="0">
      <w:start w:val="1"/>
      <w:numFmt w:val="bullet"/>
      <w:isLgl w:val="false"/>
      <w:suff w:val="tab"/>
      <w:lvlText w:val=""/>
      <w:lvlJc w:val="left"/>
      <w:pPr>
        <w:ind w:left="709" w:hanging="360"/>
      </w:pPr>
      <w:rPr>
        <w:rFonts w:ascii="Symbol" w:hAnsi="Symbol"/>
      </w:rPr>
    </w:lvl>
    <w:lvl w:ilvl="1">
      <w:start w:val="1"/>
      <w:numFmt w:val="bullet"/>
      <w:isLgl w:val="false"/>
      <w:suff w:val="tab"/>
      <w:lvlText w:val="o"/>
      <w:lvlJc w:val="left"/>
      <w:pPr>
        <w:ind w:left="1429" w:hanging="360"/>
      </w:pPr>
      <w:rPr>
        <w:rFonts w:hint="default" w:ascii="Courier New" w:hAnsi="Courier New" w:eastAsia="Courier New" w:cs="Courier New"/>
      </w:rPr>
    </w:lvl>
    <w:lvl w:ilvl="2">
      <w:start w:val="1"/>
      <w:numFmt w:val="bullet"/>
      <w:isLgl w:val="false"/>
      <w:suff w:val="tab"/>
      <w:lvlText w:val="§"/>
      <w:lvlJc w:val="left"/>
      <w:pPr>
        <w:ind w:left="2149" w:hanging="360"/>
      </w:pPr>
      <w:rPr>
        <w:rFonts w:hint="default" w:ascii="Wingdings" w:hAnsi="Wingdings" w:eastAsia="Wingdings" w:cs="Wingdings"/>
      </w:rPr>
    </w:lvl>
    <w:lvl w:ilvl="3">
      <w:start w:val="1"/>
      <w:numFmt w:val="bullet"/>
      <w:isLgl w:val="false"/>
      <w:suff w:val="tab"/>
      <w:lvlText w:val="·"/>
      <w:lvlJc w:val="left"/>
      <w:pPr>
        <w:ind w:left="2869" w:hanging="360"/>
      </w:pPr>
      <w:rPr>
        <w:rFonts w:hint="default" w:ascii="Symbol" w:hAnsi="Symbol" w:eastAsia="Symbol" w:cs="Symbol"/>
      </w:rPr>
    </w:lvl>
    <w:lvl w:ilvl="4">
      <w:start w:val="1"/>
      <w:numFmt w:val="bullet"/>
      <w:isLgl w:val="false"/>
      <w:suff w:val="tab"/>
      <w:lvlText w:val="o"/>
      <w:lvlJc w:val="left"/>
      <w:pPr>
        <w:ind w:left="3589" w:hanging="360"/>
      </w:pPr>
      <w:rPr>
        <w:rFonts w:hint="default" w:ascii="Courier New" w:hAnsi="Courier New" w:eastAsia="Courier New" w:cs="Courier New"/>
      </w:rPr>
    </w:lvl>
    <w:lvl w:ilvl="5">
      <w:start w:val="1"/>
      <w:numFmt w:val="bullet"/>
      <w:isLgl w:val="false"/>
      <w:suff w:val="tab"/>
      <w:lvlText w:val="§"/>
      <w:lvlJc w:val="left"/>
      <w:pPr>
        <w:ind w:left="4309" w:hanging="360"/>
      </w:pPr>
      <w:rPr>
        <w:rFonts w:hint="default" w:ascii="Wingdings" w:hAnsi="Wingdings" w:eastAsia="Wingdings" w:cs="Wingdings"/>
      </w:rPr>
    </w:lvl>
    <w:lvl w:ilvl="6">
      <w:start w:val="1"/>
      <w:numFmt w:val="bullet"/>
      <w:isLgl w:val="false"/>
      <w:suff w:val="tab"/>
      <w:lvlText w:val="·"/>
      <w:lvlJc w:val="left"/>
      <w:pPr>
        <w:ind w:left="5029" w:hanging="360"/>
      </w:pPr>
      <w:rPr>
        <w:rFonts w:hint="default" w:ascii="Symbol" w:hAnsi="Symbol" w:eastAsia="Symbol" w:cs="Symbol"/>
      </w:rPr>
    </w:lvl>
    <w:lvl w:ilvl="7">
      <w:start w:val="1"/>
      <w:numFmt w:val="bullet"/>
      <w:isLgl w:val="false"/>
      <w:suff w:val="tab"/>
      <w:lvlText w:val="o"/>
      <w:lvlJc w:val="left"/>
      <w:pPr>
        <w:ind w:left="5749" w:hanging="360"/>
      </w:pPr>
      <w:rPr>
        <w:rFonts w:hint="default" w:ascii="Courier New" w:hAnsi="Courier New" w:eastAsia="Courier New" w:cs="Courier New"/>
      </w:rPr>
    </w:lvl>
    <w:lvl w:ilvl="8">
      <w:start w:val="1"/>
      <w:numFmt w:val="bullet"/>
      <w:isLgl w:val="false"/>
      <w:suff w:val="tab"/>
      <w:lvlText w:val="§"/>
      <w:lvlJc w:val="left"/>
      <w:pPr>
        <w:ind w:left="6469" w:hanging="360"/>
      </w:pPr>
      <w:rPr>
        <w:rFonts w:hint="default" w:ascii="Wingdings" w:hAnsi="Wingdings" w:eastAsia="Wingdings" w:cs="Wingdings"/>
      </w:rPr>
    </w:lvl>
  </w:abstractNum>
  <w:abstractNum w:abstractNumId="181">
    <w:multiLevelType w:val="hybridMultilevel"/>
    <w:lvl w:ilvl="0">
      <w:start w:val="1"/>
      <w:numFmt w:val="bullet"/>
      <w:isLgl w:val="false"/>
      <w:suff w:val="tab"/>
      <w:lvlText w:val=""/>
      <w:lvlJc w:val="left"/>
      <w:pPr>
        <w:ind w:left="1417" w:hanging="360"/>
      </w:pPr>
      <w:rPr>
        <w:rFonts w:ascii="Symbol" w:hAnsi="Symbol"/>
      </w:rPr>
    </w:lvl>
    <w:lvl w:ilvl="1">
      <w:start w:val="1"/>
      <w:numFmt w:val="bullet"/>
      <w:isLgl w:val="false"/>
      <w:suff w:val="tab"/>
      <w:lvlText w:val="o"/>
      <w:lvlJc w:val="left"/>
      <w:pPr>
        <w:ind w:left="2137" w:hanging="360"/>
      </w:pPr>
      <w:rPr>
        <w:rFonts w:hint="default" w:ascii="Courier New" w:hAnsi="Courier New" w:eastAsia="Courier New" w:cs="Courier New"/>
      </w:rPr>
    </w:lvl>
    <w:lvl w:ilvl="2">
      <w:start w:val="1"/>
      <w:numFmt w:val="bullet"/>
      <w:isLgl w:val="false"/>
      <w:suff w:val="tab"/>
      <w:lvlText w:val="§"/>
      <w:lvlJc w:val="left"/>
      <w:pPr>
        <w:ind w:left="2857" w:hanging="360"/>
      </w:pPr>
      <w:rPr>
        <w:rFonts w:hint="default" w:ascii="Wingdings" w:hAnsi="Wingdings" w:eastAsia="Wingdings" w:cs="Wingdings"/>
      </w:rPr>
    </w:lvl>
    <w:lvl w:ilvl="3">
      <w:start w:val="1"/>
      <w:numFmt w:val="bullet"/>
      <w:isLgl w:val="false"/>
      <w:suff w:val="tab"/>
      <w:lvlText w:val="·"/>
      <w:lvlJc w:val="left"/>
      <w:pPr>
        <w:ind w:left="3577" w:hanging="360"/>
      </w:pPr>
      <w:rPr>
        <w:rFonts w:hint="default" w:ascii="Symbol" w:hAnsi="Symbol" w:eastAsia="Symbol" w:cs="Symbol"/>
      </w:rPr>
    </w:lvl>
    <w:lvl w:ilvl="4">
      <w:start w:val="1"/>
      <w:numFmt w:val="bullet"/>
      <w:isLgl w:val="false"/>
      <w:suff w:val="tab"/>
      <w:lvlText w:val="o"/>
      <w:lvlJc w:val="left"/>
      <w:pPr>
        <w:ind w:left="4297" w:hanging="360"/>
      </w:pPr>
      <w:rPr>
        <w:rFonts w:hint="default" w:ascii="Courier New" w:hAnsi="Courier New" w:eastAsia="Courier New" w:cs="Courier New"/>
      </w:rPr>
    </w:lvl>
    <w:lvl w:ilvl="5">
      <w:start w:val="1"/>
      <w:numFmt w:val="bullet"/>
      <w:isLgl w:val="false"/>
      <w:suff w:val="tab"/>
      <w:lvlText w:val="§"/>
      <w:lvlJc w:val="left"/>
      <w:pPr>
        <w:ind w:left="5017" w:hanging="360"/>
      </w:pPr>
      <w:rPr>
        <w:rFonts w:hint="default" w:ascii="Wingdings" w:hAnsi="Wingdings" w:eastAsia="Wingdings" w:cs="Wingdings"/>
      </w:rPr>
    </w:lvl>
    <w:lvl w:ilvl="6">
      <w:start w:val="1"/>
      <w:numFmt w:val="bullet"/>
      <w:isLgl w:val="false"/>
      <w:suff w:val="tab"/>
      <w:lvlText w:val="·"/>
      <w:lvlJc w:val="left"/>
      <w:pPr>
        <w:ind w:left="5737" w:hanging="360"/>
      </w:pPr>
      <w:rPr>
        <w:rFonts w:hint="default" w:ascii="Symbol" w:hAnsi="Symbol" w:eastAsia="Symbol" w:cs="Symbol"/>
      </w:rPr>
    </w:lvl>
    <w:lvl w:ilvl="7">
      <w:start w:val="1"/>
      <w:numFmt w:val="bullet"/>
      <w:isLgl w:val="false"/>
      <w:suff w:val="tab"/>
      <w:lvlText w:val="o"/>
      <w:lvlJc w:val="left"/>
      <w:pPr>
        <w:ind w:left="6457" w:hanging="360"/>
      </w:pPr>
      <w:rPr>
        <w:rFonts w:hint="default" w:ascii="Courier New" w:hAnsi="Courier New" w:eastAsia="Courier New" w:cs="Courier New"/>
      </w:rPr>
    </w:lvl>
    <w:lvl w:ilvl="8">
      <w:start w:val="1"/>
      <w:numFmt w:val="bullet"/>
      <w:isLgl w:val="false"/>
      <w:suff w:val="tab"/>
      <w:lvlText w:val="§"/>
      <w:lvlJc w:val="left"/>
      <w:pPr>
        <w:ind w:left="7177" w:hanging="360"/>
      </w:pPr>
      <w:rPr>
        <w:rFonts w:hint="default" w:ascii="Wingdings" w:hAnsi="Wingdings" w:eastAsia="Wingdings" w:cs="Wingdings"/>
      </w:rPr>
    </w:lvl>
  </w:abstractNum>
  <w:abstractNum w:abstractNumId="182">
    <w:multiLevelType w:val="hybridMultilevel"/>
    <w:lvl w:ilvl="0">
      <w:start w:val="1"/>
      <w:numFmt w:val="bullet"/>
      <w:isLgl w:val="false"/>
      <w:suff w:val="tab"/>
      <w:lvlText w:val=""/>
      <w:lvlJc w:val="left"/>
      <w:pPr>
        <w:ind w:left="1425" w:hanging="360"/>
      </w:pPr>
      <w:rPr>
        <w:rFonts w:hint="default" w:ascii="Symbol" w:hAnsi="Symbol"/>
      </w:rPr>
    </w:lvl>
    <w:lvl w:ilvl="1">
      <w:start w:val="1"/>
      <w:numFmt w:val="bullet"/>
      <w:isLgl w:val="false"/>
      <w:suff w:val="tab"/>
      <w:lvlText w:val="o"/>
      <w:lvlJc w:val="left"/>
      <w:pPr>
        <w:ind w:left="2145" w:hanging="360"/>
      </w:pPr>
      <w:rPr>
        <w:rFonts w:hint="default" w:ascii="Courier New" w:hAnsi="Courier New" w:cs="Courier New"/>
      </w:rPr>
    </w:lvl>
    <w:lvl w:ilvl="2">
      <w:start w:val="1"/>
      <w:numFmt w:val="bullet"/>
      <w:isLgl w:val="false"/>
      <w:suff w:val="tab"/>
      <w:lvlText w:val=""/>
      <w:lvlJc w:val="left"/>
      <w:pPr>
        <w:ind w:left="2865" w:hanging="360"/>
      </w:pPr>
      <w:rPr>
        <w:rFonts w:hint="default" w:ascii="Wingdings" w:hAnsi="Wingdings"/>
      </w:rPr>
    </w:lvl>
    <w:lvl w:ilvl="3">
      <w:start w:val="1"/>
      <w:numFmt w:val="bullet"/>
      <w:isLgl w:val="false"/>
      <w:suff w:val="tab"/>
      <w:lvlText w:val=""/>
      <w:lvlJc w:val="left"/>
      <w:pPr>
        <w:ind w:left="3585" w:hanging="360"/>
      </w:pPr>
      <w:rPr>
        <w:rFonts w:hint="default" w:ascii="Symbol" w:hAnsi="Symbol"/>
      </w:rPr>
    </w:lvl>
    <w:lvl w:ilvl="4">
      <w:start w:val="1"/>
      <w:numFmt w:val="bullet"/>
      <w:isLgl w:val="false"/>
      <w:suff w:val="tab"/>
      <w:lvlText w:val="o"/>
      <w:lvlJc w:val="left"/>
      <w:pPr>
        <w:ind w:left="4305" w:hanging="360"/>
      </w:pPr>
      <w:rPr>
        <w:rFonts w:hint="default" w:ascii="Courier New" w:hAnsi="Courier New" w:cs="Courier New"/>
      </w:rPr>
    </w:lvl>
    <w:lvl w:ilvl="5">
      <w:start w:val="1"/>
      <w:numFmt w:val="bullet"/>
      <w:isLgl w:val="false"/>
      <w:suff w:val="tab"/>
      <w:lvlText w:val=""/>
      <w:lvlJc w:val="left"/>
      <w:pPr>
        <w:ind w:left="5025" w:hanging="360"/>
      </w:pPr>
      <w:rPr>
        <w:rFonts w:hint="default" w:ascii="Wingdings" w:hAnsi="Wingdings"/>
      </w:rPr>
    </w:lvl>
    <w:lvl w:ilvl="6">
      <w:start w:val="1"/>
      <w:numFmt w:val="bullet"/>
      <w:isLgl w:val="false"/>
      <w:suff w:val="tab"/>
      <w:lvlText w:val=""/>
      <w:lvlJc w:val="left"/>
      <w:pPr>
        <w:ind w:left="5745" w:hanging="360"/>
      </w:pPr>
      <w:rPr>
        <w:rFonts w:hint="default" w:ascii="Symbol" w:hAnsi="Symbol"/>
      </w:rPr>
    </w:lvl>
    <w:lvl w:ilvl="7">
      <w:start w:val="1"/>
      <w:numFmt w:val="bullet"/>
      <w:isLgl w:val="false"/>
      <w:suff w:val="tab"/>
      <w:lvlText w:val="o"/>
      <w:lvlJc w:val="left"/>
      <w:pPr>
        <w:ind w:left="6465" w:hanging="360"/>
      </w:pPr>
      <w:rPr>
        <w:rFonts w:hint="default" w:ascii="Courier New" w:hAnsi="Courier New" w:cs="Courier New"/>
      </w:rPr>
    </w:lvl>
    <w:lvl w:ilvl="8">
      <w:start w:val="1"/>
      <w:numFmt w:val="bullet"/>
      <w:isLgl w:val="false"/>
      <w:suff w:val="tab"/>
      <w:lvlText w:val=""/>
      <w:lvlJc w:val="left"/>
      <w:pPr>
        <w:ind w:left="7185" w:hanging="360"/>
      </w:pPr>
      <w:rPr>
        <w:rFonts w:hint="default" w:ascii="Wingdings" w:hAnsi="Wingdings"/>
      </w:rPr>
    </w:lvl>
  </w:abstractNum>
  <w:abstractNum w:abstractNumId="183">
    <w:multiLevelType w:val="hybridMultilevel"/>
    <w:lvl w:ilvl="0">
      <w:start w:val="1"/>
      <w:numFmt w:val="bullet"/>
      <w:isLgl w:val="false"/>
      <w:suff w:val="tab"/>
      <w:lvlText w:val=""/>
      <w:lvlJc w:val="left"/>
      <w:pPr>
        <w:ind w:left="1287" w:hanging="360"/>
      </w:pPr>
      <w:rPr>
        <w:rFonts w:hint="default" w:ascii="Symbol" w:hAnsi="Symbol"/>
      </w:rPr>
    </w:lvl>
    <w:lvl w:ilvl="1">
      <w:start w:val="1"/>
      <w:numFmt w:val="bullet"/>
      <w:isLgl w:val="false"/>
      <w:suff w:val="tab"/>
      <w:lvlText w:val="o"/>
      <w:lvlJc w:val="left"/>
      <w:pPr>
        <w:ind w:left="2007" w:hanging="360"/>
      </w:pPr>
      <w:rPr>
        <w:rFonts w:hint="default" w:ascii="Courier New" w:hAnsi="Courier New" w:cs="Courier New"/>
      </w:rPr>
    </w:lvl>
    <w:lvl w:ilvl="2">
      <w:start w:val="1"/>
      <w:numFmt w:val="bullet"/>
      <w:isLgl w:val="false"/>
      <w:suff w:val="tab"/>
      <w:lvlText w:val=""/>
      <w:lvlJc w:val="left"/>
      <w:pPr>
        <w:ind w:left="2727" w:hanging="360"/>
      </w:pPr>
      <w:rPr>
        <w:rFonts w:hint="default" w:ascii="Wingdings" w:hAnsi="Wingdings"/>
      </w:rPr>
    </w:lvl>
    <w:lvl w:ilvl="3">
      <w:start w:val="1"/>
      <w:numFmt w:val="bullet"/>
      <w:isLgl w:val="false"/>
      <w:suff w:val="tab"/>
      <w:lvlText w:val=""/>
      <w:lvlJc w:val="left"/>
      <w:pPr>
        <w:ind w:left="3447" w:hanging="360"/>
      </w:pPr>
      <w:rPr>
        <w:rFonts w:hint="default" w:ascii="Symbol" w:hAnsi="Symbol"/>
      </w:rPr>
    </w:lvl>
    <w:lvl w:ilvl="4">
      <w:start w:val="1"/>
      <w:numFmt w:val="bullet"/>
      <w:isLgl w:val="false"/>
      <w:suff w:val="tab"/>
      <w:lvlText w:val="o"/>
      <w:lvlJc w:val="left"/>
      <w:pPr>
        <w:ind w:left="4167" w:hanging="360"/>
      </w:pPr>
      <w:rPr>
        <w:rFonts w:hint="default" w:ascii="Courier New" w:hAnsi="Courier New" w:cs="Courier New"/>
      </w:rPr>
    </w:lvl>
    <w:lvl w:ilvl="5">
      <w:start w:val="1"/>
      <w:numFmt w:val="bullet"/>
      <w:isLgl w:val="false"/>
      <w:suff w:val="tab"/>
      <w:lvlText w:val=""/>
      <w:lvlJc w:val="left"/>
      <w:pPr>
        <w:ind w:left="4887" w:hanging="360"/>
      </w:pPr>
      <w:rPr>
        <w:rFonts w:hint="default" w:ascii="Wingdings" w:hAnsi="Wingdings"/>
      </w:rPr>
    </w:lvl>
    <w:lvl w:ilvl="6">
      <w:start w:val="1"/>
      <w:numFmt w:val="bullet"/>
      <w:isLgl w:val="false"/>
      <w:suff w:val="tab"/>
      <w:lvlText w:val=""/>
      <w:lvlJc w:val="left"/>
      <w:pPr>
        <w:ind w:left="5607" w:hanging="360"/>
      </w:pPr>
      <w:rPr>
        <w:rFonts w:hint="default" w:ascii="Symbol" w:hAnsi="Symbol"/>
      </w:rPr>
    </w:lvl>
    <w:lvl w:ilvl="7">
      <w:start w:val="1"/>
      <w:numFmt w:val="bullet"/>
      <w:isLgl w:val="false"/>
      <w:suff w:val="tab"/>
      <w:lvlText w:val="o"/>
      <w:lvlJc w:val="left"/>
      <w:pPr>
        <w:ind w:left="6327" w:hanging="360"/>
      </w:pPr>
      <w:rPr>
        <w:rFonts w:hint="default" w:ascii="Courier New" w:hAnsi="Courier New" w:cs="Courier New"/>
      </w:rPr>
    </w:lvl>
    <w:lvl w:ilvl="8">
      <w:start w:val="1"/>
      <w:numFmt w:val="bullet"/>
      <w:isLgl w:val="false"/>
      <w:suff w:val="tab"/>
      <w:lvlText w:val=""/>
      <w:lvlJc w:val="left"/>
      <w:pPr>
        <w:ind w:left="7047" w:hanging="360"/>
      </w:pPr>
      <w:rPr>
        <w:rFonts w:hint="default" w:ascii="Wingdings" w:hAnsi="Wingdings"/>
      </w:rPr>
    </w:lvl>
  </w:abstractNum>
  <w:abstractNum w:abstractNumId="184">
    <w:multiLevelType w:val="hybridMultilevel"/>
    <w:lvl w:ilvl="0">
      <w:start w:val="1"/>
      <w:numFmt w:val="bullet"/>
      <w:isLgl w:val="false"/>
      <w:suff w:val="tab"/>
      <w:lvlText w:val=""/>
      <w:lvlJc w:val="left"/>
      <w:pPr>
        <w:ind w:left="720" w:hanging="360"/>
      </w:pPr>
      <w:rPr>
        <w:rFonts w:hint="default" w:ascii="Symbol" w:hAnsi="Symbol"/>
      </w:rPr>
    </w:lvl>
    <w:lvl w:ilvl="1">
      <w:start w:val="1"/>
      <w:numFmt w:val="bullet"/>
      <w:isLgl w:val="false"/>
      <w:suff w:val="tab"/>
      <w:lvlText w:val="o"/>
      <w:lvlJc w:val="left"/>
      <w:pPr>
        <w:ind w:left="1440" w:hanging="360"/>
      </w:pPr>
      <w:rPr>
        <w:rFonts w:hint="default" w:ascii="Courier New" w:hAnsi="Courier New" w:cs="Courier New"/>
      </w:rPr>
    </w:lvl>
    <w:lvl w:ilvl="2">
      <w:start w:val="1"/>
      <w:numFmt w:val="bullet"/>
      <w:isLgl w:val="false"/>
      <w:suff w:val="tab"/>
      <w:lvlText w:val=""/>
      <w:lvlJc w:val="left"/>
      <w:pPr>
        <w:ind w:left="2160" w:hanging="360"/>
      </w:pPr>
      <w:rPr>
        <w:rFonts w:hint="default" w:ascii="Wingdings" w:hAnsi="Wingdings"/>
      </w:rPr>
    </w:lvl>
    <w:lvl w:ilvl="3">
      <w:start w:val="1"/>
      <w:numFmt w:val="bullet"/>
      <w:isLgl w:val="false"/>
      <w:suff w:val="tab"/>
      <w:lvlText w:val=""/>
      <w:lvlJc w:val="left"/>
      <w:pPr>
        <w:ind w:left="2880" w:hanging="360"/>
      </w:pPr>
      <w:rPr>
        <w:rFonts w:hint="default" w:ascii="Symbol" w:hAnsi="Symbol"/>
      </w:rPr>
    </w:lvl>
    <w:lvl w:ilvl="4">
      <w:start w:val="1"/>
      <w:numFmt w:val="bullet"/>
      <w:isLgl w:val="false"/>
      <w:suff w:val="tab"/>
      <w:lvlText w:val="o"/>
      <w:lvlJc w:val="left"/>
      <w:pPr>
        <w:ind w:left="3600" w:hanging="360"/>
      </w:pPr>
      <w:rPr>
        <w:rFonts w:hint="default" w:ascii="Courier New" w:hAnsi="Courier New" w:cs="Courier New"/>
      </w:rPr>
    </w:lvl>
    <w:lvl w:ilvl="5">
      <w:start w:val="1"/>
      <w:numFmt w:val="bullet"/>
      <w:isLgl w:val="false"/>
      <w:suff w:val="tab"/>
      <w:lvlText w:val=""/>
      <w:lvlJc w:val="left"/>
      <w:pPr>
        <w:ind w:left="4320" w:hanging="360"/>
      </w:pPr>
      <w:rPr>
        <w:rFonts w:hint="default" w:ascii="Wingdings" w:hAnsi="Wingdings"/>
      </w:rPr>
    </w:lvl>
    <w:lvl w:ilvl="6">
      <w:start w:val="1"/>
      <w:numFmt w:val="bullet"/>
      <w:isLgl w:val="false"/>
      <w:suff w:val="tab"/>
      <w:lvlText w:val=""/>
      <w:lvlJc w:val="left"/>
      <w:pPr>
        <w:ind w:left="5040" w:hanging="360"/>
      </w:pPr>
      <w:rPr>
        <w:rFonts w:hint="default" w:ascii="Symbol" w:hAnsi="Symbol"/>
      </w:rPr>
    </w:lvl>
    <w:lvl w:ilvl="7">
      <w:start w:val="1"/>
      <w:numFmt w:val="bullet"/>
      <w:isLgl w:val="false"/>
      <w:suff w:val="tab"/>
      <w:lvlText w:val="o"/>
      <w:lvlJc w:val="left"/>
      <w:pPr>
        <w:ind w:left="5760" w:hanging="360"/>
      </w:pPr>
      <w:rPr>
        <w:rFonts w:hint="default" w:ascii="Courier New" w:hAnsi="Courier New" w:cs="Courier New"/>
      </w:rPr>
    </w:lvl>
    <w:lvl w:ilvl="8">
      <w:start w:val="1"/>
      <w:numFmt w:val="bullet"/>
      <w:isLgl w:val="false"/>
      <w:suff w:val="tab"/>
      <w:lvlText w:val=""/>
      <w:lvlJc w:val="left"/>
      <w:pPr>
        <w:ind w:left="6480" w:hanging="360"/>
      </w:pPr>
      <w:rPr>
        <w:rFonts w:hint="default" w:ascii="Wingdings" w:hAnsi="Wingdings"/>
      </w:rPr>
    </w:lvl>
  </w:abstractNum>
  <w:abstractNum w:abstractNumId="185">
    <w:multiLevelType w:val="hybridMultilevel"/>
    <w:lvl w:ilvl="0">
      <w:start w:val="1"/>
      <w:numFmt w:val="bullet"/>
      <w:isLgl w:val="false"/>
      <w:suff w:val="tab"/>
      <w:lvlText w:val=""/>
      <w:lvlJc w:val="left"/>
      <w:pPr>
        <w:ind w:left="1287" w:hanging="360"/>
      </w:pPr>
      <w:rPr>
        <w:rFonts w:ascii="Symbol" w:hAnsi="Symbol"/>
      </w:rPr>
    </w:lvl>
    <w:lvl w:ilvl="1">
      <w:start w:val="1"/>
      <w:numFmt w:val="bullet"/>
      <w:isLgl w:val="false"/>
      <w:suff w:val="tab"/>
      <w:lvlText w:val="o"/>
      <w:lvlJc w:val="left"/>
      <w:pPr>
        <w:ind w:left="2007" w:hanging="360"/>
      </w:pPr>
      <w:rPr>
        <w:rFonts w:hint="default" w:ascii="Courier New" w:hAnsi="Courier New" w:cs="Courier New"/>
      </w:rPr>
    </w:lvl>
    <w:lvl w:ilvl="2">
      <w:start w:val="1"/>
      <w:numFmt w:val="bullet"/>
      <w:isLgl w:val="false"/>
      <w:suff w:val="tab"/>
      <w:lvlText w:val=""/>
      <w:lvlJc w:val="left"/>
      <w:pPr>
        <w:ind w:left="2727" w:hanging="360"/>
      </w:pPr>
      <w:rPr>
        <w:rFonts w:hint="default" w:ascii="Wingdings" w:hAnsi="Wingdings"/>
      </w:rPr>
    </w:lvl>
    <w:lvl w:ilvl="3">
      <w:start w:val="1"/>
      <w:numFmt w:val="bullet"/>
      <w:isLgl w:val="false"/>
      <w:suff w:val="tab"/>
      <w:lvlText w:val=""/>
      <w:lvlJc w:val="left"/>
      <w:pPr>
        <w:ind w:left="3447" w:hanging="360"/>
      </w:pPr>
      <w:rPr>
        <w:rFonts w:hint="default" w:ascii="Symbol" w:hAnsi="Symbol"/>
      </w:rPr>
    </w:lvl>
    <w:lvl w:ilvl="4">
      <w:start w:val="1"/>
      <w:numFmt w:val="bullet"/>
      <w:isLgl w:val="false"/>
      <w:suff w:val="tab"/>
      <w:lvlText w:val="o"/>
      <w:lvlJc w:val="left"/>
      <w:pPr>
        <w:ind w:left="4167" w:hanging="360"/>
      </w:pPr>
      <w:rPr>
        <w:rFonts w:hint="default" w:ascii="Courier New" w:hAnsi="Courier New" w:cs="Courier New"/>
      </w:rPr>
    </w:lvl>
    <w:lvl w:ilvl="5">
      <w:start w:val="1"/>
      <w:numFmt w:val="bullet"/>
      <w:isLgl w:val="false"/>
      <w:suff w:val="tab"/>
      <w:lvlText w:val=""/>
      <w:lvlJc w:val="left"/>
      <w:pPr>
        <w:ind w:left="4887" w:hanging="360"/>
      </w:pPr>
      <w:rPr>
        <w:rFonts w:hint="default" w:ascii="Wingdings" w:hAnsi="Wingdings"/>
      </w:rPr>
    </w:lvl>
    <w:lvl w:ilvl="6">
      <w:start w:val="1"/>
      <w:numFmt w:val="bullet"/>
      <w:isLgl w:val="false"/>
      <w:suff w:val="tab"/>
      <w:lvlText w:val=""/>
      <w:lvlJc w:val="left"/>
      <w:pPr>
        <w:ind w:left="5607" w:hanging="360"/>
      </w:pPr>
      <w:rPr>
        <w:rFonts w:hint="default" w:ascii="Symbol" w:hAnsi="Symbol"/>
      </w:rPr>
    </w:lvl>
    <w:lvl w:ilvl="7">
      <w:start w:val="1"/>
      <w:numFmt w:val="bullet"/>
      <w:isLgl w:val="false"/>
      <w:suff w:val="tab"/>
      <w:lvlText w:val="o"/>
      <w:lvlJc w:val="left"/>
      <w:pPr>
        <w:ind w:left="6327" w:hanging="360"/>
      </w:pPr>
      <w:rPr>
        <w:rFonts w:hint="default" w:ascii="Courier New" w:hAnsi="Courier New" w:cs="Courier New"/>
      </w:rPr>
    </w:lvl>
    <w:lvl w:ilvl="8">
      <w:start w:val="1"/>
      <w:numFmt w:val="bullet"/>
      <w:isLgl w:val="false"/>
      <w:suff w:val="tab"/>
      <w:lvlText w:val=""/>
      <w:lvlJc w:val="left"/>
      <w:pPr>
        <w:ind w:left="7047" w:hanging="360"/>
      </w:pPr>
      <w:rPr>
        <w:rFonts w:hint="default" w:ascii="Wingdings" w:hAnsi="Wingdings"/>
      </w:rPr>
    </w:lvl>
  </w:abstractNum>
  <w:abstractNum w:abstractNumId="186">
    <w:multiLevelType w:val="hybridMultilevel"/>
    <w:lvl w:ilvl="0">
      <w:start w:val="1"/>
      <w:numFmt w:val="bullet"/>
      <w:isLgl w:val="false"/>
      <w:suff w:val="tab"/>
      <w:lvlText w:val=""/>
      <w:lvlJc w:val="left"/>
      <w:pPr>
        <w:ind w:left="720" w:hanging="360"/>
      </w:pPr>
      <w:rPr>
        <w:rFonts w:ascii="Symbol" w:hAnsi="Symbol"/>
      </w:rPr>
    </w:lvl>
    <w:lvl w:ilvl="1">
      <w:start w:val="1"/>
      <w:numFmt w:val="bullet"/>
      <w:isLgl w:val="false"/>
      <w:suff w:val="tab"/>
      <w:lvlText w:val="o"/>
      <w:lvlJc w:val="left"/>
      <w:pPr>
        <w:ind w:left="1440" w:hanging="360"/>
      </w:pPr>
      <w:rPr>
        <w:rFonts w:hint="default" w:ascii="Courier New" w:hAnsi="Courier New" w:cs="Courier New"/>
      </w:rPr>
    </w:lvl>
    <w:lvl w:ilvl="2">
      <w:start w:val="1"/>
      <w:numFmt w:val="bullet"/>
      <w:isLgl w:val="false"/>
      <w:suff w:val="tab"/>
      <w:lvlText w:val=""/>
      <w:lvlJc w:val="left"/>
      <w:pPr>
        <w:ind w:left="2160" w:hanging="360"/>
      </w:pPr>
      <w:rPr>
        <w:rFonts w:hint="default" w:ascii="Wingdings" w:hAnsi="Wingdings"/>
      </w:rPr>
    </w:lvl>
    <w:lvl w:ilvl="3">
      <w:start w:val="1"/>
      <w:numFmt w:val="bullet"/>
      <w:isLgl w:val="false"/>
      <w:suff w:val="tab"/>
      <w:lvlText w:val=""/>
      <w:lvlJc w:val="left"/>
      <w:pPr>
        <w:ind w:left="2880" w:hanging="360"/>
      </w:pPr>
      <w:rPr>
        <w:rFonts w:hint="default" w:ascii="Symbol" w:hAnsi="Symbol"/>
      </w:rPr>
    </w:lvl>
    <w:lvl w:ilvl="4">
      <w:start w:val="1"/>
      <w:numFmt w:val="bullet"/>
      <w:isLgl w:val="false"/>
      <w:suff w:val="tab"/>
      <w:lvlText w:val="o"/>
      <w:lvlJc w:val="left"/>
      <w:pPr>
        <w:ind w:left="3600" w:hanging="360"/>
      </w:pPr>
      <w:rPr>
        <w:rFonts w:hint="default" w:ascii="Courier New" w:hAnsi="Courier New" w:cs="Courier New"/>
      </w:rPr>
    </w:lvl>
    <w:lvl w:ilvl="5">
      <w:start w:val="1"/>
      <w:numFmt w:val="bullet"/>
      <w:isLgl w:val="false"/>
      <w:suff w:val="tab"/>
      <w:lvlText w:val=""/>
      <w:lvlJc w:val="left"/>
      <w:pPr>
        <w:ind w:left="4320" w:hanging="360"/>
      </w:pPr>
      <w:rPr>
        <w:rFonts w:hint="default" w:ascii="Wingdings" w:hAnsi="Wingdings"/>
      </w:rPr>
    </w:lvl>
    <w:lvl w:ilvl="6">
      <w:start w:val="1"/>
      <w:numFmt w:val="bullet"/>
      <w:isLgl w:val="false"/>
      <w:suff w:val="tab"/>
      <w:lvlText w:val=""/>
      <w:lvlJc w:val="left"/>
      <w:pPr>
        <w:ind w:left="5040" w:hanging="360"/>
      </w:pPr>
      <w:rPr>
        <w:rFonts w:hint="default" w:ascii="Symbol" w:hAnsi="Symbol"/>
      </w:rPr>
    </w:lvl>
    <w:lvl w:ilvl="7">
      <w:start w:val="1"/>
      <w:numFmt w:val="bullet"/>
      <w:isLgl w:val="false"/>
      <w:suff w:val="tab"/>
      <w:lvlText w:val="o"/>
      <w:lvlJc w:val="left"/>
      <w:pPr>
        <w:ind w:left="5760" w:hanging="360"/>
      </w:pPr>
      <w:rPr>
        <w:rFonts w:hint="default" w:ascii="Courier New" w:hAnsi="Courier New" w:cs="Courier New"/>
      </w:rPr>
    </w:lvl>
    <w:lvl w:ilvl="8">
      <w:start w:val="1"/>
      <w:numFmt w:val="bullet"/>
      <w:isLgl w:val="false"/>
      <w:suff w:val="tab"/>
      <w:lvlText w:val=""/>
      <w:lvlJc w:val="left"/>
      <w:pPr>
        <w:ind w:left="6480" w:hanging="360"/>
      </w:pPr>
      <w:rPr>
        <w:rFonts w:hint="default" w:ascii="Wingdings" w:hAnsi="Wingdings"/>
      </w:rPr>
    </w:lvl>
  </w:abstractNum>
  <w:abstractNum w:abstractNumId="187">
    <w:multiLevelType w:val="hybridMultilevel"/>
    <w:lvl w:ilvl="0">
      <w:start w:val="1"/>
      <w:numFmt w:val="bullet"/>
      <w:isLgl w:val="false"/>
      <w:suff w:val="tab"/>
      <w:lvlText w:val="–"/>
      <w:lvlJc w:val="left"/>
      <w:pPr>
        <w:ind w:left="1418" w:hanging="360"/>
      </w:pPr>
      <w:rPr>
        <w:rFonts w:hint="default" w:ascii="Liberation Sans" w:hAnsi="Liberation Sans" w:eastAsia="Liberation Sans" w:cs="Liberation Sans"/>
      </w:rPr>
    </w:lvl>
    <w:lvl w:ilvl="1">
      <w:start w:val="1"/>
      <w:numFmt w:val="bullet"/>
      <w:isLgl w:val="false"/>
      <w:suff w:val="tab"/>
      <w:lvlText w:val="o"/>
      <w:lvlJc w:val="left"/>
      <w:pPr>
        <w:ind w:left="2138" w:hanging="360"/>
      </w:pPr>
      <w:rPr>
        <w:rFonts w:hint="default" w:ascii="Courier New" w:hAnsi="Courier New" w:eastAsia="Courier New" w:cs="Courier New"/>
      </w:rPr>
    </w:lvl>
    <w:lvl w:ilvl="2">
      <w:start w:val="1"/>
      <w:numFmt w:val="bullet"/>
      <w:isLgl w:val="false"/>
      <w:suff w:val="tab"/>
      <w:lvlText w:val="§"/>
      <w:lvlJc w:val="left"/>
      <w:pPr>
        <w:ind w:left="2858" w:hanging="360"/>
      </w:pPr>
      <w:rPr>
        <w:rFonts w:hint="default" w:ascii="Wingdings" w:hAnsi="Wingdings" w:eastAsia="Wingdings" w:cs="Wingdings"/>
      </w:rPr>
    </w:lvl>
    <w:lvl w:ilvl="3">
      <w:start w:val="1"/>
      <w:numFmt w:val="bullet"/>
      <w:isLgl w:val="false"/>
      <w:suff w:val="tab"/>
      <w:lvlText w:val="·"/>
      <w:lvlJc w:val="left"/>
      <w:pPr>
        <w:ind w:left="3578" w:hanging="360"/>
      </w:pPr>
      <w:rPr>
        <w:rFonts w:hint="default" w:ascii="Symbol" w:hAnsi="Symbol" w:eastAsia="Symbol" w:cs="Symbol"/>
      </w:rPr>
    </w:lvl>
    <w:lvl w:ilvl="4">
      <w:start w:val="1"/>
      <w:numFmt w:val="bullet"/>
      <w:isLgl w:val="false"/>
      <w:suff w:val="tab"/>
      <w:lvlText w:val="o"/>
      <w:lvlJc w:val="left"/>
      <w:pPr>
        <w:ind w:left="4298" w:hanging="360"/>
      </w:pPr>
      <w:rPr>
        <w:rFonts w:hint="default" w:ascii="Courier New" w:hAnsi="Courier New" w:eastAsia="Courier New" w:cs="Courier New"/>
      </w:rPr>
    </w:lvl>
    <w:lvl w:ilvl="5">
      <w:start w:val="1"/>
      <w:numFmt w:val="bullet"/>
      <w:isLgl w:val="false"/>
      <w:suff w:val="tab"/>
      <w:lvlText w:val="§"/>
      <w:lvlJc w:val="left"/>
      <w:pPr>
        <w:ind w:left="5018" w:hanging="360"/>
      </w:pPr>
      <w:rPr>
        <w:rFonts w:hint="default" w:ascii="Wingdings" w:hAnsi="Wingdings" w:eastAsia="Wingdings" w:cs="Wingdings"/>
      </w:rPr>
    </w:lvl>
    <w:lvl w:ilvl="6">
      <w:start w:val="1"/>
      <w:numFmt w:val="bullet"/>
      <w:isLgl w:val="false"/>
      <w:suff w:val="tab"/>
      <w:lvlText w:val="·"/>
      <w:lvlJc w:val="left"/>
      <w:pPr>
        <w:ind w:left="5738" w:hanging="360"/>
      </w:pPr>
      <w:rPr>
        <w:rFonts w:hint="default" w:ascii="Symbol" w:hAnsi="Symbol" w:eastAsia="Symbol" w:cs="Symbol"/>
      </w:rPr>
    </w:lvl>
    <w:lvl w:ilvl="7">
      <w:start w:val="1"/>
      <w:numFmt w:val="bullet"/>
      <w:isLgl w:val="false"/>
      <w:suff w:val="tab"/>
      <w:lvlText w:val="o"/>
      <w:lvlJc w:val="left"/>
      <w:pPr>
        <w:ind w:left="6458" w:hanging="360"/>
      </w:pPr>
      <w:rPr>
        <w:rFonts w:hint="default" w:ascii="Courier New" w:hAnsi="Courier New" w:eastAsia="Courier New" w:cs="Courier New"/>
      </w:rPr>
    </w:lvl>
    <w:lvl w:ilvl="8">
      <w:start w:val="1"/>
      <w:numFmt w:val="bullet"/>
      <w:isLgl w:val="false"/>
      <w:suff w:val="tab"/>
      <w:lvlText w:val="§"/>
      <w:lvlJc w:val="left"/>
      <w:pPr>
        <w:ind w:left="7178" w:hanging="360"/>
      </w:pPr>
      <w:rPr>
        <w:rFonts w:hint="default" w:ascii="Wingdings" w:hAnsi="Wingdings" w:eastAsia="Wingdings" w:cs="Wingdings"/>
      </w:rPr>
    </w:lvl>
  </w:abstractNum>
  <w:abstractNum w:abstractNumId="188">
    <w:multiLevelType w:val="hybridMultilevel"/>
    <w:lvl w:ilvl="0">
      <w:start w:val="1"/>
      <w:numFmt w:val="bullet"/>
      <w:isLgl w:val="false"/>
      <w:suff w:val="tab"/>
      <w:lvlText w:val=""/>
      <w:lvlJc w:val="left"/>
      <w:pPr>
        <w:ind w:left="709" w:hanging="360"/>
      </w:pPr>
      <w:rPr>
        <w:rFonts w:ascii="Symbol" w:hAnsi="Symbol"/>
      </w:rPr>
    </w:lvl>
    <w:lvl w:ilvl="1">
      <w:start w:val="1"/>
      <w:numFmt w:val="bullet"/>
      <w:isLgl w:val="false"/>
      <w:suff w:val="tab"/>
      <w:lvlText w:val="o"/>
      <w:lvlJc w:val="left"/>
      <w:pPr>
        <w:ind w:left="1429" w:hanging="360"/>
      </w:pPr>
      <w:rPr>
        <w:rFonts w:hint="default" w:ascii="Courier New" w:hAnsi="Courier New" w:eastAsia="Courier New" w:cs="Courier New"/>
      </w:rPr>
    </w:lvl>
    <w:lvl w:ilvl="2">
      <w:start w:val="1"/>
      <w:numFmt w:val="bullet"/>
      <w:isLgl w:val="false"/>
      <w:suff w:val="tab"/>
      <w:lvlText w:val="§"/>
      <w:lvlJc w:val="left"/>
      <w:pPr>
        <w:ind w:left="2149" w:hanging="360"/>
      </w:pPr>
      <w:rPr>
        <w:rFonts w:hint="default" w:ascii="Wingdings" w:hAnsi="Wingdings" w:eastAsia="Wingdings" w:cs="Wingdings"/>
      </w:rPr>
    </w:lvl>
    <w:lvl w:ilvl="3">
      <w:start w:val="1"/>
      <w:numFmt w:val="bullet"/>
      <w:isLgl w:val="false"/>
      <w:suff w:val="tab"/>
      <w:lvlText w:val="·"/>
      <w:lvlJc w:val="left"/>
      <w:pPr>
        <w:ind w:left="2869" w:hanging="360"/>
      </w:pPr>
      <w:rPr>
        <w:rFonts w:hint="default" w:ascii="Symbol" w:hAnsi="Symbol" w:eastAsia="Symbol" w:cs="Symbol"/>
      </w:rPr>
    </w:lvl>
    <w:lvl w:ilvl="4">
      <w:start w:val="1"/>
      <w:numFmt w:val="bullet"/>
      <w:isLgl w:val="false"/>
      <w:suff w:val="tab"/>
      <w:lvlText w:val="o"/>
      <w:lvlJc w:val="left"/>
      <w:pPr>
        <w:ind w:left="3589" w:hanging="360"/>
      </w:pPr>
      <w:rPr>
        <w:rFonts w:hint="default" w:ascii="Courier New" w:hAnsi="Courier New" w:eastAsia="Courier New" w:cs="Courier New"/>
      </w:rPr>
    </w:lvl>
    <w:lvl w:ilvl="5">
      <w:start w:val="1"/>
      <w:numFmt w:val="bullet"/>
      <w:isLgl w:val="false"/>
      <w:suff w:val="tab"/>
      <w:lvlText w:val="§"/>
      <w:lvlJc w:val="left"/>
      <w:pPr>
        <w:ind w:left="4309" w:hanging="360"/>
      </w:pPr>
      <w:rPr>
        <w:rFonts w:hint="default" w:ascii="Wingdings" w:hAnsi="Wingdings" w:eastAsia="Wingdings" w:cs="Wingdings"/>
      </w:rPr>
    </w:lvl>
    <w:lvl w:ilvl="6">
      <w:start w:val="1"/>
      <w:numFmt w:val="bullet"/>
      <w:isLgl w:val="false"/>
      <w:suff w:val="tab"/>
      <w:lvlText w:val="·"/>
      <w:lvlJc w:val="left"/>
      <w:pPr>
        <w:ind w:left="5029" w:hanging="360"/>
      </w:pPr>
      <w:rPr>
        <w:rFonts w:hint="default" w:ascii="Symbol" w:hAnsi="Symbol" w:eastAsia="Symbol" w:cs="Symbol"/>
      </w:rPr>
    </w:lvl>
    <w:lvl w:ilvl="7">
      <w:start w:val="1"/>
      <w:numFmt w:val="bullet"/>
      <w:isLgl w:val="false"/>
      <w:suff w:val="tab"/>
      <w:lvlText w:val="o"/>
      <w:lvlJc w:val="left"/>
      <w:pPr>
        <w:ind w:left="5749" w:hanging="360"/>
      </w:pPr>
      <w:rPr>
        <w:rFonts w:hint="default" w:ascii="Courier New" w:hAnsi="Courier New" w:eastAsia="Courier New" w:cs="Courier New"/>
      </w:rPr>
    </w:lvl>
    <w:lvl w:ilvl="8">
      <w:start w:val="1"/>
      <w:numFmt w:val="bullet"/>
      <w:isLgl w:val="false"/>
      <w:suff w:val="tab"/>
      <w:lvlText w:val="§"/>
      <w:lvlJc w:val="left"/>
      <w:pPr>
        <w:ind w:left="6469" w:hanging="360"/>
      </w:pPr>
      <w:rPr>
        <w:rFonts w:hint="default" w:ascii="Wingdings" w:hAnsi="Wingdings" w:eastAsia="Wingdings" w:cs="Wingdings"/>
      </w:rPr>
    </w:lvl>
  </w:abstractNum>
  <w:num w:numId="1">
    <w:abstractNumId w:val="4"/>
  </w:num>
  <w:num w:numId="2">
    <w:abstractNumId w:val="38"/>
  </w:num>
  <w:num w:numId="3">
    <w:abstractNumId w:val="65"/>
  </w:num>
  <w:num w:numId="4">
    <w:abstractNumId w:val="105"/>
  </w:num>
  <w:num w:numId="5">
    <w:abstractNumId w:val="56"/>
  </w:num>
  <w:num w:numId="6">
    <w:abstractNumId w:val="82"/>
  </w:num>
  <w:num w:numId="7">
    <w:abstractNumId w:val="3"/>
  </w:num>
  <w:num w:numId="8">
    <w:abstractNumId w:val="30"/>
  </w:num>
  <w:num w:numId="9">
    <w:abstractNumId w:val="21"/>
  </w:num>
  <w:num w:numId="10">
    <w:abstractNumId w:val="91"/>
  </w:num>
  <w:num w:numId="11">
    <w:abstractNumId w:val="107"/>
  </w:num>
  <w:num w:numId="12">
    <w:abstractNumId w:val="85"/>
  </w:num>
  <w:num w:numId="13">
    <w:abstractNumId w:val="0"/>
  </w:num>
  <w:num w:numId="14">
    <w:abstractNumId w:val="66"/>
  </w:num>
  <w:num w:numId="15">
    <w:abstractNumId w:val="32"/>
  </w:num>
  <w:num w:numId="16">
    <w:abstractNumId w:val="61"/>
  </w:num>
  <w:num w:numId="17">
    <w:abstractNumId w:val="27"/>
  </w:num>
  <w:num w:numId="18">
    <w:abstractNumId w:val="5"/>
  </w:num>
  <w:num w:numId="19">
    <w:abstractNumId w:val="14"/>
  </w:num>
  <w:num w:numId="20">
    <w:abstractNumId w:val="42"/>
  </w:num>
  <w:num w:numId="21">
    <w:abstractNumId w:val="33"/>
  </w:num>
  <w:num w:numId="22">
    <w:abstractNumId w:val="54"/>
  </w:num>
  <w:num w:numId="23">
    <w:abstractNumId w:val="48"/>
  </w:num>
  <w:num w:numId="24">
    <w:abstractNumId w:val="104"/>
  </w:num>
  <w:num w:numId="25">
    <w:abstractNumId w:val="58"/>
  </w:num>
  <w:num w:numId="26">
    <w:abstractNumId w:val="20"/>
  </w:num>
  <w:num w:numId="27">
    <w:abstractNumId w:val="90"/>
  </w:num>
  <w:num w:numId="28">
    <w:abstractNumId w:val="35"/>
  </w:num>
  <w:num w:numId="29">
    <w:abstractNumId w:val="72"/>
  </w:num>
  <w:num w:numId="30">
    <w:abstractNumId w:val="87"/>
  </w:num>
  <w:num w:numId="31">
    <w:abstractNumId w:val="86"/>
  </w:num>
  <w:num w:numId="32">
    <w:abstractNumId w:val="11"/>
  </w:num>
  <w:num w:numId="33">
    <w:abstractNumId w:val="16"/>
  </w:num>
  <w:num w:numId="34">
    <w:abstractNumId w:val="26"/>
  </w:num>
  <w:num w:numId="35">
    <w:abstractNumId w:val="69"/>
  </w:num>
  <w:num w:numId="36">
    <w:abstractNumId w:val="46"/>
  </w:num>
  <w:num w:numId="37">
    <w:abstractNumId w:val="55"/>
  </w:num>
  <w:num w:numId="38">
    <w:abstractNumId w:val="76"/>
  </w:num>
  <w:num w:numId="39">
    <w:abstractNumId w:val="9"/>
  </w:num>
  <w:num w:numId="40">
    <w:abstractNumId w:val="75"/>
  </w:num>
  <w:num w:numId="41">
    <w:abstractNumId w:val="29"/>
  </w:num>
  <w:num w:numId="42">
    <w:abstractNumId w:val="81"/>
  </w:num>
  <w:num w:numId="43">
    <w:abstractNumId w:val="37"/>
  </w:num>
  <w:num w:numId="44">
    <w:abstractNumId w:val="103"/>
  </w:num>
  <w:num w:numId="45">
    <w:abstractNumId w:val="71"/>
  </w:num>
  <w:num w:numId="46">
    <w:abstractNumId w:val="95"/>
  </w:num>
  <w:num w:numId="47">
    <w:abstractNumId w:val="41"/>
  </w:num>
  <w:num w:numId="48">
    <w:abstractNumId w:val="22"/>
  </w:num>
  <w:num w:numId="49">
    <w:abstractNumId w:val="64"/>
  </w:num>
  <w:num w:numId="50">
    <w:abstractNumId w:val="92"/>
  </w:num>
  <w:num w:numId="51">
    <w:abstractNumId w:val="39"/>
  </w:num>
  <w:num w:numId="52">
    <w:abstractNumId w:val="97"/>
  </w:num>
  <w:num w:numId="53">
    <w:abstractNumId w:val="68"/>
  </w:num>
  <w:num w:numId="54">
    <w:abstractNumId w:val="52"/>
  </w:num>
  <w:num w:numId="55">
    <w:abstractNumId w:val="77"/>
  </w:num>
  <w:num w:numId="56">
    <w:abstractNumId w:val="19"/>
  </w:num>
  <w:num w:numId="57">
    <w:abstractNumId w:val="88"/>
  </w:num>
  <w:num w:numId="58">
    <w:abstractNumId w:val="25"/>
  </w:num>
  <w:num w:numId="59">
    <w:abstractNumId w:val="31"/>
  </w:num>
  <w:num w:numId="60">
    <w:abstractNumId w:val="67"/>
  </w:num>
  <w:num w:numId="61">
    <w:abstractNumId w:val="53"/>
  </w:num>
  <w:num w:numId="62">
    <w:abstractNumId w:val="89"/>
  </w:num>
  <w:num w:numId="63">
    <w:abstractNumId w:val="101"/>
  </w:num>
  <w:num w:numId="64">
    <w:abstractNumId w:val="99"/>
  </w:num>
  <w:num w:numId="65">
    <w:abstractNumId w:val="13"/>
  </w:num>
  <w:num w:numId="66">
    <w:abstractNumId w:val="62"/>
  </w:num>
  <w:num w:numId="67">
    <w:abstractNumId w:val="24"/>
  </w:num>
  <w:num w:numId="68">
    <w:abstractNumId w:val="43"/>
  </w:num>
  <w:num w:numId="69">
    <w:abstractNumId w:val="50"/>
  </w:num>
  <w:num w:numId="70">
    <w:abstractNumId w:val="6"/>
  </w:num>
  <w:num w:numId="71">
    <w:abstractNumId w:val="51"/>
  </w:num>
  <w:num w:numId="72">
    <w:abstractNumId w:val="1"/>
  </w:num>
  <w:num w:numId="73">
    <w:abstractNumId w:val="60"/>
  </w:num>
  <w:num w:numId="74">
    <w:abstractNumId w:val="84"/>
  </w:num>
  <w:num w:numId="75">
    <w:abstractNumId w:val="34"/>
  </w:num>
  <w:num w:numId="76">
    <w:abstractNumId w:val="63"/>
  </w:num>
  <w:num w:numId="77">
    <w:abstractNumId w:val="83"/>
  </w:num>
  <w:num w:numId="78">
    <w:abstractNumId w:val="79"/>
  </w:num>
  <w:num w:numId="79">
    <w:abstractNumId w:val="100"/>
  </w:num>
  <w:num w:numId="80">
    <w:abstractNumId w:val="70"/>
  </w:num>
  <w:num w:numId="81">
    <w:abstractNumId w:val="47"/>
  </w:num>
  <w:num w:numId="82">
    <w:abstractNumId w:val="80"/>
  </w:num>
  <w:num w:numId="83">
    <w:abstractNumId w:val="7"/>
  </w:num>
  <w:num w:numId="84">
    <w:abstractNumId w:val="94"/>
  </w:num>
  <w:num w:numId="85">
    <w:abstractNumId w:val="108"/>
  </w:num>
  <w:num w:numId="86">
    <w:abstractNumId w:val="23"/>
  </w:num>
  <w:num w:numId="87">
    <w:abstractNumId w:val="102"/>
  </w:num>
  <w:num w:numId="88">
    <w:abstractNumId w:val="59"/>
  </w:num>
  <w:num w:numId="89">
    <w:abstractNumId w:val="8"/>
  </w:num>
  <w:num w:numId="90">
    <w:abstractNumId w:val="45"/>
  </w:num>
  <w:num w:numId="91">
    <w:abstractNumId w:val="93"/>
  </w:num>
  <w:num w:numId="92">
    <w:abstractNumId w:val="98"/>
  </w:num>
  <w:num w:numId="93">
    <w:abstractNumId w:val="28"/>
  </w:num>
  <w:num w:numId="94">
    <w:abstractNumId w:val="40"/>
  </w:num>
  <w:num w:numId="95">
    <w:abstractNumId w:val="44"/>
  </w:num>
  <w:num w:numId="96">
    <w:abstractNumId w:val="15"/>
  </w:num>
  <w:num w:numId="97">
    <w:abstractNumId w:val="36"/>
  </w:num>
  <w:num w:numId="98">
    <w:abstractNumId w:val="57"/>
  </w:num>
  <w:num w:numId="99">
    <w:abstractNumId w:val="109"/>
  </w:num>
  <w:num w:numId="100">
    <w:abstractNumId w:val="17"/>
  </w:num>
  <w:num w:numId="101">
    <w:abstractNumId w:val="96"/>
  </w:num>
  <w:num w:numId="102">
    <w:abstractNumId w:val="2"/>
  </w:num>
  <w:num w:numId="103">
    <w:abstractNumId w:val="74"/>
  </w:num>
  <w:num w:numId="104">
    <w:abstractNumId w:val="106"/>
  </w:num>
  <w:num w:numId="105">
    <w:abstractNumId w:val="49"/>
  </w:num>
  <w:num w:numId="106">
    <w:abstractNumId w:val="18"/>
  </w:num>
  <w:num w:numId="107">
    <w:abstractNumId w:val="78"/>
  </w:num>
  <w:num w:numId="108">
    <w:abstractNumId w:val="73"/>
  </w:num>
  <w:num w:numId="109">
    <w:abstractNumId w:val="12"/>
  </w:num>
  <w:num w:numId="110">
    <w:abstractNumId w:val="10"/>
  </w:num>
  <w:num w:numId="111">
    <w:abstractNumId w:val="110"/>
  </w:num>
  <w:num w:numId="112">
    <w:abstractNumId w:val="111"/>
  </w:num>
  <w:num w:numId="113">
    <w:abstractNumId w:val="112"/>
  </w:num>
  <w:num w:numId="114">
    <w:abstractNumId w:val="113"/>
  </w:num>
  <w:num w:numId="115">
    <w:abstractNumId w:val="114"/>
  </w:num>
  <w:num w:numId="116">
    <w:abstractNumId w:val="115"/>
  </w:num>
  <w:num w:numId="117">
    <w:abstractNumId w:val="116"/>
  </w:num>
  <w:num w:numId="118">
    <w:abstractNumId w:val="117"/>
  </w:num>
  <w:num w:numId="119">
    <w:abstractNumId w:val="118"/>
  </w:num>
  <w:num w:numId="120">
    <w:abstractNumId w:val="119"/>
  </w:num>
  <w:num w:numId="121">
    <w:abstractNumId w:val="120"/>
  </w:num>
  <w:num w:numId="122">
    <w:abstractNumId w:val="121"/>
  </w:num>
  <w:num w:numId="123">
    <w:abstractNumId w:val="122"/>
  </w:num>
  <w:num w:numId="124">
    <w:abstractNumId w:val="123"/>
  </w:num>
  <w:num w:numId="125">
    <w:abstractNumId w:val="124"/>
  </w:num>
  <w:num w:numId="126">
    <w:abstractNumId w:val="125"/>
  </w:num>
  <w:num w:numId="127">
    <w:abstractNumId w:val="126"/>
  </w:num>
  <w:num w:numId="128">
    <w:abstractNumId w:val="127"/>
  </w:num>
  <w:num w:numId="129">
    <w:abstractNumId w:val="128"/>
  </w:num>
  <w:num w:numId="130">
    <w:abstractNumId w:val="129"/>
  </w:num>
  <w:num w:numId="131">
    <w:abstractNumId w:val="130"/>
  </w:num>
  <w:num w:numId="132">
    <w:abstractNumId w:val="131"/>
  </w:num>
  <w:num w:numId="133">
    <w:abstractNumId w:val="132"/>
  </w:num>
  <w:num w:numId="134">
    <w:abstractNumId w:val="133"/>
  </w:num>
  <w:num w:numId="135">
    <w:abstractNumId w:val="134"/>
  </w:num>
  <w:num w:numId="136">
    <w:abstractNumId w:val="135"/>
  </w:num>
  <w:num w:numId="137">
    <w:abstractNumId w:val="136"/>
  </w:num>
  <w:num w:numId="138">
    <w:abstractNumId w:val="137"/>
  </w:num>
  <w:num w:numId="139">
    <w:abstractNumId w:val="138"/>
  </w:num>
  <w:num w:numId="140">
    <w:abstractNumId w:val="139"/>
  </w:num>
  <w:num w:numId="141">
    <w:abstractNumId w:val="140"/>
  </w:num>
  <w:num w:numId="142">
    <w:abstractNumId w:val="141"/>
  </w:num>
  <w:num w:numId="143">
    <w:abstractNumId w:val="142"/>
  </w:num>
  <w:num w:numId="144">
    <w:abstractNumId w:val="143"/>
  </w:num>
  <w:num w:numId="145">
    <w:abstractNumId w:val="144"/>
  </w:num>
  <w:num w:numId="146">
    <w:abstractNumId w:val="145"/>
  </w:num>
  <w:num w:numId="147">
    <w:abstractNumId w:val="146"/>
  </w:num>
  <w:num w:numId="148">
    <w:abstractNumId w:val="147"/>
  </w:num>
  <w:num w:numId="149">
    <w:abstractNumId w:val="148"/>
  </w:num>
  <w:num w:numId="150">
    <w:abstractNumId w:val="149"/>
  </w:num>
  <w:num w:numId="151">
    <w:abstractNumId w:val="150"/>
  </w:num>
  <w:num w:numId="152">
    <w:abstractNumId w:val="151"/>
  </w:num>
  <w:num w:numId="153">
    <w:abstractNumId w:val="152"/>
  </w:num>
  <w:num w:numId="154">
    <w:abstractNumId w:val="153"/>
  </w:num>
  <w:num w:numId="155">
    <w:abstractNumId w:val="154"/>
  </w:num>
  <w:num w:numId="156">
    <w:abstractNumId w:val="155"/>
  </w:num>
  <w:num w:numId="157">
    <w:abstractNumId w:val="156"/>
  </w:num>
  <w:num w:numId="158">
    <w:abstractNumId w:val="157"/>
  </w:num>
  <w:num w:numId="159">
    <w:abstractNumId w:val="158"/>
  </w:num>
  <w:num w:numId="160">
    <w:abstractNumId w:val="159"/>
  </w:num>
  <w:num w:numId="161">
    <w:abstractNumId w:val="160"/>
  </w:num>
  <w:num w:numId="162">
    <w:abstractNumId w:val="161"/>
  </w:num>
  <w:num w:numId="163">
    <w:abstractNumId w:val="162"/>
  </w:num>
  <w:num w:numId="164">
    <w:abstractNumId w:val="163"/>
  </w:num>
  <w:num w:numId="165">
    <w:abstractNumId w:val="164"/>
  </w:num>
  <w:num w:numId="166">
    <w:abstractNumId w:val="165"/>
  </w:num>
  <w:num w:numId="167">
    <w:abstractNumId w:val="166"/>
  </w:num>
  <w:num w:numId="168">
    <w:abstractNumId w:val="167"/>
  </w:num>
  <w:num w:numId="169">
    <w:abstractNumId w:val="168"/>
  </w:num>
  <w:num w:numId="170">
    <w:abstractNumId w:val="169"/>
  </w:num>
  <w:num w:numId="171">
    <w:abstractNumId w:val="170"/>
  </w:num>
  <w:num w:numId="172">
    <w:abstractNumId w:val="171"/>
  </w:num>
  <w:num w:numId="173">
    <w:abstractNumId w:val="172"/>
  </w:num>
  <w:num w:numId="174">
    <w:abstractNumId w:val="173"/>
  </w:num>
  <w:num w:numId="175">
    <w:abstractNumId w:val="174"/>
  </w:num>
  <w:num w:numId="176">
    <w:abstractNumId w:val="175"/>
  </w:num>
  <w:num w:numId="177">
    <w:abstractNumId w:val="176"/>
  </w:num>
  <w:num w:numId="178">
    <w:abstractNumId w:val="177"/>
  </w:num>
  <w:num w:numId="179">
    <w:abstractNumId w:val="178"/>
  </w:num>
  <w:num w:numId="180">
    <w:abstractNumId w:val="179"/>
  </w:num>
  <w:num w:numId="181">
    <w:abstractNumId w:val="180"/>
  </w:num>
  <w:num w:numId="182">
    <w:abstractNumId w:val="181"/>
  </w:num>
  <w:num w:numId="183">
    <w:abstractNumId w:val="182"/>
  </w:num>
  <w:num w:numId="184">
    <w:abstractNumId w:val="183"/>
  </w:num>
  <w:num w:numId="185">
    <w:abstractNumId w:val="184"/>
  </w:num>
  <w:num w:numId="186">
    <w:abstractNumId w:val="185"/>
  </w:num>
  <w:num w:numId="187">
    <w:abstractNumId w:val="186"/>
  </w:num>
  <w:num w:numId="188">
    <w:abstractNumId w:val="187"/>
  </w:num>
  <w:num w:numId="189">
    <w:abstractNumId w:val="18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trackRevisions w:val="false"/>
  <w:documentProtection/>
  <w:defaultTabStop w:val="708"/>
  <w:characterSpacingControl w:val="doNotCompress"/>
  <w:footnotePr>
    <w:pos w:val="pageBottom"/>
    <w:numFmt w:val="decimal"/>
    <w:numStart w:val="1"/>
    <w:numRestart w:val="continuous"/>
    <w:footnote w:id="-1"/>
    <w:footnote w:id="0"/>
  </w:footnotePr>
  <w:endnotePr>
    <w:pos w:val="docEnd"/>
    <w:numFmt w:val="lowerRoman"/>
    <w:numStart w:val="1"/>
    <w:numRestart w:val="continuous"/>
    <w:endnote w:id="-1"/>
    <w:endnote w:id="0"/>
  </w:endnotePr>
  <w:compat>
    <w:compatSetting w:name="compatibilityMode" w:uri="http://schemas.microsoft.com/office/word" w:val="12"/>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m:mathPr>
    <m:mathFont m:val="Cambria Math"/>
    <m:brkBin m:val="before"/>
    <m:brkBinSub m:val="--"/>
    <m:smallFrac m:val="false"/>
    <m:dispDef m:val="true"/>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strokecolor="000000"/>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hint="default" w:asciiTheme="minorHAnsi" w:hAnsiTheme="minorHAnsi" w:eastAsiaTheme="minorHAnsi" w:cstheme="minorBidi"/>
        <w:sz w:val="22"/>
        <w:szCs w:val="22"/>
        <w:lang w:val="ru-RU" w:eastAsia="en-US" w:bidi="ar-SA"/>
      </w:rPr>
    </w:rPrDefault>
    <w:pPrDefault>
      <w:pPr>
        <w:spacing w:before="0" w:beforeAutospacing="0" w:after="200" w:afterAutospacing="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styleId="1052" w:default="1">
    <w:name w:val="Normal"/>
    <w:qFormat/>
    <w:rPr>
      <w:rFonts w:ascii="Calibri" w:hAnsi="Calibri" w:eastAsia="Calibri" w:cs="Times New Roman"/>
    </w:rPr>
  </w:style>
  <w:style w:type="character" w:styleId="1053" w:default="1">
    <w:name w:val="Default Paragraph Font"/>
    <w:uiPriority w:val="1"/>
    <w:semiHidden/>
    <w:unhideWhenUsed/>
  </w:style>
  <w:style w:type="table" w:styleId="1054" w:default="1">
    <w:name w:val="Normal Table"/>
    <w:uiPriority w:val="99"/>
    <w:semiHidden/>
    <w:unhideWhenUsed/>
    <w:qFormat/>
    <w:tblPr>
      <w:tblInd w:w="0" w:type="dxa"/>
      <w:tblCellMar>
        <w:left w:w="108" w:type="dxa"/>
        <w:top w:w="0" w:type="dxa"/>
        <w:right w:w="108" w:type="dxa"/>
        <w:bottom w:w="0" w:type="dxa"/>
      </w:tblCellMar>
    </w:tblPr>
  </w:style>
  <w:style w:type="numbering" w:styleId="1055" w:default="1">
    <w:name w:val="No List"/>
    <w:uiPriority w:val="99"/>
    <w:semiHidden/>
    <w:unhideWhenUsed/>
  </w:style>
  <w:style w:type="character" w:styleId="1056" w:customStyle="1">
    <w:name w:val="Title Char"/>
    <w:basedOn w:val="1053"/>
    <w:link w:val="1077"/>
    <w:uiPriority w:val="10"/>
    <w:rPr>
      <w:sz w:val="48"/>
      <w:szCs w:val="48"/>
    </w:rPr>
  </w:style>
  <w:style w:type="character" w:styleId="1057" w:customStyle="1">
    <w:name w:val="Quote Char"/>
    <w:link w:val="1080"/>
    <w:uiPriority w:val="29"/>
    <w:rPr>
      <w:i/>
    </w:rPr>
  </w:style>
  <w:style w:type="character" w:styleId="1058" w:customStyle="1">
    <w:name w:val="Intense Quote Char"/>
    <w:link w:val="1082"/>
    <w:uiPriority w:val="30"/>
    <w:rPr>
      <w:i/>
    </w:rPr>
  </w:style>
  <w:style w:type="character" w:styleId="1059" w:customStyle="1">
    <w:name w:val="Endnote Text Char"/>
    <w:link w:val="1214"/>
    <w:uiPriority w:val="99"/>
    <w:rPr>
      <w:sz w:val="20"/>
    </w:rPr>
  </w:style>
  <w:style w:type="paragraph" w:styleId="1060" w:customStyle="1">
    <w:name w:val="Heading 1"/>
    <w:basedOn w:val="1052"/>
    <w:next w:val="1052"/>
    <w:link w:val="1266"/>
    <w:uiPriority w:val="9"/>
    <w:qFormat/>
    <w:pPr>
      <w:keepLines/>
      <w:keepNext/>
      <w:spacing w:before="480" w:after="0"/>
      <w:outlineLvl w:val="0"/>
    </w:pPr>
    <w:rPr>
      <w:rFonts w:ascii="Times New Roman" w:hAnsi="Times New Roman" w:eastAsiaTheme="majorEastAsia" w:cstheme="majorBidi"/>
      <w:b/>
      <w:bCs/>
      <w:sz w:val="28"/>
      <w:szCs w:val="28"/>
    </w:rPr>
  </w:style>
  <w:style w:type="character" w:styleId="1061" w:customStyle="1">
    <w:name w:val="Heading 1 Char"/>
    <w:basedOn w:val="1053"/>
    <w:link w:val="1225"/>
    <w:uiPriority w:val="9"/>
    <w:rPr>
      <w:rFonts w:ascii="Arial" w:hAnsi="Arial" w:eastAsia="Arial" w:cs="Arial"/>
      <w:sz w:val="40"/>
      <w:szCs w:val="40"/>
    </w:rPr>
  </w:style>
  <w:style w:type="character" w:styleId="1062" w:customStyle="1">
    <w:name w:val="Heading 2 Char"/>
    <w:basedOn w:val="1053"/>
    <w:link w:val="1226"/>
    <w:uiPriority w:val="9"/>
    <w:rPr>
      <w:rFonts w:ascii="Arial" w:hAnsi="Arial" w:eastAsia="Arial" w:cs="Arial"/>
      <w:sz w:val="34"/>
    </w:rPr>
  </w:style>
  <w:style w:type="paragraph" w:styleId="1063" w:customStyle="1">
    <w:name w:val="Heading 3"/>
    <w:basedOn w:val="1052"/>
    <w:next w:val="1052"/>
    <w:link w:val="1064"/>
    <w:uiPriority w:val="9"/>
    <w:unhideWhenUsed/>
    <w:qFormat/>
    <w:pPr>
      <w:keepLines/>
      <w:keepNext/>
      <w:spacing w:before="320"/>
      <w:outlineLvl w:val="2"/>
    </w:pPr>
    <w:rPr>
      <w:rFonts w:ascii="Arial" w:hAnsi="Arial" w:eastAsia="Arial" w:cs="Arial"/>
      <w:sz w:val="30"/>
      <w:szCs w:val="30"/>
    </w:rPr>
  </w:style>
  <w:style w:type="character" w:styleId="1064" w:customStyle="1">
    <w:name w:val="Heading 3 Char"/>
    <w:basedOn w:val="1053"/>
    <w:link w:val="1063"/>
    <w:uiPriority w:val="9"/>
    <w:rPr>
      <w:rFonts w:ascii="Arial" w:hAnsi="Arial" w:eastAsia="Arial" w:cs="Arial"/>
      <w:sz w:val="30"/>
      <w:szCs w:val="30"/>
    </w:rPr>
  </w:style>
  <w:style w:type="paragraph" w:styleId="1065" w:customStyle="1">
    <w:name w:val="Heading 4"/>
    <w:basedOn w:val="1052"/>
    <w:next w:val="1052"/>
    <w:link w:val="1066"/>
    <w:uiPriority w:val="9"/>
    <w:unhideWhenUsed/>
    <w:qFormat/>
    <w:pPr>
      <w:keepLines/>
      <w:keepNext/>
      <w:spacing w:before="320"/>
      <w:outlineLvl w:val="3"/>
    </w:pPr>
    <w:rPr>
      <w:rFonts w:ascii="Arial" w:hAnsi="Arial" w:eastAsia="Arial" w:cs="Arial"/>
      <w:b/>
      <w:bCs/>
      <w:sz w:val="26"/>
      <w:szCs w:val="26"/>
    </w:rPr>
  </w:style>
  <w:style w:type="character" w:styleId="1066" w:customStyle="1">
    <w:name w:val="Heading 4 Char"/>
    <w:basedOn w:val="1053"/>
    <w:link w:val="1065"/>
    <w:uiPriority w:val="9"/>
    <w:rPr>
      <w:rFonts w:ascii="Arial" w:hAnsi="Arial" w:eastAsia="Arial" w:cs="Arial"/>
      <w:b/>
      <w:bCs/>
      <w:sz w:val="26"/>
      <w:szCs w:val="26"/>
    </w:rPr>
  </w:style>
  <w:style w:type="paragraph" w:styleId="1067" w:customStyle="1">
    <w:name w:val="Heading 5"/>
    <w:basedOn w:val="1052"/>
    <w:next w:val="1052"/>
    <w:link w:val="1068"/>
    <w:uiPriority w:val="9"/>
    <w:unhideWhenUsed/>
    <w:qFormat/>
    <w:pPr>
      <w:keepLines/>
      <w:keepNext/>
      <w:spacing w:before="320"/>
      <w:outlineLvl w:val="4"/>
    </w:pPr>
    <w:rPr>
      <w:rFonts w:ascii="Arial" w:hAnsi="Arial" w:eastAsia="Arial" w:cs="Arial"/>
      <w:b/>
      <w:bCs/>
      <w:sz w:val="24"/>
      <w:szCs w:val="24"/>
    </w:rPr>
  </w:style>
  <w:style w:type="character" w:styleId="1068" w:customStyle="1">
    <w:name w:val="Heading 5 Char"/>
    <w:basedOn w:val="1053"/>
    <w:link w:val="1067"/>
    <w:uiPriority w:val="9"/>
    <w:rPr>
      <w:rFonts w:ascii="Arial" w:hAnsi="Arial" w:eastAsia="Arial" w:cs="Arial"/>
      <w:b/>
      <w:bCs/>
      <w:sz w:val="24"/>
      <w:szCs w:val="24"/>
    </w:rPr>
  </w:style>
  <w:style w:type="paragraph" w:styleId="1069" w:customStyle="1">
    <w:name w:val="Heading 6"/>
    <w:basedOn w:val="1052"/>
    <w:next w:val="1052"/>
    <w:link w:val="1070"/>
    <w:uiPriority w:val="9"/>
    <w:unhideWhenUsed/>
    <w:qFormat/>
    <w:pPr>
      <w:keepLines/>
      <w:keepNext/>
      <w:spacing w:before="320"/>
      <w:outlineLvl w:val="5"/>
    </w:pPr>
    <w:rPr>
      <w:rFonts w:ascii="Arial" w:hAnsi="Arial" w:eastAsia="Arial" w:cs="Arial"/>
      <w:b/>
      <w:bCs/>
    </w:rPr>
  </w:style>
  <w:style w:type="character" w:styleId="1070" w:customStyle="1">
    <w:name w:val="Heading 6 Char"/>
    <w:basedOn w:val="1053"/>
    <w:link w:val="1069"/>
    <w:uiPriority w:val="9"/>
    <w:rPr>
      <w:rFonts w:ascii="Arial" w:hAnsi="Arial" w:eastAsia="Arial" w:cs="Arial"/>
      <w:b/>
      <w:bCs/>
      <w:sz w:val="22"/>
      <w:szCs w:val="22"/>
    </w:rPr>
  </w:style>
  <w:style w:type="paragraph" w:styleId="1071" w:customStyle="1">
    <w:name w:val="Heading 7"/>
    <w:basedOn w:val="1052"/>
    <w:next w:val="1052"/>
    <w:link w:val="1072"/>
    <w:uiPriority w:val="9"/>
    <w:unhideWhenUsed/>
    <w:qFormat/>
    <w:pPr>
      <w:keepLines/>
      <w:keepNext/>
      <w:spacing w:before="320"/>
      <w:outlineLvl w:val="6"/>
    </w:pPr>
    <w:rPr>
      <w:rFonts w:ascii="Arial" w:hAnsi="Arial" w:eastAsia="Arial" w:cs="Arial"/>
      <w:b/>
      <w:bCs/>
      <w:i/>
      <w:iCs/>
    </w:rPr>
  </w:style>
  <w:style w:type="character" w:styleId="1072" w:customStyle="1">
    <w:name w:val="Heading 7 Char"/>
    <w:basedOn w:val="1053"/>
    <w:link w:val="1071"/>
    <w:uiPriority w:val="9"/>
    <w:rPr>
      <w:rFonts w:ascii="Arial" w:hAnsi="Arial" w:eastAsia="Arial" w:cs="Arial"/>
      <w:b/>
      <w:bCs/>
      <w:i/>
      <w:iCs/>
      <w:sz w:val="22"/>
      <w:szCs w:val="22"/>
    </w:rPr>
  </w:style>
  <w:style w:type="paragraph" w:styleId="1073" w:customStyle="1">
    <w:name w:val="Heading 8"/>
    <w:basedOn w:val="1052"/>
    <w:next w:val="1052"/>
    <w:link w:val="1074"/>
    <w:uiPriority w:val="9"/>
    <w:unhideWhenUsed/>
    <w:qFormat/>
    <w:pPr>
      <w:keepLines/>
      <w:keepNext/>
      <w:spacing w:before="320"/>
      <w:outlineLvl w:val="7"/>
    </w:pPr>
    <w:rPr>
      <w:rFonts w:ascii="Arial" w:hAnsi="Arial" w:eastAsia="Arial" w:cs="Arial"/>
      <w:i/>
      <w:iCs/>
    </w:rPr>
  </w:style>
  <w:style w:type="character" w:styleId="1074" w:customStyle="1">
    <w:name w:val="Heading 8 Char"/>
    <w:basedOn w:val="1053"/>
    <w:link w:val="1073"/>
    <w:uiPriority w:val="9"/>
    <w:rPr>
      <w:rFonts w:ascii="Arial" w:hAnsi="Arial" w:eastAsia="Arial" w:cs="Arial"/>
      <w:i/>
      <w:iCs/>
      <w:sz w:val="22"/>
      <w:szCs w:val="22"/>
    </w:rPr>
  </w:style>
  <w:style w:type="paragraph" w:styleId="1075" w:customStyle="1">
    <w:name w:val="Heading 9"/>
    <w:basedOn w:val="1052"/>
    <w:next w:val="1052"/>
    <w:link w:val="1076"/>
    <w:uiPriority w:val="9"/>
    <w:unhideWhenUsed/>
    <w:qFormat/>
    <w:pPr>
      <w:keepLines/>
      <w:keepNext/>
      <w:spacing w:before="320"/>
      <w:outlineLvl w:val="8"/>
    </w:pPr>
    <w:rPr>
      <w:rFonts w:ascii="Arial" w:hAnsi="Arial" w:eastAsia="Arial" w:cs="Arial"/>
      <w:i/>
      <w:iCs/>
      <w:sz w:val="21"/>
      <w:szCs w:val="21"/>
    </w:rPr>
  </w:style>
  <w:style w:type="character" w:styleId="1076" w:customStyle="1">
    <w:name w:val="Heading 9 Char"/>
    <w:basedOn w:val="1053"/>
    <w:link w:val="1075"/>
    <w:uiPriority w:val="9"/>
    <w:rPr>
      <w:rFonts w:ascii="Arial" w:hAnsi="Arial" w:eastAsia="Arial" w:cs="Arial"/>
      <w:i/>
      <w:iCs/>
      <w:sz w:val="21"/>
      <w:szCs w:val="21"/>
    </w:rPr>
  </w:style>
  <w:style w:type="paragraph" w:styleId="1077">
    <w:name w:val="Title"/>
    <w:basedOn w:val="1052"/>
    <w:next w:val="1052"/>
    <w:link w:val="1078"/>
    <w:uiPriority w:val="10"/>
    <w:qFormat/>
    <w:pPr>
      <w:contextualSpacing/>
      <w:spacing w:before="300"/>
    </w:pPr>
    <w:rPr>
      <w:sz w:val="48"/>
      <w:szCs w:val="48"/>
    </w:rPr>
  </w:style>
  <w:style w:type="character" w:styleId="1078" w:customStyle="1">
    <w:name w:val="Название Знак"/>
    <w:basedOn w:val="1053"/>
    <w:link w:val="1077"/>
    <w:uiPriority w:val="10"/>
    <w:rPr>
      <w:sz w:val="48"/>
      <w:szCs w:val="48"/>
    </w:rPr>
  </w:style>
  <w:style w:type="character" w:styleId="1079" w:customStyle="1">
    <w:name w:val="Subtitle Char"/>
    <w:basedOn w:val="1053"/>
    <w:link w:val="1233"/>
    <w:uiPriority w:val="11"/>
    <w:rPr>
      <w:sz w:val="24"/>
      <w:szCs w:val="24"/>
    </w:rPr>
  </w:style>
  <w:style w:type="paragraph" w:styleId="1080">
    <w:name w:val="Quote"/>
    <w:basedOn w:val="1052"/>
    <w:next w:val="1052"/>
    <w:link w:val="1081"/>
    <w:uiPriority w:val="29"/>
    <w:qFormat/>
    <w:pPr>
      <w:ind w:left="720" w:right="720"/>
    </w:pPr>
    <w:rPr>
      <w:i/>
    </w:rPr>
  </w:style>
  <w:style w:type="character" w:styleId="1081" w:customStyle="1">
    <w:name w:val="Цитата 2 Знак"/>
    <w:link w:val="1080"/>
    <w:uiPriority w:val="29"/>
    <w:rPr>
      <w:i/>
    </w:rPr>
  </w:style>
  <w:style w:type="paragraph" w:styleId="1082">
    <w:name w:val="Intense Quote"/>
    <w:basedOn w:val="1052"/>
    <w:next w:val="1052"/>
    <w:link w:val="1083"/>
    <w:uiPriority w:val="30"/>
    <w:qFormat/>
    <w:pPr>
      <w:ind w:left="720" w:right="720"/>
      <w:shd w:val="clear" w:color="auto" w:fill="f2f2f2"/>
      <w:pBdr>
        <w:top w:val="single" w:color="FFFFFF" w:sz="4" w:space="5"/>
        <w:left w:val="single" w:color="FFFFFF" w:sz="4" w:space="10"/>
        <w:bottom w:val="single" w:color="FFFFFF" w:sz="4" w:space="5"/>
        <w:right w:val="single" w:color="FFFFFF" w:sz="4" w:space="10"/>
      </w:pBdr>
    </w:pPr>
    <w:rPr>
      <w:i/>
    </w:rPr>
  </w:style>
  <w:style w:type="character" w:styleId="1083" w:customStyle="1">
    <w:name w:val="Выделенная цитата Знак"/>
    <w:link w:val="1082"/>
    <w:uiPriority w:val="30"/>
    <w:rPr>
      <w:i/>
    </w:rPr>
  </w:style>
  <w:style w:type="character" w:styleId="1084" w:customStyle="1">
    <w:name w:val="Header Char"/>
    <w:basedOn w:val="1053"/>
    <w:link w:val="1261"/>
    <w:uiPriority w:val="99"/>
  </w:style>
  <w:style w:type="character" w:styleId="1085" w:customStyle="1">
    <w:name w:val="Footer Char"/>
    <w:basedOn w:val="1053"/>
    <w:link w:val="1263"/>
    <w:uiPriority w:val="99"/>
  </w:style>
  <w:style w:type="paragraph" w:styleId="1086" w:customStyle="1">
    <w:name w:val="Caption"/>
    <w:basedOn w:val="1052"/>
    <w:next w:val="1052"/>
    <w:link w:val="1087"/>
    <w:uiPriority w:val="35"/>
    <w:semiHidden/>
    <w:unhideWhenUsed/>
    <w:qFormat/>
    <w:rPr>
      <w:b/>
      <w:bCs/>
      <w:color w:val="4f81bd" w:themeColor="accent1"/>
      <w:sz w:val="18"/>
      <w:szCs w:val="18"/>
    </w:rPr>
  </w:style>
  <w:style w:type="character" w:styleId="1087" w:customStyle="1">
    <w:name w:val="Caption Char"/>
    <w:basedOn w:val="1053"/>
    <w:link w:val="1086"/>
    <w:uiPriority w:val="35"/>
    <w:rPr>
      <w:b/>
      <w:bCs/>
      <w:color w:val="4f81bd" w:themeColor="accent1"/>
      <w:sz w:val="18"/>
      <w:szCs w:val="18"/>
    </w:rPr>
  </w:style>
  <w:style w:type="table" w:styleId="1088" w:customStyle="1">
    <w:name w:val="Table Grid Light"/>
    <w:basedOn w:val="1054"/>
    <w:uiPriority w:val="59"/>
    <w:pPr>
      <w:spacing w:after="0" w:line="240" w:lineRule="auto"/>
    </w:pPr>
    <w:tblPr>
      <w:tblInd w:w="0" w:type="dxa"/>
      <w:tblBorders>
        <w:top w:val="single" w:color="AFAFAF" w:themeColor="text1" w:themeTint="50" w:sz="4" w:space="0"/>
        <w:left w:val="single" w:color="AFAFAF" w:themeColor="text1" w:themeTint="50" w:sz="4" w:space="0"/>
        <w:bottom w:val="single" w:color="AFAFAF" w:themeColor="text1" w:themeTint="50" w:sz="4" w:space="0"/>
        <w:right w:val="single" w:color="AFAFAF" w:themeColor="text1" w:themeTint="50" w:sz="4" w:space="0"/>
        <w:insideH w:val="single" w:color="AFAFAF" w:themeColor="text1" w:themeTint="50" w:sz="4" w:space="0"/>
        <w:insideV w:val="single" w:color="AFAFAF" w:themeColor="text1" w:themeTint="50" w:sz="4" w:space="0"/>
      </w:tblBorders>
      <w:tblCellMar>
        <w:left w:w="108" w:type="dxa"/>
        <w:top w:w="0" w:type="dxa"/>
        <w:right w:w="108" w:type="dxa"/>
        <w:bottom w:w="0" w:type="dxa"/>
      </w:tblCellMar>
    </w:tblPr>
  </w:style>
  <w:style w:type="table" w:styleId="1089" w:customStyle="1">
    <w:name w:val="Plain Table 1"/>
    <w:basedOn w:val="1054"/>
    <w:uiPriority w:val="59"/>
    <w:pPr>
      <w:spacing w:after="0" w:line="240" w:lineRule="auto"/>
    </w:pPr>
    <w:tblPr>
      <w:tblInd w:w="0" w:type="dxa"/>
      <w:tblBorders>
        <w:top w:val="single" w:color="AFAFAF" w:themeColor="text1" w:themeTint="50" w:sz="4" w:space="0"/>
        <w:left w:val="single" w:color="AFAFAF" w:themeColor="text1" w:themeTint="50" w:sz="4" w:space="0"/>
        <w:bottom w:val="single" w:color="AFAFAF" w:themeColor="text1" w:themeTint="50" w:sz="4" w:space="0"/>
        <w:right w:val="single" w:color="AFAFAF" w:themeColor="text1" w:themeTint="50" w:sz="4" w:space="0"/>
        <w:insideH w:val="single" w:color="AFAFAF" w:themeColor="text1" w:themeTint="50" w:sz="4" w:space="0"/>
        <w:insideV w:val="single" w:color="AFAFAF" w:themeColor="text1" w:themeTint="50" w:sz="4" w:space="0"/>
      </w:tblBorders>
      <w:tblCellMar>
        <w:left w:w="108" w:type="dxa"/>
        <w:top w:w="0" w:type="dxa"/>
        <w:right w:w="108" w:type="dxa"/>
        <w:bottom w:w="0" w:type="dxa"/>
      </w:tblCellMar>
    </w:tblPr>
    <w:tblStylePr w:type="band1Horz">
      <w:tcPr>
        <w:shd w:val="clear" w:color="ffffff" w:themeColor="text1" w:themeTint="00" w:fill="ffffff" w:themeFill="text1" w:themeFillTint="00"/>
      </w:tcPr>
    </w:tblStylePr>
    <w:tblStylePr w:type="band1Vert">
      <w:tcPr>
        <w:shd w:val="clear" w:color="ffffff" w:themeColor="text1" w:themeTint="00" w:fill="ffffff" w:themeFill="text1" w:themeFillTint="00"/>
      </w:tcPr>
    </w:tblStylePr>
    <w:tblStylePr w:type="firstCol">
      <w:rPr>
        <w:rFonts w:ascii="Arial" w:hAnsi="Arial"/>
        <w:b/>
        <w:color w:val="404040"/>
        <w:sz w:val="22"/>
      </w:rPr>
    </w:tblStylePr>
    <w:tblStylePr w:type="firstRow">
      <w:rPr>
        <w:rFonts w:ascii="Arial" w:hAnsi="Arial"/>
        <w:b/>
        <w:color w:val="404040"/>
        <w:sz w:val="22"/>
      </w:rPr>
    </w:tblStylePr>
    <w:tblStylePr w:type="lastCol">
      <w:rPr>
        <w:rFonts w:ascii="Arial" w:hAnsi="Arial"/>
        <w:b/>
        <w:color w:val="404040"/>
        <w:sz w:val="22"/>
      </w:rPr>
    </w:tblStylePr>
    <w:tblStylePr w:type="lastRow">
      <w:rPr>
        <w:rFonts w:ascii="Arial" w:hAnsi="Arial"/>
        <w:b/>
        <w:color w:val="404040"/>
        <w:sz w:val="22"/>
      </w:rPr>
    </w:tblStylePr>
  </w:style>
  <w:style w:type="table" w:styleId="1090" w:customStyle="1">
    <w:name w:val="Plain Table 2"/>
    <w:basedOn w:val="1054"/>
    <w:uiPriority w:val="59"/>
    <w:pPr>
      <w:spacing w:after="0" w:line="240" w:lineRule="auto"/>
    </w:pPr>
    <w:tblPr>
      <w:tblInd w:w="0" w:type="dxa"/>
      <w:tblBorders>
        <w:top w:val="single" w:color="000000" w:themeColor="text1" w:sz="4" w:space="0"/>
        <w:left w:val="none" w:color="000000" w:themeColor="text1" w:sz="4" w:space="0"/>
        <w:bottom w:val="single" w:color="000000" w:themeColor="text1" w:sz="4" w:space="0"/>
        <w:right w:val="none" w:color="000000" w:themeColor="text1" w:sz="4" w:space="0"/>
      </w:tblBorders>
      <w:tblCellMar>
        <w:left w:w="108" w:type="dxa"/>
        <w:top w:w="0" w:type="dxa"/>
        <w:right w:w="108" w:type="dxa"/>
        <w:bottom w:w="0" w:type="dxa"/>
      </w:tblCellMar>
    </w:tblPr>
    <w:tblStylePr w:type="band1Horz">
      <w:tcPr>
        <w:tcBorders>
          <w:top w:val="single" w:color="000000" w:themeColor="text1" w:sz="4" w:space="0"/>
          <w:bottom w:val="single" w:color="000000" w:themeColor="text1" w:sz="4" w:space="0"/>
        </w:tcBorders>
      </w:tcPr>
    </w:tblStylePr>
    <w:tblStylePr w:type="band1Vert">
      <w:tcPr>
        <w:tcBorders>
          <w:left w:val="single" w:color="000000" w:themeColor="text1" w:sz="4" w:space="0"/>
          <w:right w:val="single" w:color="000000" w:themeColor="text1" w:sz="4" w:space="0"/>
        </w:tcBorders>
      </w:tcPr>
    </w:tblStylePr>
    <w:tblStylePr w:type="band2Vert">
      <w:tcPr>
        <w:tcBorders>
          <w:left w:val="single" w:color="000000" w:themeColor="text1" w:sz="4" w:space="0"/>
          <w:right w:val="single" w:color="000000" w:themeColor="text1" w:sz="4" w:space="0"/>
        </w:tcBorders>
      </w:tcPr>
    </w:tblStylePr>
    <w:tblStylePr w:type="firstCol">
      <w:rPr>
        <w:rFonts w:ascii="Arial" w:hAnsi="Arial"/>
        <w:b/>
        <w:color w:val="404040"/>
        <w:sz w:val="22"/>
      </w:rPr>
    </w:tblStylePr>
    <w:tblStylePr w:type="firstRow">
      <w:rPr>
        <w:rFonts w:ascii="Arial" w:hAnsi="Arial"/>
        <w:b/>
        <w:color w:val="404040"/>
        <w:sz w:val="22"/>
      </w:rPr>
      <w:tcPr>
        <w:tcBorders>
          <w:top w:val="single" w:color="000000" w:themeColor="text1" w:sz="4" w:space="0"/>
          <w:bottom w:val="single" w:color="000000" w:themeColor="text1" w:sz="4" w:space="0"/>
        </w:tcBorders>
      </w:tcPr>
    </w:tblStylePr>
    <w:tblStylePr w:type="lastCol">
      <w:rPr>
        <w:rFonts w:ascii="Arial" w:hAnsi="Arial"/>
        <w:b/>
        <w:color w:val="404040"/>
        <w:sz w:val="22"/>
      </w:rPr>
    </w:tblStylePr>
    <w:tblStylePr w:type="lastRow">
      <w:rPr>
        <w:rFonts w:ascii="Arial" w:hAnsi="Arial"/>
        <w:b/>
        <w:color w:val="404040"/>
        <w:sz w:val="22"/>
      </w:rPr>
    </w:tblStylePr>
  </w:style>
  <w:style w:type="table" w:styleId="1091" w:customStyle="1">
    <w:name w:val="Plain Table 3"/>
    <w:basedOn w:val="1054"/>
    <w:uiPriority w:val="99"/>
    <w:pPr>
      <w:spacing w:after="0" w:line="240" w:lineRule="auto"/>
    </w:pPr>
    <w:tblPr>
      <w:tblStyleRowBandSize w:val="1"/>
      <w:tblStyleColBandSize w:val="1"/>
      <w:tblInd w:w="0" w:type="dxa"/>
      <w:tblCellMar>
        <w:left w:w="108" w:type="dxa"/>
        <w:top w:w="0" w:type="dxa"/>
        <w:right w:w="108" w:type="dxa"/>
        <w:bottom w:w="0" w:type="dxa"/>
      </w:tblCellMar>
    </w:tblPr>
    <w:tblStylePr w:type="band1Horz">
      <w:rPr>
        <w:rFonts w:ascii="Arial" w:hAnsi="Arial"/>
        <w:color w:val="404040"/>
        <w:sz w:val="22"/>
      </w:rPr>
      <w:tcPr>
        <w:shd w:val="clear" w:color="ffffff" w:themeColor="text1" w:themeTint="00" w:fill="ffffff" w:themeFill="text1" w:themeFillTint="00"/>
      </w:tcPr>
    </w:tblStylePr>
    <w:tblStylePr w:type="band1Vert">
      <w:rPr>
        <w:rFonts w:ascii="Arial" w:hAnsi="Arial"/>
        <w:color w:val="404040"/>
        <w:sz w:val="22"/>
      </w:rPr>
      <w:tcPr>
        <w:shd w:val="clear" w:color="ffffff" w:themeColor="text1" w:themeTint="00" w:fill="ffffff" w:themeFill="text1" w:themeFillTint="00"/>
      </w:tcPr>
    </w:tblStylePr>
    <w:tblStylePr w:type="firstCol">
      <w:rPr>
        <w:b/>
        <w:caps/>
        <w:color w:val="404040"/>
      </w:rPr>
      <w:tcPr>
        <w:tcBorders>
          <w:top w:val="none" w:color="000000" w:sz="4" w:space="0"/>
          <w:left w:val="none" w:color="000000" w:sz="4" w:space="0"/>
          <w:bottom w:val="none" w:color="000000" w:sz="4" w:space="0"/>
          <w:right w:val="single" w:color="404040" w:sz="4" w:space="0"/>
        </w:tcBorders>
      </w:tcPr>
    </w:tblStylePr>
    <w:tblStylePr w:type="firstRow">
      <w:rPr>
        <w:b/>
        <w:caps/>
        <w:color w:val="404040"/>
      </w:rPr>
      <w:tcPr>
        <w:tcBorders>
          <w:top w:val="none" w:color="000000" w:sz="4" w:space="0"/>
          <w:left w:val="none" w:color="000000" w:sz="4" w:space="0"/>
          <w:bottom w:val="single" w:color="404040" w:sz="4" w:space="0"/>
          <w:right w:val="none" w:color="000000" w:sz="4" w:space="0"/>
        </w:tcBorders>
      </w:tcPr>
    </w:tblStylePr>
    <w:tblStylePr w:type="lastCol">
      <w:rPr>
        <w:b/>
        <w:caps/>
        <w:color w:val="404040"/>
      </w:rPr>
    </w:tblStylePr>
    <w:tblStylePr w:type="lastRow">
      <w:rPr>
        <w:b/>
        <w:caps/>
        <w:color w:val="404040"/>
      </w:rPr>
    </w:tblStylePr>
  </w:style>
  <w:style w:type="table" w:styleId="1092" w:customStyle="1">
    <w:name w:val="Plain Table 4"/>
    <w:basedOn w:val="1054"/>
    <w:uiPriority w:val="99"/>
    <w:pPr>
      <w:spacing w:after="0" w:line="240" w:lineRule="auto"/>
    </w:pPr>
    <w:tblPr>
      <w:tblStyleRowBandSize w:val="1"/>
      <w:tblStyleColBandSize w:val="1"/>
      <w:tblInd w:w="0" w:type="dxa"/>
      <w:tblCellMar>
        <w:left w:w="108" w:type="dxa"/>
        <w:top w:w="0" w:type="dxa"/>
        <w:right w:w="108" w:type="dxa"/>
        <w:bottom w:w="0" w:type="dxa"/>
      </w:tblCellMar>
    </w:tblPr>
    <w:tblStylePr w:type="band1Horz">
      <w:rPr>
        <w:rFonts w:ascii="Arial" w:hAnsi="Arial"/>
        <w:color w:val="404040"/>
        <w:sz w:val="22"/>
      </w:rPr>
      <w:tcPr>
        <w:shd w:val="clear" w:color="ffffff" w:themeColor="text1" w:themeTint="00" w:fill="ffffff" w:themeFill="text1" w:themeFillTint="00"/>
      </w:tcPr>
    </w:tblStylePr>
    <w:tblStylePr w:type="band1Vert">
      <w:rPr>
        <w:rFonts w:ascii="Arial" w:hAnsi="Arial"/>
        <w:color w:val="404040"/>
        <w:sz w:val="22"/>
      </w:rPr>
      <w:tcPr>
        <w:shd w:val="clear" w:color="ffffff" w:themeColor="text1" w:themeTint="00" w:fill="ffffff" w:themeFill="text1" w:themeFillTint="00"/>
      </w:tcPr>
    </w:tblStylePr>
    <w:tblStylePr w:type="firstCol">
      <w:rPr>
        <w:b/>
        <w:color w:val="404040"/>
      </w:rPr>
    </w:tblStylePr>
    <w:tblStylePr w:type="firstRow">
      <w:rPr>
        <w:b/>
        <w:color w:val="404040"/>
      </w:rPr>
    </w:tblStylePr>
    <w:tblStylePr w:type="lastCol">
      <w:rPr>
        <w:b/>
        <w:color w:val="404040"/>
      </w:rPr>
    </w:tblStylePr>
    <w:tblStylePr w:type="lastRow">
      <w:rPr>
        <w:b/>
        <w:color w:val="404040"/>
      </w:rPr>
    </w:tblStylePr>
  </w:style>
  <w:style w:type="table" w:styleId="1093" w:customStyle="1">
    <w:name w:val="Plain Table 5"/>
    <w:basedOn w:val="1054"/>
    <w:uiPriority w:val="99"/>
    <w:pPr>
      <w:spacing w:after="0" w:line="240" w:lineRule="auto"/>
    </w:pPr>
    <w:tblPr>
      <w:tblStyleRowBandSize w:val="1"/>
      <w:tblStyleColBandSize w:val="1"/>
      <w:tblInd w:w="0" w:type="dxa"/>
      <w:tblCellMar>
        <w:left w:w="108" w:type="dxa"/>
        <w:top w:w="0" w:type="dxa"/>
        <w:right w:w="108" w:type="dxa"/>
        <w:bottom w:w="0" w:type="dxa"/>
      </w:tblCellMar>
    </w:tblPr>
    <w:tblStylePr w:type="band1Horz">
      <w:rPr>
        <w:rFonts w:ascii="Arial" w:hAnsi="Arial"/>
        <w:color w:val="404040"/>
        <w:sz w:val="22"/>
      </w:rPr>
      <w:tcPr>
        <w:shd w:val="clear" w:color="ffffff" w:themeColor="text1" w:themeTint="00" w:fill="ffffff" w:themeFill="text1" w:themeFillTint="00"/>
      </w:tcPr>
    </w:tblStylePr>
    <w:tblStylePr w:type="band1Vert">
      <w:rPr>
        <w:rFonts w:ascii="Arial" w:hAnsi="Arial"/>
        <w:color w:val="404040"/>
        <w:sz w:val="22"/>
      </w:rPr>
      <w:tcPr>
        <w:shd w:val="clear" w:color="ffffff" w:themeColor="text1" w:themeTint="00" w:fill="ffffff" w:themeFill="text1" w:themeFillTint="00"/>
      </w:tcPr>
    </w:tblStylePr>
    <w:tblStylePr w:type="firstCol">
      <w:rPr>
        <w:i/>
        <w:color w:val="404040"/>
      </w:rPr>
      <w:pPr>
        <w:jc w:val="right"/>
      </w:pPr>
      <w:tcPr>
        <w:shd w:val="clear" w:color="ffffff" w:fill="auto"/>
        <w:tcBorders>
          <w:right w:val="single" w:color="404040" w:sz="4" w:space="0"/>
        </w:tcBorders>
      </w:tcPr>
    </w:tblStylePr>
    <w:tblStylePr w:type="firstRow">
      <w:rPr>
        <w:i/>
        <w:color w:val="404040"/>
      </w:rPr>
      <w:tcPr>
        <w:shd w:val="clear" w:color="ffffff" w:fill="auto"/>
        <w:tcBorders>
          <w:left w:val="none" w:color="000000" w:sz="4" w:space="0"/>
          <w:bottom w:val="single" w:color="404040" w:sz="4" w:space="0"/>
          <w:right w:val="none" w:color="000000" w:sz="4" w:space="0"/>
        </w:tcBorders>
      </w:tcPr>
    </w:tblStylePr>
    <w:tblStylePr w:type="lastCol">
      <w:rPr>
        <w:i/>
        <w:color w:val="404040"/>
      </w:rPr>
      <w:tcPr>
        <w:shd w:val="clear" w:color="ffffff" w:fill="auto"/>
        <w:tcBorders>
          <w:left w:val="single" w:color="404040" w:sz="4" w:space="0"/>
        </w:tcBorders>
      </w:tcPr>
    </w:tblStylePr>
    <w:tblStylePr w:type="lastRow">
      <w:rPr>
        <w:i/>
        <w:color w:val="404040"/>
      </w:rPr>
      <w:tcPr>
        <w:shd w:val="clear" w:color="ffffff" w:fill="auto"/>
        <w:tcBorders>
          <w:top w:val="single" w:color="404040" w:sz="4" w:space="0"/>
          <w:left w:val="none" w:color="000000" w:sz="4" w:space="0"/>
          <w:right w:val="none" w:color="000000" w:sz="4" w:space="0"/>
        </w:tcBorders>
      </w:tcPr>
    </w:tblStylePr>
  </w:style>
  <w:style w:type="table" w:styleId="1094" w:customStyle="1">
    <w:name w:val="Grid Table 1 Light"/>
    <w:basedOn w:val="1054"/>
    <w:uiPriority w:val="99"/>
    <w:pPr>
      <w:spacing w:after="0" w:line="240" w:lineRule="auto"/>
    </w:pPr>
    <w:tblPr>
      <w:tblStyleRowBandSize w:val="1"/>
      <w:tblStyleColBandSize w:val="1"/>
      <w:tblInd w:w="0" w:type="dxa"/>
      <w:tblBorders>
        <w:top w:val="single" w:color="989898" w:themeColor="text1" w:themeTint="67" w:sz="4" w:space="0"/>
        <w:left w:val="single" w:color="989898" w:themeColor="text1" w:themeTint="67" w:sz="4" w:space="0"/>
        <w:bottom w:val="single" w:color="989898" w:themeColor="text1" w:themeTint="67" w:sz="4" w:space="0"/>
        <w:right w:val="single" w:color="989898" w:themeColor="text1" w:themeTint="67" w:sz="4" w:space="0"/>
        <w:insideH w:val="single" w:color="989898" w:themeColor="text1" w:themeTint="67" w:sz="4" w:space="0"/>
        <w:insideV w:val="single" w:color="989898" w:themeColor="text1" w:themeTint="67" w:sz="4" w:space="0"/>
      </w:tblBorders>
      <w:tblCellMar>
        <w:left w:w="108" w:type="dxa"/>
        <w:top w:w="0" w:type="dxa"/>
        <w:right w:w="108" w:type="dxa"/>
        <w:bottom w:w="0" w:type="dxa"/>
      </w:tblCellMar>
    </w:tblPr>
    <w:tblStylePr w:type="band1Horz">
      <w:rPr>
        <w:rFonts w:ascii="Arial" w:hAnsi="Arial"/>
        <w:color w:val="404040"/>
        <w:sz w:val="22"/>
      </w:rPr>
      <w:tcPr>
        <w:tcBorders>
          <w:top w:val="single" w:color="989898" w:themeColor="text1" w:themeTint="67" w:sz="4" w:space="0"/>
          <w:left w:val="single" w:color="989898" w:themeColor="text1" w:themeTint="67" w:sz="4" w:space="0"/>
          <w:bottom w:val="single" w:color="989898" w:themeColor="text1" w:themeTint="67" w:sz="4" w:space="0"/>
          <w:right w:val="single" w:color="989898" w:themeColor="text1" w:themeTint="67" w:sz="4" w:space="0"/>
        </w:tcBorders>
      </w:tcPr>
    </w:tblStylePr>
    <w:tblStylePr w:type="firstCol">
      <w:rPr>
        <w:b/>
        <w:color w:val="404040"/>
      </w:rPr>
    </w:tblStylePr>
    <w:tblStylePr w:type="firstRow">
      <w:rPr>
        <w:b/>
        <w:color w:val="404040"/>
      </w:rPr>
      <w:tcPr>
        <w:tcBorders>
          <w:bottom w:val="single" w:color="6A6A6A" w:themeColor="text1" w:themeTint="95" w:sz="12" w:space="0"/>
        </w:tcBorders>
      </w:tcPr>
    </w:tblStylePr>
    <w:tblStylePr w:type="lastCol">
      <w:rPr>
        <w:b/>
        <w:color w:val="404040"/>
      </w:rPr>
    </w:tblStylePr>
    <w:tblStylePr w:type="lastRow">
      <w:rPr>
        <w:b/>
        <w:color w:val="404040"/>
      </w:rPr>
    </w:tblStylePr>
  </w:style>
  <w:style w:type="table" w:styleId="1095" w:customStyle="1">
    <w:name w:val="Grid Table 1 Light - Accent 1"/>
    <w:basedOn w:val="1054"/>
    <w:uiPriority w:val="99"/>
    <w:pPr>
      <w:spacing w:after="0" w:line="240" w:lineRule="auto"/>
    </w:pPr>
    <w:tblPr>
      <w:tblStyleRowBandSize w:val="1"/>
      <w:tblStyleColBandSize w:val="1"/>
      <w:tblInd w:w="0" w:type="dxa"/>
      <w:tblBorders>
        <w:top w:val="single" w:color="B7CBE4" w:themeColor="accent1" w:themeTint="67" w:sz="4" w:space="0"/>
        <w:left w:val="single" w:color="B7CBE4" w:themeColor="accent1" w:themeTint="67" w:sz="4" w:space="0"/>
        <w:bottom w:val="single" w:color="B7CBE4" w:themeColor="accent1" w:themeTint="67" w:sz="4" w:space="0"/>
        <w:right w:val="single" w:color="B7CBE4" w:themeColor="accent1" w:themeTint="67" w:sz="4" w:space="0"/>
        <w:insideH w:val="single" w:color="B7CBE4" w:themeColor="accent1" w:themeTint="67" w:sz="4" w:space="0"/>
        <w:insideV w:val="single" w:color="B7CBE4" w:themeColor="accent1" w:themeTint="67" w:sz="4" w:space="0"/>
      </w:tblBorders>
      <w:tblCellMar>
        <w:left w:w="108" w:type="dxa"/>
        <w:top w:w="0" w:type="dxa"/>
        <w:right w:w="108" w:type="dxa"/>
        <w:bottom w:w="0" w:type="dxa"/>
      </w:tblCellMar>
    </w:tblPr>
    <w:tblStylePr w:type="band1Horz">
      <w:rPr>
        <w:rFonts w:ascii="Arial" w:hAnsi="Arial"/>
        <w:color w:val="404040"/>
        <w:sz w:val="22"/>
      </w:rPr>
      <w:tcPr>
        <w:tcBorders>
          <w:top w:val="single" w:color="B7CBE4" w:themeColor="accent1" w:themeTint="67" w:sz="4" w:space="0"/>
          <w:left w:val="single" w:color="B7CBE4" w:themeColor="accent1" w:themeTint="67" w:sz="4" w:space="0"/>
          <w:bottom w:val="single" w:color="B7CBE4" w:themeColor="accent1" w:themeTint="67" w:sz="4" w:space="0"/>
          <w:right w:val="single" w:color="B7CBE4" w:themeColor="accent1" w:themeTint="67" w:sz="4" w:space="0"/>
        </w:tcBorders>
      </w:tcPr>
    </w:tblStylePr>
    <w:tblStylePr w:type="firstCol">
      <w:rPr>
        <w:b/>
        <w:color w:val="404040"/>
      </w:rPr>
    </w:tblStylePr>
    <w:tblStylePr w:type="firstRow">
      <w:rPr>
        <w:b/>
        <w:color w:val="404040"/>
      </w:rPr>
      <w:tcPr>
        <w:tcBorders>
          <w:bottom w:val="single" w:color="97B4D8" w:themeColor="accent1" w:themeTint="95" w:sz="12" w:space="0"/>
        </w:tcBorders>
      </w:tcPr>
    </w:tblStylePr>
    <w:tblStylePr w:type="lastCol">
      <w:rPr>
        <w:b/>
        <w:color w:val="404040"/>
      </w:rPr>
    </w:tblStylePr>
    <w:tblStylePr w:type="lastRow">
      <w:rPr>
        <w:b/>
        <w:color w:val="404040"/>
      </w:rPr>
    </w:tblStylePr>
  </w:style>
  <w:style w:type="table" w:styleId="1096" w:customStyle="1">
    <w:name w:val="Grid Table 1 Light - Accent 2"/>
    <w:basedOn w:val="1054"/>
    <w:uiPriority w:val="99"/>
    <w:pPr>
      <w:spacing w:after="0" w:line="240" w:lineRule="auto"/>
    </w:pPr>
    <w:tblPr>
      <w:tblStyleRowBandSize w:val="1"/>
      <w:tblStyleColBandSize w:val="1"/>
      <w:tblInd w:w="0" w:type="dxa"/>
      <w:tblBorders>
        <w:top w:val="single" w:color="E5B7B6" w:themeColor="accent2" w:themeTint="67" w:sz="4" w:space="0"/>
        <w:left w:val="single" w:color="E5B7B6" w:themeColor="accent2" w:themeTint="67" w:sz="4" w:space="0"/>
        <w:bottom w:val="single" w:color="E5B7B6" w:themeColor="accent2" w:themeTint="67" w:sz="4" w:space="0"/>
        <w:right w:val="single" w:color="E5B7B6" w:themeColor="accent2" w:themeTint="67" w:sz="4" w:space="0"/>
        <w:insideH w:val="single" w:color="E5B7B6" w:themeColor="accent2" w:themeTint="67" w:sz="4" w:space="0"/>
        <w:insideV w:val="single" w:color="E5B7B6" w:themeColor="accent2" w:themeTint="67" w:sz="4" w:space="0"/>
      </w:tblBorders>
      <w:tblCellMar>
        <w:left w:w="108" w:type="dxa"/>
        <w:top w:w="0" w:type="dxa"/>
        <w:right w:w="108" w:type="dxa"/>
        <w:bottom w:w="0" w:type="dxa"/>
      </w:tblCellMar>
    </w:tblPr>
    <w:tblStylePr w:type="band1Horz">
      <w:rPr>
        <w:rFonts w:ascii="Arial" w:hAnsi="Arial"/>
        <w:color w:val="404040"/>
        <w:sz w:val="22"/>
      </w:rPr>
      <w:tcPr>
        <w:tcBorders>
          <w:top w:val="single" w:color="E5B7B6" w:themeColor="accent2" w:themeTint="67" w:sz="4" w:space="0"/>
          <w:left w:val="single" w:color="E5B7B6" w:themeColor="accent2" w:themeTint="67" w:sz="4" w:space="0"/>
          <w:bottom w:val="single" w:color="E5B7B6" w:themeColor="accent2" w:themeTint="67" w:sz="4" w:space="0"/>
          <w:right w:val="single" w:color="E5B7B6" w:themeColor="accent2" w:themeTint="67" w:sz="4" w:space="0"/>
        </w:tcBorders>
      </w:tcPr>
    </w:tblStylePr>
    <w:tblStylePr w:type="firstCol">
      <w:rPr>
        <w:b/>
        <w:color w:val="404040"/>
      </w:rPr>
    </w:tblStylePr>
    <w:tblStylePr w:type="firstRow">
      <w:rPr>
        <w:b/>
        <w:color w:val="404040"/>
      </w:rPr>
      <w:tcPr>
        <w:tcBorders>
          <w:bottom w:val="single" w:color="DA9896" w:themeColor="accent2" w:themeTint="95" w:sz="12" w:space="0"/>
        </w:tcBorders>
      </w:tcPr>
    </w:tblStylePr>
    <w:tblStylePr w:type="lastCol">
      <w:rPr>
        <w:b/>
        <w:color w:val="404040"/>
      </w:rPr>
    </w:tblStylePr>
    <w:tblStylePr w:type="lastRow">
      <w:rPr>
        <w:b/>
        <w:color w:val="404040"/>
      </w:rPr>
    </w:tblStylePr>
  </w:style>
  <w:style w:type="table" w:styleId="1097" w:customStyle="1">
    <w:name w:val="Grid Table 1 Light - Accent 3"/>
    <w:basedOn w:val="1054"/>
    <w:uiPriority w:val="99"/>
    <w:pPr>
      <w:spacing w:after="0" w:line="240" w:lineRule="auto"/>
    </w:pPr>
    <w:tblPr>
      <w:tblStyleRowBandSize w:val="1"/>
      <w:tblStyleColBandSize w:val="1"/>
      <w:tblInd w:w="0" w:type="dxa"/>
      <w:tblBorders>
        <w:top w:val="single" w:color="D6E3BB" w:themeColor="accent3" w:themeTint="67" w:sz="4" w:space="0"/>
        <w:left w:val="single" w:color="D6E3BB" w:themeColor="accent3" w:themeTint="67" w:sz="4" w:space="0"/>
        <w:bottom w:val="single" w:color="D6E3BB" w:themeColor="accent3" w:themeTint="67" w:sz="4" w:space="0"/>
        <w:right w:val="single" w:color="D6E3BB" w:themeColor="accent3" w:themeTint="67" w:sz="4" w:space="0"/>
        <w:insideH w:val="single" w:color="D6E3BB" w:themeColor="accent3" w:themeTint="67" w:sz="4" w:space="0"/>
        <w:insideV w:val="single" w:color="D6E3BB" w:themeColor="accent3" w:themeTint="67" w:sz="4" w:space="0"/>
      </w:tblBorders>
      <w:tblCellMar>
        <w:left w:w="108" w:type="dxa"/>
        <w:top w:w="0" w:type="dxa"/>
        <w:right w:w="108" w:type="dxa"/>
        <w:bottom w:w="0" w:type="dxa"/>
      </w:tblCellMar>
    </w:tblPr>
    <w:tblStylePr w:type="band1Horz">
      <w:rPr>
        <w:rFonts w:ascii="Arial" w:hAnsi="Arial"/>
        <w:color w:val="404040"/>
        <w:sz w:val="22"/>
      </w:rPr>
      <w:tcPr>
        <w:tcBorders>
          <w:top w:val="single" w:color="D6E3BB" w:themeColor="accent3" w:themeTint="67" w:sz="4" w:space="0"/>
          <w:left w:val="single" w:color="D6E3BB" w:themeColor="accent3" w:themeTint="67" w:sz="4" w:space="0"/>
          <w:bottom w:val="single" w:color="D6E3BB" w:themeColor="accent3" w:themeTint="67" w:sz="4" w:space="0"/>
          <w:right w:val="single" w:color="D6E3BB" w:themeColor="accent3" w:themeTint="67" w:sz="4" w:space="0"/>
        </w:tcBorders>
      </w:tcPr>
    </w:tblStylePr>
    <w:tblStylePr w:type="firstCol">
      <w:rPr>
        <w:b/>
        <w:color w:val="404040"/>
      </w:rPr>
    </w:tblStylePr>
    <w:tblStylePr w:type="firstRow">
      <w:rPr>
        <w:b/>
        <w:color w:val="404040"/>
      </w:rPr>
      <w:tcPr>
        <w:tcBorders>
          <w:bottom w:val="single" w:color="C4D79D" w:themeColor="accent3" w:themeTint="95" w:sz="12" w:space="0"/>
        </w:tcBorders>
      </w:tcPr>
    </w:tblStylePr>
    <w:tblStylePr w:type="lastCol">
      <w:rPr>
        <w:b/>
        <w:color w:val="404040"/>
      </w:rPr>
    </w:tblStylePr>
    <w:tblStylePr w:type="lastRow">
      <w:rPr>
        <w:b/>
        <w:color w:val="404040"/>
      </w:rPr>
    </w:tblStylePr>
  </w:style>
  <w:style w:type="table" w:styleId="1098" w:customStyle="1">
    <w:name w:val="Grid Table 1 Light - Accent 4"/>
    <w:basedOn w:val="1054"/>
    <w:uiPriority w:val="99"/>
    <w:pPr>
      <w:spacing w:after="0" w:line="240" w:lineRule="auto"/>
    </w:pPr>
    <w:tblPr>
      <w:tblStyleRowBandSize w:val="1"/>
      <w:tblStyleColBandSize w:val="1"/>
      <w:tblInd w:w="0" w:type="dxa"/>
      <w:tblBorders>
        <w:top w:val="single" w:color="CBC0D9" w:themeColor="accent4" w:themeTint="67" w:sz="4" w:space="0"/>
        <w:left w:val="single" w:color="CBC0D9" w:themeColor="accent4" w:themeTint="67" w:sz="4" w:space="0"/>
        <w:bottom w:val="single" w:color="CBC0D9" w:themeColor="accent4" w:themeTint="67" w:sz="4" w:space="0"/>
        <w:right w:val="single" w:color="CBC0D9" w:themeColor="accent4" w:themeTint="67" w:sz="4" w:space="0"/>
        <w:insideH w:val="single" w:color="CBC0D9" w:themeColor="accent4" w:themeTint="67" w:sz="4" w:space="0"/>
        <w:insideV w:val="single" w:color="CBC0D9" w:themeColor="accent4" w:themeTint="67" w:sz="4" w:space="0"/>
      </w:tblBorders>
      <w:tblCellMar>
        <w:left w:w="108" w:type="dxa"/>
        <w:top w:w="0" w:type="dxa"/>
        <w:right w:w="108" w:type="dxa"/>
        <w:bottom w:w="0" w:type="dxa"/>
      </w:tblCellMar>
    </w:tblPr>
    <w:tblStylePr w:type="band1Horz">
      <w:rPr>
        <w:rFonts w:ascii="Arial" w:hAnsi="Arial"/>
        <w:color w:val="404040"/>
        <w:sz w:val="22"/>
      </w:rPr>
      <w:tcPr>
        <w:tcBorders>
          <w:top w:val="single" w:color="CBC0D9" w:themeColor="accent4" w:themeTint="67" w:sz="4" w:space="0"/>
          <w:left w:val="single" w:color="CBC0D9" w:themeColor="accent4" w:themeTint="67" w:sz="4" w:space="0"/>
          <w:bottom w:val="single" w:color="CBC0D9" w:themeColor="accent4" w:themeTint="67" w:sz="4" w:space="0"/>
          <w:right w:val="single" w:color="CBC0D9" w:themeColor="accent4" w:themeTint="67" w:sz="4" w:space="0"/>
        </w:tcBorders>
      </w:tcPr>
    </w:tblStylePr>
    <w:tblStylePr w:type="firstCol">
      <w:rPr>
        <w:b/>
        <w:color w:val="404040"/>
      </w:rPr>
    </w:tblStylePr>
    <w:tblStylePr w:type="firstRow">
      <w:rPr>
        <w:b/>
        <w:color w:val="404040"/>
      </w:rPr>
      <w:tcPr>
        <w:tcBorders>
          <w:bottom w:val="single" w:color="B4A4C8" w:themeColor="accent4" w:themeTint="95" w:sz="12" w:space="0"/>
        </w:tcBorders>
      </w:tcPr>
    </w:tblStylePr>
    <w:tblStylePr w:type="lastCol">
      <w:rPr>
        <w:b/>
        <w:color w:val="404040"/>
      </w:rPr>
    </w:tblStylePr>
    <w:tblStylePr w:type="lastRow">
      <w:rPr>
        <w:b/>
        <w:color w:val="404040"/>
      </w:rPr>
    </w:tblStylePr>
  </w:style>
  <w:style w:type="table" w:styleId="1099" w:customStyle="1">
    <w:name w:val="Grid Table 1 Light - Accent 5"/>
    <w:basedOn w:val="1054"/>
    <w:uiPriority w:val="99"/>
    <w:pPr>
      <w:spacing w:after="0" w:line="240" w:lineRule="auto"/>
    </w:pPr>
    <w:tblPr>
      <w:tblStyleRowBandSize w:val="1"/>
      <w:tblStyleColBandSize w:val="1"/>
      <w:tblInd w:w="0" w:type="dxa"/>
      <w:tblBorders>
        <w:top w:val="single" w:color="B6DDE8" w:themeColor="accent5" w:themeTint="67" w:sz="4" w:space="0"/>
        <w:left w:val="single" w:color="B6DDE8" w:themeColor="accent5" w:themeTint="67" w:sz="4" w:space="0"/>
        <w:bottom w:val="single" w:color="B6DDE8" w:themeColor="accent5" w:themeTint="67" w:sz="4" w:space="0"/>
        <w:right w:val="single" w:color="B6DDE8" w:themeColor="accent5" w:themeTint="67" w:sz="4" w:space="0"/>
        <w:insideH w:val="single" w:color="B6DDE8" w:themeColor="accent5" w:themeTint="67" w:sz="4" w:space="0"/>
        <w:insideV w:val="single" w:color="B6DDE8" w:themeColor="accent5" w:themeTint="67" w:sz="4" w:space="0"/>
      </w:tblBorders>
      <w:tblCellMar>
        <w:left w:w="108" w:type="dxa"/>
        <w:top w:w="0" w:type="dxa"/>
        <w:right w:w="108" w:type="dxa"/>
        <w:bottom w:w="0" w:type="dxa"/>
      </w:tblCellMar>
    </w:tblPr>
    <w:tblStylePr w:type="band1Horz">
      <w:rPr>
        <w:rFonts w:ascii="Arial" w:hAnsi="Arial"/>
        <w:color w:val="404040"/>
        <w:sz w:val="22"/>
      </w:rPr>
      <w:tcPr>
        <w:tcBorders>
          <w:top w:val="single" w:color="B6DDE8" w:themeColor="accent5" w:themeTint="67" w:sz="4" w:space="0"/>
          <w:left w:val="single" w:color="B6DDE8" w:themeColor="accent5" w:themeTint="67" w:sz="4" w:space="0"/>
          <w:bottom w:val="single" w:color="B6DDE8" w:themeColor="accent5" w:themeTint="67" w:sz="4" w:space="0"/>
          <w:right w:val="single" w:color="B6DDE8" w:themeColor="accent5" w:themeTint="67" w:sz="4" w:space="0"/>
        </w:tcBorders>
      </w:tcPr>
    </w:tblStylePr>
    <w:tblStylePr w:type="firstCol">
      <w:rPr>
        <w:b/>
        <w:color w:val="404040"/>
      </w:rPr>
    </w:tblStylePr>
    <w:tblStylePr w:type="firstRow">
      <w:rPr>
        <w:b/>
        <w:color w:val="404040"/>
      </w:rPr>
      <w:tcPr>
        <w:tcBorders>
          <w:bottom w:val="single" w:color="95CEDD" w:themeColor="accent5" w:themeTint="95" w:sz="12" w:space="0"/>
        </w:tcBorders>
      </w:tcPr>
    </w:tblStylePr>
    <w:tblStylePr w:type="lastCol">
      <w:rPr>
        <w:b/>
        <w:color w:val="404040"/>
      </w:rPr>
    </w:tblStylePr>
    <w:tblStylePr w:type="lastRow">
      <w:rPr>
        <w:b/>
        <w:color w:val="404040"/>
      </w:rPr>
    </w:tblStylePr>
  </w:style>
  <w:style w:type="table" w:styleId="1100" w:customStyle="1">
    <w:name w:val="Grid Table 1 Light - Accent 6"/>
    <w:basedOn w:val="1054"/>
    <w:uiPriority w:val="99"/>
    <w:pPr>
      <w:spacing w:after="0" w:line="240" w:lineRule="auto"/>
    </w:pPr>
    <w:tblPr>
      <w:tblStyleRowBandSize w:val="1"/>
      <w:tblStyleColBandSize w:val="1"/>
      <w:tblInd w:w="0" w:type="dxa"/>
      <w:tblBorders>
        <w:top w:val="single" w:color="FBD4B4" w:themeColor="accent6" w:themeTint="67" w:sz="4" w:space="0"/>
        <w:left w:val="single" w:color="FBD4B4" w:themeColor="accent6" w:themeTint="67" w:sz="4" w:space="0"/>
        <w:bottom w:val="single" w:color="FBD4B4" w:themeColor="accent6" w:themeTint="67" w:sz="4" w:space="0"/>
        <w:right w:val="single" w:color="FBD4B4" w:themeColor="accent6" w:themeTint="67" w:sz="4" w:space="0"/>
        <w:insideH w:val="single" w:color="FBD4B4" w:themeColor="accent6" w:themeTint="67" w:sz="4" w:space="0"/>
        <w:insideV w:val="single" w:color="FBD4B4" w:themeColor="accent6" w:themeTint="67" w:sz="4" w:space="0"/>
      </w:tblBorders>
      <w:tblCellMar>
        <w:left w:w="108" w:type="dxa"/>
        <w:top w:w="0" w:type="dxa"/>
        <w:right w:w="108" w:type="dxa"/>
        <w:bottom w:w="0" w:type="dxa"/>
      </w:tblCellMar>
    </w:tblPr>
    <w:tblStylePr w:type="band1Horz">
      <w:rPr>
        <w:rFonts w:ascii="Arial" w:hAnsi="Arial"/>
        <w:color w:val="404040"/>
        <w:sz w:val="22"/>
      </w:rPr>
      <w:tcPr>
        <w:tcBorders>
          <w:top w:val="single" w:color="FBD4B4" w:themeColor="accent6" w:themeTint="67" w:sz="4" w:space="0"/>
          <w:left w:val="single" w:color="FBD4B4" w:themeColor="accent6" w:themeTint="67" w:sz="4" w:space="0"/>
          <w:bottom w:val="single" w:color="FBD4B4" w:themeColor="accent6" w:themeTint="67" w:sz="4" w:space="0"/>
          <w:right w:val="single" w:color="FBD4B4" w:themeColor="accent6" w:themeTint="67" w:sz="4" w:space="0"/>
        </w:tcBorders>
      </w:tcPr>
    </w:tblStylePr>
    <w:tblStylePr w:type="firstCol">
      <w:rPr>
        <w:b/>
        <w:color w:val="404040"/>
      </w:rPr>
    </w:tblStylePr>
    <w:tblStylePr w:type="firstRow">
      <w:rPr>
        <w:b/>
        <w:color w:val="404040"/>
      </w:rPr>
      <w:tcPr>
        <w:tcBorders>
          <w:bottom w:val="single" w:color="FAC192" w:themeColor="accent6" w:themeTint="95" w:sz="12" w:space="0"/>
        </w:tcBorders>
      </w:tcPr>
    </w:tblStylePr>
    <w:tblStylePr w:type="lastCol">
      <w:rPr>
        <w:b/>
        <w:color w:val="404040"/>
      </w:rPr>
    </w:tblStylePr>
    <w:tblStylePr w:type="lastRow">
      <w:rPr>
        <w:b/>
        <w:color w:val="404040"/>
      </w:rPr>
    </w:tblStylePr>
  </w:style>
  <w:style w:type="table" w:styleId="1101" w:customStyle="1">
    <w:name w:val="Grid Table 2"/>
    <w:basedOn w:val="1054"/>
    <w:uiPriority w:val="99"/>
    <w:pPr>
      <w:spacing w:after="0" w:line="240" w:lineRule="auto"/>
    </w:pPr>
    <w:tblPr>
      <w:tblStyleRowBandSize w:val="1"/>
      <w:tblStyleColBandSize w:val="1"/>
      <w:tblInd w:w="0" w:type="dxa"/>
      <w:tblBorders>
        <w:bottom w:val="single" w:color="6A6A6A" w:themeColor="text1" w:themeTint="95" w:sz="4" w:space="0"/>
        <w:insideH w:val="single" w:color="6A6A6A" w:themeColor="text1" w:themeTint="95" w:sz="4" w:space="0"/>
        <w:insideV w:val="single" w:color="6A6A6A" w:themeColor="text1" w:themeTint="95" w:sz="4" w:space="0"/>
      </w:tblBorders>
      <w:tblCellMar>
        <w:left w:w="108" w:type="dxa"/>
        <w:top w:w="0" w:type="dxa"/>
        <w:right w:w="108" w:type="dxa"/>
        <w:bottom w:w="0" w:type="dxa"/>
      </w:tblCellMar>
    </w:tblPr>
    <w:tblStylePr w:type="band1Horz">
      <w:rPr>
        <w:rFonts w:ascii="Arial" w:hAnsi="Arial"/>
        <w:color w:val="404040"/>
        <w:sz w:val="22"/>
      </w:rPr>
      <w:tcPr>
        <w:shd w:val="clear" w:color="cbcbcb" w:themeColor="text1" w:themeTint="34" w:fill="cbcbcb" w:themeFill="text1" w:themeFillTint="34"/>
      </w:tcPr>
    </w:tblStylePr>
    <w:tblStylePr w:type="band1Vert">
      <w:rPr>
        <w:rFonts w:ascii="Arial" w:hAnsi="Arial"/>
        <w:color w:val="404040"/>
        <w:sz w:val="22"/>
      </w:rPr>
      <w:tcPr>
        <w:shd w:val="clear" w:color="cbcbcb" w:themeColor="text1" w:themeTint="34" w:fill="cbcbcb" w:themeFill="text1" w:themeFillTint="34"/>
      </w:tcPr>
    </w:tblStylePr>
    <w:tblStylePr w:type="firstCol">
      <w:rPr>
        <w:b/>
        <w:color w:val="404040"/>
      </w:rPr>
    </w:tblStylePr>
    <w:tblStylePr w:type="firstRow">
      <w:rPr>
        <w:b/>
        <w:color w:val="404040"/>
      </w:rPr>
      <w:tcPr>
        <w:shd w:val="clear" w:color="ffffff" w:fill="auto"/>
        <w:tcBorders>
          <w:top w:val="none" w:color="000000" w:sz="4" w:space="0"/>
          <w:left w:val="none" w:color="000000" w:sz="4" w:space="0"/>
          <w:bottom w:val="single" w:color="6A6A6A" w:themeColor="text1" w:themeTint="95" w:sz="12" w:space="0"/>
          <w:right w:val="none" w:color="000000" w:sz="4" w:space="0"/>
        </w:tcBorders>
      </w:tcPr>
    </w:tblStylePr>
    <w:tblStylePr w:type="lastCol">
      <w:rPr>
        <w:b/>
        <w:color w:val="404040"/>
      </w:rPr>
    </w:tblStylePr>
    <w:tblStylePr w:type="lastRow">
      <w:rPr>
        <w:b/>
        <w:color w:val="404040"/>
      </w:rPr>
      <w:tcPr>
        <w:shd w:val="clear" w:color="ffffff" w:fill="auto"/>
        <w:tcBorders>
          <w:top w:val="single" w:color="6A6A6A" w:themeColor="text1" w:themeTint="95" w:sz="4" w:space="0"/>
          <w:left w:val="none" w:color="000000" w:sz="4" w:space="0"/>
          <w:bottom w:val="none" w:color="000000" w:sz="4" w:space="0"/>
          <w:right w:val="none" w:color="000000" w:sz="4" w:space="0"/>
        </w:tcBorders>
      </w:tcPr>
    </w:tblStylePr>
  </w:style>
  <w:style w:type="table" w:styleId="1102" w:customStyle="1">
    <w:name w:val="Grid Table 2 - Accent 1"/>
    <w:basedOn w:val="1054"/>
    <w:uiPriority w:val="99"/>
    <w:pPr>
      <w:spacing w:after="0" w:line="240" w:lineRule="auto"/>
    </w:pPr>
    <w:tblPr>
      <w:tblStyleRowBandSize w:val="1"/>
      <w:tblStyleColBandSize w:val="1"/>
      <w:tblInd w:w="0" w:type="dxa"/>
      <w:tblBorders>
        <w:bottom w:val="single" w:color="5D8AC2" w:themeColor="accent1" w:themeTint="EA" w:sz="4" w:space="0"/>
        <w:insideH w:val="single" w:color="5D8AC2" w:themeColor="accent1" w:themeTint="EA" w:sz="4" w:space="0"/>
        <w:insideV w:val="single" w:color="5D8AC2" w:themeColor="accent1" w:themeTint="EA" w:sz="4" w:space="0"/>
      </w:tblBorders>
      <w:tblCellMar>
        <w:left w:w="108" w:type="dxa"/>
        <w:top w:w="0" w:type="dxa"/>
        <w:right w:w="108" w:type="dxa"/>
        <w:bottom w:w="0" w:type="dxa"/>
      </w:tblCellMar>
    </w:tblPr>
    <w:tblStylePr w:type="band1Horz">
      <w:rPr>
        <w:rFonts w:ascii="Arial" w:hAnsi="Arial"/>
        <w:color w:val="404040"/>
        <w:sz w:val="22"/>
      </w:rPr>
      <w:tcPr>
        <w:shd w:val="clear" w:color="dae5f1" w:themeColor="accent1" w:themeTint="34" w:fill="dae5f1" w:themeFill="accent1" w:themeFillTint="34"/>
      </w:tcPr>
    </w:tblStylePr>
    <w:tblStylePr w:type="band1Vert">
      <w:rPr>
        <w:rFonts w:ascii="Arial" w:hAnsi="Arial"/>
        <w:color w:val="404040"/>
        <w:sz w:val="22"/>
      </w:rPr>
      <w:tcPr>
        <w:shd w:val="clear" w:color="dae5f1" w:themeColor="accent1" w:themeTint="34" w:fill="dae5f1" w:themeFill="accent1" w:themeFillTint="34"/>
      </w:tcPr>
    </w:tblStylePr>
    <w:tblStylePr w:type="firstCol">
      <w:rPr>
        <w:b/>
        <w:color w:val="404040"/>
      </w:rPr>
    </w:tblStylePr>
    <w:tblStylePr w:type="firstRow">
      <w:rPr>
        <w:b/>
        <w:color w:val="404040"/>
      </w:rPr>
      <w:tcPr>
        <w:shd w:val="clear" w:color="ffffff" w:fill="auto"/>
        <w:tcBorders>
          <w:top w:val="none" w:color="000000" w:sz="4" w:space="0"/>
          <w:left w:val="none" w:color="000000" w:sz="4" w:space="0"/>
          <w:bottom w:val="single" w:color="5D8AC2" w:themeColor="accent1" w:themeTint="EA" w:sz="12" w:space="0"/>
          <w:right w:val="none" w:color="000000" w:sz="4" w:space="0"/>
        </w:tcBorders>
      </w:tcPr>
    </w:tblStylePr>
    <w:tblStylePr w:type="lastCol">
      <w:rPr>
        <w:b/>
        <w:color w:val="404040"/>
      </w:rPr>
    </w:tblStylePr>
    <w:tblStylePr w:type="lastRow">
      <w:rPr>
        <w:b/>
        <w:color w:val="404040"/>
      </w:rPr>
      <w:tcPr>
        <w:shd w:val="clear" w:color="ffffff" w:fill="auto"/>
        <w:tcBorders>
          <w:top w:val="single" w:color="5D8AC2" w:themeColor="accent1" w:themeTint="EA" w:sz="4" w:space="0"/>
          <w:left w:val="none" w:color="000000" w:sz="4" w:space="0"/>
          <w:bottom w:val="none" w:color="000000" w:sz="4" w:space="0"/>
          <w:right w:val="none" w:color="000000" w:sz="4" w:space="0"/>
        </w:tcBorders>
      </w:tcPr>
    </w:tblStylePr>
  </w:style>
  <w:style w:type="table" w:styleId="1103" w:customStyle="1">
    <w:name w:val="Grid Table 2 - Accent 2"/>
    <w:basedOn w:val="1054"/>
    <w:uiPriority w:val="99"/>
    <w:pPr>
      <w:spacing w:after="0" w:line="240" w:lineRule="auto"/>
    </w:pPr>
    <w:tblPr>
      <w:tblStyleRowBandSize w:val="1"/>
      <w:tblStyleColBandSize w:val="1"/>
      <w:tblInd w:w="0" w:type="dxa"/>
      <w:tblBorders>
        <w:bottom w:val="single" w:color="D99695" w:themeColor="accent2" w:themeTint="97" w:sz="4" w:space="0"/>
        <w:insideH w:val="single" w:color="D99695" w:themeColor="accent2" w:themeTint="97" w:sz="4" w:space="0"/>
        <w:insideV w:val="single" w:color="D99695" w:themeColor="accent2" w:themeTint="97" w:sz="4" w:space="0"/>
      </w:tblBorders>
      <w:tblCellMar>
        <w:left w:w="108" w:type="dxa"/>
        <w:top w:w="0" w:type="dxa"/>
        <w:right w:w="108" w:type="dxa"/>
        <w:bottom w:w="0" w:type="dxa"/>
      </w:tblCellMar>
    </w:tblPr>
    <w:tblStylePr w:type="band1Horz">
      <w:rPr>
        <w:rFonts w:ascii="Arial" w:hAnsi="Arial"/>
        <w:color w:val="404040"/>
        <w:sz w:val="22"/>
      </w:rPr>
      <w:tcPr>
        <w:shd w:val="clear" w:color="f2dcdc" w:themeColor="accent2" w:themeTint="32" w:fill="f2dcdc" w:themeFill="accent2" w:themeFillTint="32"/>
      </w:tcPr>
    </w:tblStylePr>
    <w:tblStylePr w:type="band1Vert">
      <w:rPr>
        <w:rFonts w:ascii="Arial" w:hAnsi="Arial"/>
        <w:color w:val="404040"/>
        <w:sz w:val="22"/>
      </w:rPr>
      <w:tcPr>
        <w:shd w:val="clear" w:color="f2dcdc" w:themeColor="accent2" w:themeTint="32" w:fill="f2dcdc" w:themeFill="accent2" w:themeFillTint="32"/>
      </w:tcPr>
    </w:tblStylePr>
    <w:tblStylePr w:type="firstCol">
      <w:rPr>
        <w:b/>
        <w:color w:val="404040"/>
      </w:rPr>
    </w:tblStylePr>
    <w:tblStylePr w:type="firstRow">
      <w:rPr>
        <w:b/>
        <w:color w:val="404040"/>
      </w:rPr>
      <w:tcPr>
        <w:shd w:val="clear" w:color="ffffff" w:fill="auto"/>
        <w:tcBorders>
          <w:top w:val="none" w:color="000000" w:sz="4" w:space="0"/>
          <w:left w:val="none" w:color="000000" w:sz="4" w:space="0"/>
          <w:bottom w:val="single" w:color="D99695" w:themeColor="accent2" w:themeTint="97" w:sz="12" w:space="0"/>
          <w:right w:val="none" w:color="000000" w:sz="4" w:space="0"/>
        </w:tcBorders>
      </w:tcPr>
    </w:tblStylePr>
    <w:tblStylePr w:type="lastCol">
      <w:rPr>
        <w:b/>
        <w:color w:val="404040"/>
      </w:rPr>
    </w:tblStylePr>
    <w:tblStylePr w:type="lastRow">
      <w:rPr>
        <w:b/>
        <w:color w:val="404040"/>
      </w:rPr>
      <w:tcPr>
        <w:shd w:val="clear" w:color="ffffff" w:fill="auto"/>
        <w:tcBorders>
          <w:top w:val="single" w:color="D99695" w:themeColor="accent2" w:themeTint="97" w:sz="4" w:space="0"/>
          <w:left w:val="none" w:color="000000" w:sz="4" w:space="0"/>
          <w:bottom w:val="none" w:color="000000" w:sz="4" w:space="0"/>
          <w:right w:val="none" w:color="000000" w:sz="4" w:space="0"/>
        </w:tcBorders>
      </w:tcPr>
    </w:tblStylePr>
  </w:style>
  <w:style w:type="table" w:styleId="1104" w:customStyle="1">
    <w:name w:val="Grid Table 2 - Accent 3"/>
    <w:basedOn w:val="1054"/>
    <w:uiPriority w:val="99"/>
    <w:pPr>
      <w:spacing w:after="0" w:line="240" w:lineRule="auto"/>
    </w:pPr>
    <w:tblPr>
      <w:tblStyleRowBandSize w:val="1"/>
      <w:tblStyleColBandSize w:val="1"/>
      <w:tblInd w:w="0" w:type="dxa"/>
      <w:tblBorders>
        <w:bottom w:val="single" w:color="9ABB59" w:themeColor="accent3" w:themeTint="FE" w:sz="4" w:space="0"/>
        <w:insideH w:val="single" w:color="9ABB59" w:themeColor="accent3" w:themeTint="FE" w:sz="4" w:space="0"/>
        <w:insideV w:val="single" w:color="9ABB59" w:themeColor="accent3" w:themeTint="FE" w:sz="4" w:space="0"/>
      </w:tblBorders>
      <w:tblCellMar>
        <w:left w:w="108" w:type="dxa"/>
        <w:top w:w="0" w:type="dxa"/>
        <w:right w:w="108" w:type="dxa"/>
        <w:bottom w:w="0" w:type="dxa"/>
      </w:tblCellMar>
    </w:tblPr>
    <w:tblStylePr w:type="band1Horz">
      <w:rPr>
        <w:rFonts w:ascii="Arial" w:hAnsi="Arial"/>
        <w:color w:val="404040"/>
        <w:sz w:val="22"/>
      </w:rPr>
      <w:tcPr>
        <w:shd w:val="clear" w:color="eaf1dc" w:themeColor="accent3" w:themeTint="34" w:fill="eaf1dc" w:themeFill="accent3" w:themeFillTint="34"/>
      </w:tcPr>
    </w:tblStylePr>
    <w:tblStylePr w:type="band1Vert">
      <w:rPr>
        <w:rFonts w:ascii="Arial" w:hAnsi="Arial"/>
        <w:color w:val="404040"/>
        <w:sz w:val="22"/>
      </w:rPr>
      <w:tcPr>
        <w:shd w:val="clear" w:color="eaf1dc" w:themeColor="accent3" w:themeTint="34" w:fill="eaf1dc" w:themeFill="accent3" w:themeFillTint="34"/>
      </w:tcPr>
    </w:tblStylePr>
    <w:tblStylePr w:type="firstCol">
      <w:rPr>
        <w:b/>
        <w:color w:val="404040"/>
      </w:rPr>
    </w:tblStylePr>
    <w:tblStylePr w:type="firstRow">
      <w:rPr>
        <w:b/>
        <w:color w:val="404040"/>
      </w:rPr>
      <w:tcPr>
        <w:shd w:val="clear" w:color="ffffff" w:fill="auto"/>
        <w:tcBorders>
          <w:top w:val="none" w:color="000000" w:sz="4" w:space="0"/>
          <w:left w:val="none" w:color="000000" w:sz="4" w:space="0"/>
          <w:bottom w:val="single" w:color="9ABB59" w:themeColor="accent3" w:themeTint="FE" w:sz="12" w:space="0"/>
          <w:right w:val="none" w:color="000000" w:sz="4" w:space="0"/>
        </w:tcBorders>
      </w:tcPr>
    </w:tblStylePr>
    <w:tblStylePr w:type="lastCol">
      <w:rPr>
        <w:b/>
        <w:color w:val="404040"/>
      </w:rPr>
    </w:tblStylePr>
    <w:tblStylePr w:type="lastRow">
      <w:rPr>
        <w:b/>
        <w:color w:val="404040"/>
      </w:rPr>
      <w:tcPr>
        <w:shd w:val="clear" w:color="ffffff" w:fill="auto"/>
        <w:tcBorders>
          <w:top w:val="single" w:color="9ABB59" w:themeColor="accent3" w:themeTint="FE" w:sz="4" w:space="0"/>
          <w:left w:val="none" w:color="000000" w:sz="4" w:space="0"/>
          <w:bottom w:val="none" w:color="000000" w:sz="4" w:space="0"/>
          <w:right w:val="none" w:color="000000" w:sz="4" w:space="0"/>
        </w:tcBorders>
      </w:tcPr>
    </w:tblStylePr>
  </w:style>
  <w:style w:type="table" w:styleId="1105" w:customStyle="1">
    <w:name w:val="Grid Table 2 - Accent 4"/>
    <w:basedOn w:val="1054"/>
    <w:uiPriority w:val="99"/>
    <w:pPr>
      <w:spacing w:after="0" w:line="240" w:lineRule="auto"/>
    </w:pPr>
    <w:tblPr>
      <w:tblStyleRowBandSize w:val="1"/>
      <w:tblStyleColBandSize w:val="1"/>
      <w:tblInd w:w="0" w:type="dxa"/>
      <w:tblBorders>
        <w:bottom w:val="single" w:color="B2A1C6" w:themeColor="accent4" w:themeTint="9A" w:sz="4" w:space="0"/>
        <w:insideH w:val="single" w:color="B2A1C6" w:themeColor="accent4" w:themeTint="9A" w:sz="4" w:space="0"/>
        <w:insideV w:val="single" w:color="B2A1C6" w:themeColor="accent4" w:themeTint="9A" w:sz="4" w:space="0"/>
      </w:tblBorders>
      <w:tblCellMar>
        <w:left w:w="108" w:type="dxa"/>
        <w:top w:w="0" w:type="dxa"/>
        <w:right w:w="108" w:type="dxa"/>
        <w:bottom w:w="0" w:type="dxa"/>
      </w:tblCellMar>
    </w:tblPr>
    <w:tblStylePr w:type="band1Horz">
      <w:rPr>
        <w:rFonts w:ascii="Arial" w:hAnsi="Arial"/>
        <w:color w:val="404040"/>
        <w:sz w:val="22"/>
      </w:rPr>
      <w:tcPr>
        <w:shd w:val="clear" w:color="e5dfec" w:themeColor="accent4" w:themeTint="34" w:fill="e5dfec" w:themeFill="accent4" w:themeFillTint="34"/>
      </w:tcPr>
    </w:tblStylePr>
    <w:tblStylePr w:type="band1Vert">
      <w:rPr>
        <w:rFonts w:ascii="Arial" w:hAnsi="Arial"/>
        <w:color w:val="404040"/>
        <w:sz w:val="22"/>
      </w:rPr>
      <w:tcPr>
        <w:shd w:val="clear" w:color="e5dfec" w:themeColor="accent4" w:themeTint="34" w:fill="e5dfec" w:themeFill="accent4" w:themeFillTint="34"/>
      </w:tcPr>
    </w:tblStylePr>
    <w:tblStylePr w:type="firstCol">
      <w:rPr>
        <w:b/>
        <w:color w:val="404040"/>
      </w:rPr>
    </w:tblStylePr>
    <w:tblStylePr w:type="firstRow">
      <w:rPr>
        <w:b/>
        <w:color w:val="404040"/>
      </w:rPr>
      <w:tcPr>
        <w:shd w:val="clear" w:color="ffffff" w:fill="auto"/>
        <w:tcBorders>
          <w:top w:val="none" w:color="000000" w:sz="4" w:space="0"/>
          <w:left w:val="none" w:color="000000" w:sz="4" w:space="0"/>
          <w:bottom w:val="single" w:color="B2A1C6" w:themeColor="accent4" w:themeTint="9A" w:sz="12" w:space="0"/>
          <w:right w:val="none" w:color="000000" w:sz="4" w:space="0"/>
        </w:tcBorders>
      </w:tcPr>
    </w:tblStylePr>
    <w:tblStylePr w:type="lastCol">
      <w:rPr>
        <w:b/>
        <w:color w:val="404040"/>
      </w:rPr>
    </w:tblStylePr>
    <w:tblStylePr w:type="lastRow">
      <w:rPr>
        <w:b/>
        <w:color w:val="404040"/>
      </w:rPr>
      <w:tcPr>
        <w:shd w:val="clear" w:color="ffffff" w:fill="auto"/>
        <w:tcBorders>
          <w:top w:val="single" w:color="B2A1C6" w:themeColor="accent4" w:themeTint="9A" w:sz="4" w:space="0"/>
          <w:left w:val="none" w:color="000000" w:sz="4" w:space="0"/>
          <w:bottom w:val="none" w:color="000000" w:sz="4" w:space="0"/>
          <w:right w:val="none" w:color="000000" w:sz="4" w:space="0"/>
        </w:tcBorders>
      </w:tcPr>
    </w:tblStylePr>
  </w:style>
  <w:style w:type="table" w:styleId="1106" w:customStyle="1">
    <w:name w:val="Grid Table 2 - Accent 5"/>
    <w:basedOn w:val="1054"/>
    <w:uiPriority w:val="99"/>
    <w:pPr>
      <w:spacing w:after="0" w:line="240" w:lineRule="auto"/>
    </w:pPr>
    <w:tblPr>
      <w:tblStyleRowBandSize w:val="1"/>
      <w:tblStyleColBandSize w:val="1"/>
      <w:tblInd w:w="0" w:type="dxa"/>
      <w:tblBorders>
        <w:bottom w:val="single" w:color="4BACC6" w:themeColor="accent5" w:sz="4" w:space="0"/>
        <w:insideH w:val="single" w:color="4BACC6" w:themeColor="accent5" w:sz="4" w:space="0"/>
        <w:insideV w:val="single" w:color="4BACC6" w:themeColor="accent5" w:sz="4" w:space="0"/>
      </w:tblBorders>
      <w:tblCellMar>
        <w:left w:w="108" w:type="dxa"/>
        <w:top w:w="0" w:type="dxa"/>
        <w:right w:w="108" w:type="dxa"/>
        <w:bottom w:w="0" w:type="dxa"/>
      </w:tblCellMar>
    </w:tblPr>
    <w:tblStylePr w:type="band1Horz">
      <w:rPr>
        <w:rFonts w:ascii="Arial" w:hAnsi="Arial"/>
        <w:color w:val="404040"/>
        <w:sz w:val="22"/>
      </w:rPr>
      <w:tcPr>
        <w:shd w:val="clear" w:color="daeef3" w:themeColor="accent5" w:themeTint="34" w:fill="daeef3" w:themeFill="accent5" w:themeFillTint="34"/>
      </w:tcPr>
    </w:tblStylePr>
    <w:tblStylePr w:type="band1Vert">
      <w:rPr>
        <w:rFonts w:ascii="Arial" w:hAnsi="Arial"/>
        <w:color w:val="404040"/>
        <w:sz w:val="22"/>
      </w:rPr>
      <w:tcPr>
        <w:shd w:val="clear" w:color="daeef3" w:themeColor="accent5" w:themeTint="34" w:fill="daeef3" w:themeFill="accent5" w:themeFillTint="34"/>
      </w:tcPr>
    </w:tblStylePr>
    <w:tblStylePr w:type="firstCol">
      <w:rPr>
        <w:b/>
        <w:color w:val="404040"/>
      </w:rPr>
    </w:tblStylePr>
    <w:tblStylePr w:type="firstRow">
      <w:rPr>
        <w:b/>
        <w:color w:val="404040"/>
      </w:rPr>
      <w:tcPr>
        <w:shd w:val="clear" w:color="ffffff" w:fill="auto"/>
        <w:tcBorders>
          <w:top w:val="none" w:color="000000" w:sz="4" w:space="0"/>
          <w:left w:val="none" w:color="000000" w:sz="4" w:space="0"/>
          <w:bottom w:val="single" w:color="4BACC6" w:themeColor="accent5" w:sz="12" w:space="0"/>
          <w:right w:val="none" w:color="000000" w:sz="4" w:space="0"/>
        </w:tcBorders>
      </w:tcPr>
    </w:tblStylePr>
    <w:tblStylePr w:type="lastCol">
      <w:rPr>
        <w:b/>
        <w:color w:val="404040"/>
      </w:rPr>
    </w:tblStylePr>
    <w:tblStylePr w:type="lastRow">
      <w:rPr>
        <w:b/>
        <w:color w:val="404040"/>
      </w:rPr>
      <w:tcPr>
        <w:shd w:val="clear" w:color="ffffff" w:fill="auto"/>
        <w:tcBorders>
          <w:top w:val="single" w:color="4BACC6" w:themeColor="accent5" w:sz="4" w:space="0"/>
          <w:left w:val="none" w:color="000000" w:sz="4" w:space="0"/>
          <w:bottom w:val="none" w:color="000000" w:sz="4" w:space="0"/>
          <w:right w:val="none" w:color="000000" w:sz="4" w:space="0"/>
        </w:tcBorders>
      </w:tcPr>
    </w:tblStylePr>
  </w:style>
  <w:style w:type="table" w:styleId="1107" w:customStyle="1">
    <w:name w:val="Grid Table 2 - Accent 6"/>
    <w:basedOn w:val="1054"/>
    <w:uiPriority w:val="99"/>
    <w:pPr>
      <w:spacing w:after="0" w:line="240" w:lineRule="auto"/>
    </w:pPr>
    <w:tblPr>
      <w:tblStyleRowBandSize w:val="1"/>
      <w:tblStyleColBandSize w:val="1"/>
      <w:tblInd w:w="0" w:type="dxa"/>
      <w:tblBorders>
        <w:bottom w:val="single" w:color="F79646" w:themeColor="accent6" w:sz="4" w:space="0"/>
        <w:insideH w:val="single" w:color="F79646" w:themeColor="accent6" w:sz="4" w:space="0"/>
        <w:insideV w:val="single" w:color="F79646" w:themeColor="accent6" w:sz="4" w:space="0"/>
      </w:tblBorders>
      <w:tblCellMar>
        <w:left w:w="108" w:type="dxa"/>
        <w:top w:w="0" w:type="dxa"/>
        <w:right w:w="108" w:type="dxa"/>
        <w:bottom w:w="0" w:type="dxa"/>
      </w:tblCellMar>
    </w:tblPr>
    <w:tblStylePr w:type="band1Horz">
      <w:rPr>
        <w:rFonts w:ascii="Arial" w:hAnsi="Arial"/>
        <w:color w:val="404040"/>
        <w:sz w:val="22"/>
      </w:rPr>
      <w:tcPr>
        <w:shd w:val="clear" w:color="fde9d8" w:themeColor="accent6" w:themeTint="34" w:fill="fde9d8" w:themeFill="accent6" w:themeFillTint="34"/>
      </w:tcPr>
    </w:tblStylePr>
    <w:tblStylePr w:type="band1Vert">
      <w:rPr>
        <w:rFonts w:ascii="Arial" w:hAnsi="Arial"/>
        <w:color w:val="404040"/>
        <w:sz w:val="22"/>
      </w:rPr>
      <w:tcPr>
        <w:shd w:val="clear" w:color="fde9d8" w:themeColor="accent6" w:themeTint="34" w:fill="fde9d8" w:themeFill="accent6" w:themeFillTint="34"/>
      </w:tcPr>
    </w:tblStylePr>
    <w:tblStylePr w:type="firstCol">
      <w:rPr>
        <w:b/>
        <w:color w:val="404040"/>
      </w:rPr>
    </w:tblStylePr>
    <w:tblStylePr w:type="firstRow">
      <w:rPr>
        <w:b/>
        <w:color w:val="404040"/>
      </w:rPr>
      <w:tcPr>
        <w:shd w:val="clear" w:color="ffffff" w:fill="auto"/>
        <w:tcBorders>
          <w:top w:val="none" w:color="000000" w:sz="4" w:space="0"/>
          <w:left w:val="none" w:color="000000" w:sz="4" w:space="0"/>
          <w:bottom w:val="single" w:color="F79646" w:themeColor="accent6" w:sz="12" w:space="0"/>
          <w:right w:val="none" w:color="000000" w:sz="4" w:space="0"/>
        </w:tcBorders>
      </w:tcPr>
    </w:tblStylePr>
    <w:tblStylePr w:type="lastCol">
      <w:rPr>
        <w:b/>
        <w:color w:val="404040"/>
      </w:rPr>
    </w:tblStylePr>
    <w:tblStylePr w:type="lastRow">
      <w:rPr>
        <w:b/>
        <w:color w:val="404040"/>
      </w:rPr>
      <w:tcPr>
        <w:shd w:val="clear" w:color="ffffff" w:fill="auto"/>
        <w:tcBorders>
          <w:top w:val="single" w:color="F79646" w:themeColor="accent6" w:sz="4" w:space="0"/>
          <w:left w:val="none" w:color="000000" w:sz="4" w:space="0"/>
          <w:bottom w:val="none" w:color="000000" w:sz="4" w:space="0"/>
          <w:right w:val="none" w:color="000000" w:sz="4" w:space="0"/>
        </w:tcBorders>
      </w:tcPr>
    </w:tblStylePr>
  </w:style>
  <w:style w:type="table" w:styleId="1108" w:customStyle="1">
    <w:name w:val="Grid Table 3"/>
    <w:basedOn w:val="1054"/>
    <w:uiPriority w:val="99"/>
    <w:pPr>
      <w:spacing w:after="0" w:line="240" w:lineRule="auto"/>
    </w:pPr>
    <w:tblPr>
      <w:tblStyleRowBandSize w:val="1"/>
      <w:tblStyleColBandSize w:val="1"/>
      <w:tblInd w:w="0" w:type="dxa"/>
      <w:tblBorders>
        <w:bottom w:val="single" w:color="6A6A6A" w:themeColor="text1" w:themeTint="95" w:sz="4" w:space="0"/>
        <w:insideH w:val="single" w:color="6A6A6A" w:themeColor="text1" w:themeTint="95" w:sz="4" w:space="0"/>
        <w:insideV w:val="single" w:color="6A6A6A" w:themeColor="text1" w:themeTint="95" w:sz="4" w:space="0"/>
      </w:tblBorders>
      <w:tblCellMar>
        <w:left w:w="108" w:type="dxa"/>
        <w:top w:w="0" w:type="dxa"/>
        <w:right w:w="108" w:type="dxa"/>
        <w:bottom w:w="0" w:type="dxa"/>
      </w:tblCellMar>
    </w:tblPr>
    <w:tblStylePr w:type="band1Horz">
      <w:rPr>
        <w:rFonts w:ascii="Arial" w:hAnsi="Arial"/>
        <w:color w:val="404040"/>
        <w:sz w:val="22"/>
      </w:rPr>
      <w:tcPr>
        <w:shd w:val="clear" w:color="cbcbcb" w:themeColor="text1" w:themeTint="34" w:fill="cbcbcb" w:themeFill="text1" w:themeFillTint="34"/>
      </w:tcPr>
    </w:tblStylePr>
    <w:tblStylePr w:type="band1Vert">
      <w:rPr>
        <w:rFonts w:ascii="Arial" w:hAnsi="Arial"/>
        <w:color w:val="404040"/>
        <w:sz w:val="22"/>
      </w:rPr>
      <w:tcPr>
        <w:shd w:val="clear" w:color="cbcbcb" w:themeColor="text1" w:themeTint="34" w:fill="cbcbcb" w:themeFill="text1" w:themeFillTint="34"/>
      </w:tcPr>
    </w:tblStylePr>
    <w:tblStylePr w:type="firstCol">
      <w:rPr>
        <w:i/>
        <w:color w:val="404040"/>
      </w:rPr>
      <w:pPr>
        <w:jc w:val="right"/>
      </w:pPr>
      <w:tcPr>
        <w:shd w:val="clear" w:color="ffffff" w:fill="auto"/>
        <w:tcBorders>
          <w:top w:val="none" w:color="000000" w:sz="4" w:space="0"/>
          <w:left w:val="none" w:color="000000" w:sz="4" w:space="0"/>
          <w:bottom w:val="none" w:color="000000" w:sz="4" w:space="0"/>
          <w:right w:val="none" w:color="000000" w:sz="4" w:space="0"/>
        </w:tcBorders>
      </w:tcPr>
    </w:tblStylePr>
    <w:tblStylePr w:type="firstRow">
      <w:rPr>
        <w:b/>
        <w:color w:val="404040"/>
      </w:rPr>
      <w:tcPr>
        <w:shd w:val="clear" w:color="ffffff" w:fill="auto"/>
        <w:tcBorders>
          <w:top w:val="none" w:color="000000" w:sz="4" w:space="0"/>
          <w:left w:val="none" w:color="000000" w:sz="4" w:space="0"/>
          <w:bottom w:val="none" w:color="000000" w:sz="4" w:space="0"/>
          <w:right w:val="none" w:color="000000" w:sz="4" w:space="0"/>
        </w:tcBorders>
      </w:tcPr>
    </w:tblStylePr>
    <w:tblStylePr w:type="lastCol">
      <w:rPr>
        <w:i/>
        <w:color w:val="404040"/>
      </w:rPr>
      <w:tcPr>
        <w:shd w:val="clear" w:color="ffffff" w:fill="auto"/>
        <w:tcBorders>
          <w:top w:val="none" w:color="000000" w:sz="4" w:space="0"/>
          <w:left w:val="none" w:color="000000" w:sz="4" w:space="0"/>
          <w:bottom w:val="none" w:color="000000" w:sz="4" w:space="0"/>
          <w:right w:val="none" w:color="000000" w:sz="4" w:space="0"/>
        </w:tcBorders>
      </w:tcPr>
    </w:tblStylePr>
    <w:tblStylePr w:type="lastRow">
      <w:rPr>
        <w:b/>
        <w:color w:val="404040"/>
      </w:rPr>
      <w:tcPr>
        <w:shd w:val="clear" w:color="ffffff" w:fill="auto"/>
        <w:tcBorders>
          <w:top w:val="none" w:color="000000" w:sz="4" w:space="0"/>
          <w:left w:val="none" w:color="000000" w:sz="4" w:space="0"/>
          <w:bottom w:val="none" w:color="000000" w:sz="4" w:space="0"/>
          <w:right w:val="none" w:color="000000" w:sz="4" w:space="0"/>
        </w:tcBorders>
      </w:tcPr>
    </w:tblStylePr>
  </w:style>
  <w:style w:type="table" w:styleId="1109" w:customStyle="1">
    <w:name w:val="Grid Table 3 - Accent 1"/>
    <w:basedOn w:val="1054"/>
    <w:uiPriority w:val="99"/>
    <w:pPr>
      <w:spacing w:after="0" w:line="240" w:lineRule="auto"/>
    </w:pPr>
    <w:tblPr>
      <w:tblStyleRowBandSize w:val="1"/>
      <w:tblStyleColBandSize w:val="1"/>
      <w:tblInd w:w="0" w:type="dxa"/>
      <w:tblBorders>
        <w:bottom w:val="single" w:color="5D8AC2" w:themeColor="accent1" w:themeTint="EA" w:sz="4" w:space="0"/>
        <w:insideH w:val="single" w:color="5D8AC2" w:themeColor="accent1" w:themeTint="EA" w:sz="4" w:space="0"/>
        <w:insideV w:val="single" w:color="5D8AC2" w:themeColor="accent1" w:themeTint="EA" w:sz="4" w:space="0"/>
      </w:tblBorders>
      <w:tblCellMar>
        <w:left w:w="108" w:type="dxa"/>
        <w:top w:w="0" w:type="dxa"/>
        <w:right w:w="108" w:type="dxa"/>
        <w:bottom w:w="0" w:type="dxa"/>
      </w:tblCellMar>
    </w:tblPr>
    <w:tblStylePr w:type="band1Horz">
      <w:rPr>
        <w:rFonts w:ascii="Arial" w:hAnsi="Arial"/>
        <w:color w:val="404040"/>
        <w:sz w:val="22"/>
      </w:rPr>
      <w:tcPr>
        <w:shd w:val="clear" w:color="dae5f1" w:themeColor="accent1" w:themeTint="34" w:fill="dae5f1" w:themeFill="accent1" w:themeFillTint="34"/>
      </w:tcPr>
    </w:tblStylePr>
    <w:tblStylePr w:type="band1Vert">
      <w:rPr>
        <w:rFonts w:ascii="Arial" w:hAnsi="Arial"/>
        <w:color w:val="404040"/>
        <w:sz w:val="22"/>
      </w:rPr>
      <w:tcPr>
        <w:shd w:val="clear" w:color="dae5f1" w:themeColor="accent1" w:themeTint="34" w:fill="dae5f1" w:themeFill="accent1" w:themeFillTint="34"/>
      </w:tcPr>
    </w:tblStylePr>
    <w:tblStylePr w:type="firstCol">
      <w:rPr>
        <w:i/>
        <w:color w:val="404040"/>
      </w:rPr>
      <w:pPr>
        <w:jc w:val="right"/>
      </w:pPr>
      <w:tcPr>
        <w:shd w:val="clear" w:color="ffffff" w:fill="auto"/>
        <w:tcBorders>
          <w:top w:val="none" w:color="000000" w:sz="4" w:space="0"/>
          <w:left w:val="none" w:color="000000" w:sz="4" w:space="0"/>
          <w:bottom w:val="none" w:color="000000" w:sz="4" w:space="0"/>
          <w:right w:val="none" w:color="000000" w:sz="4" w:space="0"/>
        </w:tcBorders>
      </w:tcPr>
    </w:tblStylePr>
    <w:tblStylePr w:type="firstRow">
      <w:rPr>
        <w:b/>
        <w:color w:val="404040"/>
      </w:rPr>
      <w:tcPr>
        <w:shd w:val="clear" w:color="ffffff" w:fill="auto"/>
        <w:tcBorders>
          <w:top w:val="none" w:color="000000" w:sz="4" w:space="0"/>
          <w:left w:val="none" w:color="000000" w:sz="4" w:space="0"/>
          <w:bottom w:val="none" w:color="000000" w:sz="4" w:space="0"/>
          <w:right w:val="none" w:color="000000" w:sz="4" w:space="0"/>
        </w:tcBorders>
      </w:tcPr>
    </w:tblStylePr>
    <w:tblStylePr w:type="lastCol">
      <w:rPr>
        <w:i/>
        <w:color w:val="404040"/>
      </w:rPr>
      <w:tcPr>
        <w:shd w:val="clear" w:color="ffffff" w:fill="auto"/>
        <w:tcBorders>
          <w:top w:val="none" w:color="000000" w:sz="4" w:space="0"/>
          <w:left w:val="none" w:color="000000" w:sz="4" w:space="0"/>
          <w:bottom w:val="none" w:color="000000" w:sz="4" w:space="0"/>
          <w:right w:val="none" w:color="000000" w:sz="4" w:space="0"/>
        </w:tcBorders>
      </w:tcPr>
    </w:tblStylePr>
    <w:tblStylePr w:type="lastRow">
      <w:rPr>
        <w:b/>
        <w:color w:val="404040"/>
      </w:rPr>
      <w:tcPr>
        <w:shd w:val="clear" w:color="ffffff" w:fill="auto"/>
        <w:tcBorders>
          <w:top w:val="none" w:color="000000" w:sz="4" w:space="0"/>
          <w:left w:val="none" w:color="000000" w:sz="4" w:space="0"/>
          <w:bottom w:val="none" w:color="000000" w:sz="4" w:space="0"/>
          <w:right w:val="none" w:color="000000" w:sz="4" w:space="0"/>
        </w:tcBorders>
      </w:tcPr>
    </w:tblStylePr>
  </w:style>
  <w:style w:type="table" w:styleId="1110" w:customStyle="1">
    <w:name w:val="Grid Table 3 - Accent 2"/>
    <w:basedOn w:val="1054"/>
    <w:uiPriority w:val="99"/>
    <w:pPr>
      <w:spacing w:after="0" w:line="240" w:lineRule="auto"/>
    </w:pPr>
    <w:tblPr>
      <w:tblStyleRowBandSize w:val="1"/>
      <w:tblStyleColBandSize w:val="1"/>
      <w:tblInd w:w="0" w:type="dxa"/>
      <w:tblBorders>
        <w:bottom w:val="single" w:color="D99695" w:themeColor="accent2" w:themeTint="97" w:sz="4" w:space="0"/>
        <w:insideH w:val="single" w:color="D99695" w:themeColor="accent2" w:themeTint="97" w:sz="4" w:space="0"/>
        <w:insideV w:val="single" w:color="D99695" w:themeColor="accent2" w:themeTint="97" w:sz="4" w:space="0"/>
      </w:tblBorders>
      <w:tblCellMar>
        <w:left w:w="108" w:type="dxa"/>
        <w:top w:w="0" w:type="dxa"/>
        <w:right w:w="108" w:type="dxa"/>
        <w:bottom w:w="0" w:type="dxa"/>
      </w:tblCellMar>
    </w:tblPr>
    <w:tblStylePr w:type="band1Horz">
      <w:rPr>
        <w:rFonts w:ascii="Arial" w:hAnsi="Arial"/>
        <w:color w:val="404040"/>
        <w:sz w:val="22"/>
      </w:rPr>
      <w:tcPr>
        <w:shd w:val="clear" w:color="f2dcdc" w:themeColor="accent2" w:themeTint="32" w:fill="f2dcdc" w:themeFill="accent2" w:themeFillTint="32"/>
      </w:tcPr>
    </w:tblStylePr>
    <w:tblStylePr w:type="band1Vert">
      <w:rPr>
        <w:rFonts w:ascii="Arial" w:hAnsi="Arial"/>
        <w:color w:val="404040"/>
        <w:sz w:val="22"/>
      </w:rPr>
      <w:tcPr>
        <w:shd w:val="clear" w:color="f2dcdc" w:themeColor="accent2" w:themeTint="32" w:fill="f2dcdc" w:themeFill="accent2" w:themeFillTint="32"/>
      </w:tcPr>
    </w:tblStylePr>
    <w:tblStylePr w:type="firstCol">
      <w:rPr>
        <w:i/>
        <w:color w:val="404040"/>
      </w:rPr>
      <w:pPr>
        <w:jc w:val="right"/>
      </w:pPr>
      <w:tcPr>
        <w:shd w:val="clear" w:color="ffffff" w:fill="auto"/>
        <w:tcBorders>
          <w:top w:val="none" w:color="000000" w:sz="4" w:space="0"/>
          <w:left w:val="none" w:color="000000" w:sz="4" w:space="0"/>
          <w:bottom w:val="none" w:color="000000" w:sz="4" w:space="0"/>
          <w:right w:val="none" w:color="000000" w:sz="4" w:space="0"/>
        </w:tcBorders>
      </w:tcPr>
    </w:tblStylePr>
    <w:tblStylePr w:type="firstRow">
      <w:rPr>
        <w:b/>
        <w:color w:val="404040"/>
      </w:rPr>
      <w:tcPr>
        <w:shd w:val="clear" w:color="ffffff" w:fill="auto"/>
        <w:tcBorders>
          <w:top w:val="none" w:color="000000" w:sz="4" w:space="0"/>
          <w:left w:val="none" w:color="000000" w:sz="4" w:space="0"/>
          <w:bottom w:val="none" w:color="000000" w:sz="4" w:space="0"/>
          <w:right w:val="none" w:color="000000" w:sz="4" w:space="0"/>
        </w:tcBorders>
      </w:tcPr>
    </w:tblStylePr>
    <w:tblStylePr w:type="lastCol">
      <w:rPr>
        <w:i/>
        <w:color w:val="404040"/>
      </w:rPr>
      <w:tcPr>
        <w:shd w:val="clear" w:color="ffffff" w:fill="auto"/>
        <w:tcBorders>
          <w:top w:val="none" w:color="000000" w:sz="4" w:space="0"/>
          <w:left w:val="none" w:color="000000" w:sz="4" w:space="0"/>
          <w:bottom w:val="none" w:color="000000" w:sz="4" w:space="0"/>
          <w:right w:val="none" w:color="000000" w:sz="4" w:space="0"/>
        </w:tcBorders>
      </w:tcPr>
    </w:tblStylePr>
    <w:tblStylePr w:type="lastRow">
      <w:rPr>
        <w:b/>
        <w:color w:val="404040"/>
      </w:rPr>
      <w:tcPr>
        <w:shd w:val="clear" w:color="ffffff" w:fill="auto"/>
        <w:tcBorders>
          <w:top w:val="none" w:color="000000" w:sz="4" w:space="0"/>
          <w:left w:val="none" w:color="000000" w:sz="4" w:space="0"/>
          <w:bottom w:val="none" w:color="000000" w:sz="4" w:space="0"/>
          <w:right w:val="none" w:color="000000" w:sz="4" w:space="0"/>
        </w:tcBorders>
      </w:tcPr>
    </w:tblStylePr>
  </w:style>
  <w:style w:type="table" w:styleId="1111" w:customStyle="1">
    <w:name w:val="Grid Table 3 - Accent 3"/>
    <w:basedOn w:val="1054"/>
    <w:uiPriority w:val="99"/>
    <w:pPr>
      <w:spacing w:after="0" w:line="240" w:lineRule="auto"/>
    </w:pPr>
    <w:tblPr>
      <w:tblStyleRowBandSize w:val="1"/>
      <w:tblStyleColBandSize w:val="1"/>
      <w:tblInd w:w="0" w:type="dxa"/>
      <w:tblBorders>
        <w:bottom w:val="single" w:color="9ABB59" w:themeColor="accent3" w:themeTint="FE" w:sz="4" w:space="0"/>
        <w:insideH w:val="single" w:color="9ABB59" w:themeColor="accent3" w:themeTint="FE" w:sz="4" w:space="0"/>
        <w:insideV w:val="single" w:color="9ABB59" w:themeColor="accent3" w:themeTint="FE" w:sz="4" w:space="0"/>
      </w:tblBorders>
      <w:tblCellMar>
        <w:left w:w="108" w:type="dxa"/>
        <w:top w:w="0" w:type="dxa"/>
        <w:right w:w="108" w:type="dxa"/>
        <w:bottom w:w="0" w:type="dxa"/>
      </w:tblCellMar>
    </w:tblPr>
    <w:tblStylePr w:type="band1Horz">
      <w:rPr>
        <w:rFonts w:ascii="Arial" w:hAnsi="Arial"/>
        <w:color w:val="404040"/>
        <w:sz w:val="22"/>
      </w:rPr>
      <w:tcPr>
        <w:shd w:val="clear" w:color="eaf1dc" w:themeColor="accent3" w:themeTint="34" w:fill="eaf1dc" w:themeFill="accent3" w:themeFillTint="34"/>
      </w:tcPr>
    </w:tblStylePr>
    <w:tblStylePr w:type="band1Vert">
      <w:rPr>
        <w:rFonts w:ascii="Arial" w:hAnsi="Arial"/>
        <w:color w:val="404040"/>
        <w:sz w:val="22"/>
      </w:rPr>
      <w:tcPr>
        <w:shd w:val="clear" w:color="eaf1dc" w:themeColor="accent3" w:themeTint="34" w:fill="eaf1dc" w:themeFill="accent3" w:themeFillTint="34"/>
      </w:tcPr>
    </w:tblStylePr>
    <w:tblStylePr w:type="firstCol">
      <w:rPr>
        <w:i/>
        <w:color w:val="404040"/>
      </w:rPr>
      <w:pPr>
        <w:jc w:val="right"/>
      </w:pPr>
      <w:tcPr>
        <w:shd w:val="clear" w:color="ffffff" w:fill="auto"/>
        <w:tcBorders>
          <w:top w:val="none" w:color="000000" w:sz="4" w:space="0"/>
          <w:left w:val="none" w:color="000000" w:sz="4" w:space="0"/>
          <w:bottom w:val="none" w:color="000000" w:sz="4" w:space="0"/>
          <w:right w:val="none" w:color="000000" w:sz="4" w:space="0"/>
        </w:tcBorders>
      </w:tcPr>
    </w:tblStylePr>
    <w:tblStylePr w:type="firstRow">
      <w:rPr>
        <w:b/>
        <w:color w:val="404040"/>
      </w:rPr>
      <w:tcPr>
        <w:shd w:val="clear" w:color="ffffff" w:fill="auto"/>
        <w:tcBorders>
          <w:top w:val="none" w:color="000000" w:sz="4" w:space="0"/>
          <w:left w:val="none" w:color="000000" w:sz="4" w:space="0"/>
          <w:bottom w:val="none" w:color="000000" w:sz="4" w:space="0"/>
          <w:right w:val="none" w:color="000000" w:sz="4" w:space="0"/>
        </w:tcBorders>
      </w:tcPr>
    </w:tblStylePr>
    <w:tblStylePr w:type="lastCol">
      <w:rPr>
        <w:i/>
        <w:color w:val="404040"/>
      </w:rPr>
      <w:tcPr>
        <w:shd w:val="clear" w:color="ffffff" w:fill="auto"/>
        <w:tcBorders>
          <w:top w:val="none" w:color="000000" w:sz="4" w:space="0"/>
          <w:left w:val="none" w:color="000000" w:sz="4" w:space="0"/>
          <w:bottom w:val="none" w:color="000000" w:sz="4" w:space="0"/>
          <w:right w:val="none" w:color="000000" w:sz="4" w:space="0"/>
        </w:tcBorders>
      </w:tcPr>
    </w:tblStylePr>
    <w:tblStylePr w:type="lastRow">
      <w:rPr>
        <w:b/>
        <w:color w:val="404040"/>
      </w:rPr>
      <w:tcPr>
        <w:shd w:val="clear" w:color="ffffff" w:fill="auto"/>
        <w:tcBorders>
          <w:top w:val="none" w:color="000000" w:sz="4" w:space="0"/>
          <w:left w:val="none" w:color="000000" w:sz="4" w:space="0"/>
          <w:bottom w:val="none" w:color="000000" w:sz="4" w:space="0"/>
          <w:right w:val="none" w:color="000000" w:sz="4" w:space="0"/>
        </w:tcBorders>
      </w:tcPr>
    </w:tblStylePr>
  </w:style>
  <w:style w:type="table" w:styleId="1112" w:customStyle="1">
    <w:name w:val="Grid Table 3 - Accent 4"/>
    <w:basedOn w:val="1054"/>
    <w:uiPriority w:val="99"/>
    <w:pPr>
      <w:spacing w:after="0" w:line="240" w:lineRule="auto"/>
    </w:pPr>
    <w:tblPr>
      <w:tblStyleRowBandSize w:val="1"/>
      <w:tblStyleColBandSize w:val="1"/>
      <w:tblInd w:w="0" w:type="dxa"/>
      <w:tblBorders>
        <w:bottom w:val="single" w:color="B2A1C6" w:themeColor="accent4" w:themeTint="9A" w:sz="4" w:space="0"/>
        <w:insideH w:val="single" w:color="B2A1C6" w:themeColor="accent4" w:themeTint="9A" w:sz="4" w:space="0"/>
        <w:insideV w:val="single" w:color="B2A1C6" w:themeColor="accent4" w:themeTint="9A" w:sz="4" w:space="0"/>
      </w:tblBorders>
      <w:tblCellMar>
        <w:left w:w="108" w:type="dxa"/>
        <w:top w:w="0" w:type="dxa"/>
        <w:right w:w="108" w:type="dxa"/>
        <w:bottom w:w="0" w:type="dxa"/>
      </w:tblCellMar>
    </w:tblPr>
    <w:tblStylePr w:type="band1Horz">
      <w:rPr>
        <w:rFonts w:ascii="Arial" w:hAnsi="Arial"/>
        <w:color w:val="404040"/>
        <w:sz w:val="22"/>
      </w:rPr>
      <w:tcPr>
        <w:shd w:val="clear" w:color="e5dfec" w:themeColor="accent4" w:themeTint="34" w:fill="e5dfec" w:themeFill="accent4" w:themeFillTint="34"/>
      </w:tcPr>
    </w:tblStylePr>
    <w:tblStylePr w:type="band1Vert">
      <w:rPr>
        <w:rFonts w:ascii="Arial" w:hAnsi="Arial"/>
        <w:color w:val="404040"/>
        <w:sz w:val="22"/>
      </w:rPr>
      <w:tcPr>
        <w:shd w:val="clear" w:color="e5dfec" w:themeColor="accent4" w:themeTint="34" w:fill="e5dfec" w:themeFill="accent4" w:themeFillTint="34"/>
      </w:tcPr>
    </w:tblStylePr>
    <w:tblStylePr w:type="firstCol">
      <w:rPr>
        <w:i/>
        <w:color w:val="404040"/>
      </w:rPr>
      <w:pPr>
        <w:jc w:val="right"/>
      </w:pPr>
      <w:tcPr>
        <w:shd w:val="clear" w:color="ffffff" w:fill="auto"/>
        <w:tcBorders>
          <w:top w:val="none" w:color="000000" w:sz="4" w:space="0"/>
          <w:left w:val="none" w:color="000000" w:sz="4" w:space="0"/>
          <w:bottom w:val="none" w:color="000000" w:sz="4" w:space="0"/>
          <w:right w:val="none" w:color="000000" w:sz="4" w:space="0"/>
        </w:tcBorders>
      </w:tcPr>
    </w:tblStylePr>
    <w:tblStylePr w:type="firstRow">
      <w:rPr>
        <w:b/>
        <w:color w:val="404040"/>
      </w:rPr>
      <w:tcPr>
        <w:shd w:val="clear" w:color="ffffff" w:fill="auto"/>
        <w:tcBorders>
          <w:top w:val="none" w:color="000000" w:sz="4" w:space="0"/>
          <w:left w:val="none" w:color="000000" w:sz="4" w:space="0"/>
          <w:bottom w:val="none" w:color="000000" w:sz="4" w:space="0"/>
          <w:right w:val="none" w:color="000000" w:sz="4" w:space="0"/>
        </w:tcBorders>
      </w:tcPr>
    </w:tblStylePr>
    <w:tblStylePr w:type="lastCol">
      <w:rPr>
        <w:i/>
        <w:color w:val="404040"/>
      </w:rPr>
      <w:tcPr>
        <w:shd w:val="clear" w:color="ffffff" w:fill="auto"/>
        <w:tcBorders>
          <w:top w:val="none" w:color="000000" w:sz="4" w:space="0"/>
          <w:left w:val="none" w:color="000000" w:sz="4" w:space="0"/>
          <w:bottom w:val="none" w:color="000000" w:sz="4" w:space="0"/>
          <w:right w:val="none" w:color="000000" w:sz="4" w:space="0"/>
        </w:tcBorders>
      </w:tcPr>
    </w:tblStylePr>
    <w:tblStylePr w:type="lastRow">
      <w:rPr>
        <w:b/>
        <w:color w:val="404040"/>
      </w:rPr>
      <w:tcPr>
        <w:shd w:val="clear" w:color="ffffff" w:fill="auto"/>
        <w:tcBorders>
          <w:top w:val="none" w:color="000000" w:sz="4" w:space="0"/>
          <w:left w:val="none" w:color="000000" w:sz="4" w:space="0"/>
          <w:bottom w:val="none" w:color="000000" w:sz="4" w:space="0"/>
          <w:right w:val="none" w:color="000000" w:sz="4" w:space="0"/>
        </w:tcBorders>
      </w:tcPr>
    </w:tblStylePr>
  </w:style>
  <w:style w:type="table" w:styleId="1113" w:customStyle="1">
    <w:name w:val="Grid Table 3 - Accent 5"/>
    <w:basedOn w:val="1054"/>
    <w:uiPriority w:val="99"/>
    <w:pPr>
      <w:spacing w:after="0" w:line="240" w:lineRule="auto"/>
    </w:pPr>
    <w:tblPr>
      <w:tblStyleRowBandSize w:val="1"/>
      <w:tblStyleColBandSize w:val="1"/>
      <w:tblInd w:w="0" w:type="dxa"/>
      <w:tblBorders>
        <w:bottom w:val="single" w:color="4BACC6" w:themeColor="accent5" w:sz="4" w:space="0"/>
        <w:insideH w:val="single" w:color="4BACC6" w:themeColor="accent5" w:sz="4" w:space="0"/>
        <w:insideV w:val="single" w:color="4BACC6" w:themeColor="accent5" w:sz="4" w:space="0"/>
      </w:tblBorders>
      <w:tblCellMar>
        <w:left w:w="108" w:type="dxa"/>
        <w:top w:w="0" w:type="dxa"/>
        <w:right w:w="108" w:type="dxa"/>
        <w:bottom w:w="0" w:type="dxa"/>
      </w:tblCellMar>
    </w:tblPr>
    <w:tblStylePr w:type="band1Horz">
      <w:rPr>
        <w:rFonts w:ascii="Arial" w:hAnsi="Arial"/>
        <w:color w:val="404040"/>
        <w:sz w:val="22"/>
      </w:rPr>
      <w:tcPr>
        <w:shd w:val="clear" w:color="daeef3" w:themeColor="accent5" w:themeTint="34" w:fill="daeef3" w:themeFill="accent5" w:themeFillTint="34"/>
      </w:tcPr>
    </w:tblStylePr>
    <w:tblStylePr w:type="band1Vert">
      <w:rPr>
        <w:rFonts w:ascii="Arial" w:hAnsi="Arial"/>
        <w:color w:val="404040"/>
        <w:sz w:val="22"/>
      </w:rPr>
      <w:tcPr>
        <w:shd w:val="clear" w:color="daeef3" w:themeColor="accent5" w:themeTint="34" w:fill="daeef3" w:themeFill="accent5" w:themeFillTint="34"/>
      </w:tcPr>
    </w:tblStylePr>
    <w:tblStylePr w:type="firstCol">
      <w:rPr>
        <w:i/>
        <w:color w:val="404040"/>
      </w:rPr>
      <w:pPr>
        <w:jc w:val="right"/>
      </w:pPr>
      <w:tcPr>
        <w:shd w:val="clear" w:color="ffffff" w:fill="auto"/>
        <w:tcBorders>
          <w:top w:val="none" w:color="000000" w:sz="4" w:space="0"/>
          <w:left w:val="none" w:color="000000" w:sz="4" w:space="0"/>
          <w:bottom w:val="none" w:color="000000" w:sz="4" w:space="0"/>
          <w:right w:val="none" w:color="000000" w:sz="4" w:space="0"/>
        </w:tcBorders>
      </w:tcPr>
    </w:tblStylePr>
    <w:tblStylePr w:type="firstRow">
      <w:rPr>
        <w:b/>
        <w:color w:val="404040"/>
      </w:rPr>
      <w:tcPr>
        <w:shd w:val="clear" w:color="ffffff" w:fill="auto"/>
        <w:tcBorders>
          <w:top w:val="none" w:color="000000" w:sz="4" w:space="0"/>
          <w:left w:val="none" w:color="000000" w:sz="4" w:space="0"/>
          <w:bottom w:val="none" w:color="000000" w:sz="4" w:space="0"/>
          <w:right w:val="none" w:color="000000" w:sz="4" w:space="0"/>
        </w:tcBorders>
      </w:tcPr>
    </w:tblStylePr>
    <w:tblStylePr w:type="lastCol">
      <w:rPr>
        <w:i/>
        <w:color w:val="404040"/>
      </w:rPr>
      <w:tcPr>
        <w:shd w:val="clear" w:color="ffffff" w:fill="auto"/>
        <w:tcBorders>
          <w:top w:val="none" w:color="000000" w:sz="4" w:space="0"/>
          <w:left w:val="none" w:color="000000" w:sz="4" w:space="0"/>
          <w:bottom w:val="none" w:color="000000" w:sz="4" w:space="0"/>
          <w:right w:val="none" w:color="000000" w:sz="4" w:space="0"/>
        </w:tcBorders>
      </w:tcPr>
    </w:tblStylePr>
    <w:tblStylePr w:type="lastRow">
      <w:rPr>
        <w:b/>
        <w:color w:val="404040"/>
      </w:rPr>
      <w:tcPr>
        <w:shd w:val="clear" w:color="ffffff" w:fill="auto"/>
        <w:tcBorders>
          <w:top w:val="none" w:color="000000" w:sz="4" w:space="0"/>
          <w:left w:val="none" w:color="000000" w:sz="4" w:space="0"/>
          <w:bottom w:val="none" w:color="000000" w:sz="4" w:space="0"/>
          <w:right w:val="none" w:color="000000" w:sz="4" w:space="0"/>
        </w:tcBorders>
      </w:tcPr>
    </w:tblStylePr>
  </w:style>
  <w:style w:type="table" w:styleId="1114" w:customStyle="1">
    <w:name w:val="Grid Table 3 - Accent 6"/>
    <w:basedOn w:val="1054"/>
    <w:uiPriority w:val="99"/>
    <w:pPr>
      <w:spacing w:after="0" w:line="240" w:lineRule="auto"/>
    </w:pPr>
    <w:tblPr>
      <w:tblStyleRowBandSize w:val="1"/>
      <w:tblStyleColBandSize w:val="1"/>
      <w:tblInd w:w="0" w:type="dxa"/>
      <w:tblBorders>
        <w:bottom w:val="single" w:color="F79646" w:themeColor="accent6" w:sz="4" w:space="0"/>
        <w:insideH w:val="single" w:color="F79646" w:themeColor="accent6" w:sz="4" w:space="0"/>
        <w:insideV w:val="single" w:color="F79646" w:themeColor="accent6" w:sz="4" w:space="0"/>
      </w:tblBorders>
      <w:tblCellMar>
        <w:left w:w="108" w:type="dxa"/>
        <w:top w:w="0" w:type="dxa"/>
        <w:right w:w="108" w:type="dxa"/>
        <w:bottom w:w="0" w:type="dxa"/>
      </w:tblCellMar>
    </w:tblPr>
    <w:tblStylePr w:type="band1Horz">
      <w:rPr>
        <w:rFonts w:ascii="Arial" w:hAnsi="Arial"/>
        <w:color w:val="404040"/>
        <w:sz w:val="22"/>
      </w:rPr>
      <w:tcPr>
        <w:shd w:val="clear" w:color="fde9d8" w:themeColor="accent6" w:themeTint="34" w:fill="fde9d8" w:themeFill="accent6" w:themeFillTint="34"/>
      </w:tcPr>
    </w:tblStylePr>
    <w:tblStylePr w:type="band1Vert">
      <w:rPr>
        <w:rFonts w:ascii="Arial" w:hAnsi="Arial"/>
        <w:color w:val="404040"/>
        <w:sz w:val="22"/>
      </w:rPr>
      <w:tcPr>
        <w:shd w:val="clear" w:color="fde9d8" w:themeColor="accent6" w:themeTint="34" w:fill="fde9d8" w:themeFill="accent6" w:themeFillTint="34"/>
      </w:tcPr>
    </w:tblStylePr>
    <w:tblStylePr w:type="firstCol">
      <w:rPr>
        <w:i/>
        <w:color w:val="404040"/>
      </w:rPr>
      <w:pPr>
        <w:jc w:val="right"/>
      </w:pPr>
      <w:tcPr>
        <w:shd w:val="clear" w:color="ffffff" w:fill="auto"/>
        <w:tcBorders>
          <w:top w:val="none" w:color="000000" w:sz="4" w:space="0"/>
          <w:left w:val="none" w:color="000000" w:sz="4" w:space="0"/>
          <w:bottom w:val="none" w:color="000000" w:sz="4" w:space="0"/>
          <w:right w:val="none" w:color="000000" w:sz="4" w:space="0"/>
        </w:tcBorders>
      </w:tcPr>
    </w:tblStylePr>
    <w:tblStylePr w:type="firstRow">
      <w:rPr>
        <w:b/>
        <w:color w:val="404040"/>
      </w:rPr>
      <w:tcPr>
        <w:shd w:val="clear" w:color="ffffff" w:fill="auto"/>
        <w:tcBorders>
          <w:top w:val="none" w:color="000000" w:sz="4" w:space="0"/>
          <w:left w:val="none" w:color="000000" w:sz="4" w:space="0"/>
          <w:bottom w:val="none" w:color="000000" w:sz="4" w:space="0"/>
          <w:right w:val="none" w:color="000000" w:sz="4" w:space="0"/>
        </w:tcBorders>
      </w:tcPr>
    </w:tblStylePr>
    <w:tblStylePr w:type="lastCol">
      <w:rPr>
        <w:i/>
        <w:color w:val="404040"/>
      </w:rPr>
      <w:tcPr>
        <w:shd w:val="clear" w:color="ffffff" w:fill="auto"/>
        <w:tcBorders>
          <w:top w:val="none" w:color="000000" w:sz="4" w:space="0"/>
          <w:left w:val="none" w:color="000000" w:sz="4" w:space="0"/>
          <w:bottom w:val="none" w:color="000000" w:sz="4" w:space="0"/>
          <w:right w:val="none" w:color="000000" w:sz="4" w:space="0"/>
        </w:tcBorders>
      </w:tcPr>
    </w:tblStylePr>
    <w:tblStylePr w:type="lastRow">
      <w:rPr>
        <w:b/>
        <w:color w:val="404040"/>
      </w:rPr>
      <w:tcPr>
        <w:shd w:val="clear" w:color="ffffff" w:fill="auto"/>
        <w:tcBorders>
          <w:top w:val="none" w:color="000000" w:sz="4" w:space="0"/>
          <w:left w:val="none" w:color="000000" w:sz="4" w:space="0"/>
          <w:bottom w:val="none" w:color="000000" w:sz="4" w:space="0"/>
          <w:right w:val="none" w:color="000000" w:sz="4" w:space="0"/>
        </w:tcBorders>
      </w:tcPr>
    </w:tblStylePr>
  </w:style>
  <w:style w:type="table" w:styleId="1115" w:customStyle="1">
    <w:name w:val="Grid Table 4"/>
    <w:basedOn w:val="1054"/>
    <w:uiPriority w:val="59"/>
    <w:pPr>
      <w:spacing w:after="0" w:line="240" w:lineRule="auto"/>
    </w:pPr>
    <w:tblPr>
      <w:tblStyleRowBandSize w:val="1"/>
      <w:tblStyleColBandSize w:val="1"/>
      <w:tblInd w:w="0" w:type="dxa"/>
      <w:tblBorders>
        <w:top w:val="single" w:color="6F6F6F" w:themeColor="text1" w:themeTint="90" w:sz="4" w:space="0"/>
        <w:left w:val="single" w:color="6F6F6F" w:themeColor="text1" w:themeTint="90" w:sz="4" w:space="0"/>
        <w:bottom w:val="single" w:color="6F6F6F" w:themeColor="text1" w:themeTint="90" w:sz="4" w:space="0"/>
        <w:right w:val="single" w:color="6F6F6F" w:themeColor="text1" w:themeTint="90" w:sz="4" w:space="0"/>
        <w:insideH w:val="single" w:color="6F6F6F" w:themeColor="text1" w:themeTint="90" w:sz="4" w:space="0"/>
        <w:insideV w:val="single" w:color="6F6F6F" w:themeColor="text1" w:themeTint="90" w:sz="4" w:space="0"/>
      </w:tblBorders>
      <w:tblCellMar>
        <w:left w:w="108" w:type="dxa"/>
        <w:top w:w="0" w:type="dxa"/>
        <w:right w:w="108" w:type="dxa"/>
        <w:bottom w:w="0" w:type="dxa"/>
      </w:tblCellMar>
    </w:tblPr>
    <w:tblStylePr w:type="band1Horz">
      <w:rPr>
        <w:rFonts w:ascii="Arial" w:hAnsi="Arial"/>
        <w:color w:val="404040"/>
        <w:sz w:val="22"/>
      </w:rPr>
      <w:tcPr>
        <w:shd w:val="clear" w:color="cbcbcb" w:themeColor="text1" w:themeTint="34" w:fill="cbcbcb" w:themeFill="text1" w:themeFillTint="34"/>
      </w:tcPr>
    </w:tblStylePr>
    <w:tblStylePr w:type="band1Vert">
      <w:rPr>
        <w:rFonts w:ascii="Arial" w:hAnsi="Arial"/>
        <w:color w:val="404040"/>
        <w:sz w:val="22"/>
      </w:rPr>
      <w:tcPr>
        <w:shd w:val="clear" w:color="cbcbcb" w:themeColor="text1" w:themeTint="34" w:fill="cbcbcb" w:themeFill="text1" w:themeFillTint="34"/>
      </w:tcPr>
    </w:tblStylePr>
    <w:tblStylePr w:type="firstCol">
      <w:rPr>
        <w:b/>
        <w:color w:val="404040"/>
      </w:rPr>
    </w:tblStylePr>
    <w:tblStylePr w:type="firstRow">
      <w:rPr>
        <w:rFonts w:ascii="Arial" w:hAnsi="Arial"/>
        <w:b/>
        <w:color w:val="ffffff"/>
        <w:sz w:val="22"/>
      </w:rPr>
      <w:tcPr>
        <w:shd w:val="clear" w:color="000000" w:themeColor="text1" w:fill="000000" w:themeFill="text1"/>
        <w:tcBorders>
          <w:top w:val="single" w:color="000000" w:themeColor="text1" w:sz="4" w:space="0"/>
          <w:left w:val="single" w:color="000000" w:themeColor="text1" w:sz="4" w:space="0"/>
          <w:bottom w:val="single" w:color="000000" w:themeColor="text1" w:sz="4" w:space="0"/>
          <w:right w:val="single" w:color="000000" w:themeColor="text1" w:sz="4" w:space="0"/>
        </w:tcBorders>
      </w:tcPr>
    </w:tblStylePr>
    <w:tblStylePr w:type="lastCol">
      <w:rPr>
        <w:b/>
        <w:color w:val="404040"/>
      </w:rPr>
    </w:tblStylePr>
    <w:tblStylePr w:type="lastRow">
      <w:rPr>
        <w:b/>
        <w:color w:val="404040"/>
      </w:rPr>
      <w:tcPr>
        <w:tcBorders>
          <w:top w:val="single" w:color="000000" w:themeColor="text1" w:sz="4" w:space="0"/>
        </w:tcBorders>
      </w:tcPr>
    </w:tblStylePr>
  </w:style>
  <w:style w:type="table" w:styleId="1116" w:customStyle="1">
    <w:name w:val="Grid Table 4 - Accent 1"/>
    <w:basedOn w:val="1054"/>
    <w:uiPriority w:val="59"/>
    <w:pPr>
      <w:spacing w:after="0" w:line="240" w:lineRule="auto"/>
    </w:pPr>
    <w:tblPr>
      <w:tblStyleRowBandSize w:val="1"/>
      <w:tblStyleColBandSize w:val="1"/>
      <w:tblInd w:w="0" w:type="dxa"/>
      <w:tblBorders>
        <w:top w:val="single" w:color="9BB7D9" w:themeColor="accent1" w:themeTint="90" w:sz="4" w:space="0"/>
        <w:left w:val="single" w:color="9BB7D9" w:themeColor="accent1" w:themeTint="90" w:sz="4" w:space="0"/>
        <w:bottom w:val="single" w:color="9BB7D9" w:themeColor="accent1" w:themeTint="90" w:sz="4" w:space="0"/>
        <w:right w:val="single" w:color="9BB7D9" w:themeColor="accent1" w:themeTint="90" w:sz="4" w:space="0"/>
        <w:insideH w:val="single" w:color="9BB7D9" w:themeColor="accent1" w:themeTint="90" w:sz="4" w:space="0"/>
        <w:insideV w:val="single" w:color="9BB7D9" w:themeColor="accent1" w:themeTint="90" w:sz="4" w:space="0"/>
      </w:tblBorders>
      <w:tblCellMar>
        <w:left w:w="108" w:type="dxa"/>
        <w:top w:w="0" w:type="dxa"/>
        <w:right w:w="108" w:type="dxa"/>
        <w:bottom w:w="0" w:type="dxa"/>
      </w:tblCellMar>
    </w:tblPr>
    <w:tblStylePr w:type="band1Horz">
      <w:rPr>
        <w:rFonts w:ascii="Arial" w:hAnsi="Arial"/>
        <w:color w:val="404040"/>
        <w:sz w:val="22"/>
      </w:rPr>
      <w:tcPr>
        <w:shd w:val="clear" w:color="dce6f2" w:themeColor="accent1" w:themeTint="32" w:fill="dce6f2" w:themeFill="accent1" w:themeFillTint="32"/>
      </w:tcPr>
    </w:tblStylePr>
    <w:tblStylePr w:type="band1Vert">
      <w:rPr>
        <w:rFonts w:ascii="Arial" w:hAnsi="Arial"/>
        <w:color w:val="404040"/>
        <w:sz w:val="22"/>
      </w:rPr>
      <w:tcPr>
        <w:shd w:val="clear" w:color="dce6f2" w:themeColor="accent1" w:themeTint="32" w:fill="dce6f2" w:themeFill="accent1" w:themeFillTint="32"/>
      </w:tcPr>
    </w:tblStylePr>
    <w:tblStylePr w:type="firstCol">
      <w:rPr>
        <w:b/>
        <w:color w:val="404040"/>
      </w:rPr>
    </w:tblStylePr>
    <w:tblStylePr w:type="firstRow">
      <w:rPr>
        <w:rFonts w:ascii="Arial" w:hAnsi="Arial"/>
        <w:b/>
        <w:color w:val="ffffff"/>
        <w:sz w:val="22"/>
      </w:rPr>
      <w:tcPr>
        <w:shd w:val="clear" w:color="5d8ac2" w:themeColor="accent1" w:themeTint="EA" w:fill="5d8ac2" w:themeFill="accent1" w:themeFillTint="EA"/>
        <w:tcBorders>
          <w:top w:val="single" w:color="5D8AC2" w:themeColor="accent1" w:themeTint="EA" w:sz="4" w:space="0"/>
          <w:left w:val="single" w:color="5D8AC2" w:themeColor="accent1" w:themeTint="EA" w:sz="4" w:space="0"/>
          <w:bottom w:val="single" w:color="5D8AC2" w:themeColor="accent1" w:themeTint="EA" w:sz="4" w:space="0"/>
          <w:right w:val="single" w:color="5D8AC2" w:themeColor="accent1" w:themeTint="EA" w:sz="4" w:space="0"/>
        </w:tcBorders>
      </w:tcPr>
    </w:tblStylePr>
    <w:tblStylePr w:type="lastCol">
      <w:rPr>
        <w:b/>
        <w:color w:val="404040"/>
      </w:rPr>
    </w:tblStylePr>
    <w:tblStylePr w:type="lastRow">
      <w:rPr>
        <w:b/>
        <w:color w:val="404040"/>
      </w:rPr>
      <w:tcPr>
        <w:tcBorders>
          <w:top w:val="single" w:color="5D8AC2" w:themeColor="accent1" w:themeTint="EA" w:sz="4" w:space="0"/>
        </w:tcBorders>
      </w:tcPr>
    </w:tblStylePr>
  </w:style>
  <w:style w:type="table" w:styleId="1117" w:customStyle="1">
    <w:name w:val="Grid Table 4 - Accent 2"/>
    <w:basedOn w:val="1054"/>
    <w:uiPriority w:val="59"/>
    <w:pPr>
      <w:spacing w:after="0" w:line="240" w:lineRule="auto"/>
    </w:pPr>
    <w:tblPr>
      <w:tblStyleRowBandSize w:val="1"/>
      <w:tblStyleColBandSize w:val="1"/>
      <w:tblInd w:w="0" w:type="dxa"/>
      <w:tblBorders>
        <w:top w:val="single" w:color="DB9B9A" w:themeColor="accent2" w:themeTint="90" w:sz="4" w:space="0"/>
        <w:left w:val="single" w:color="DB9B9A" w:themeColor="accent2" w:themeTint="90" w:sz="4" w:space="0"/>
        <w:bottom w:val="single" w:color="DB9B9A" w:themeColor="accent2" w:themeTint="90" w:sz="4" w:space="0"/>
        <w:right w:val="single" w:color="DB9B9A" w:themeColor="accent2" w:themeTint="90" w:sz="4" w:space="0"/>
        <w:insideH w:val="single" w:color="DB9B9A" w:themeColor="accent2" w:themeTint="90" w:sz="4" w:space="0"/>
        <w:insideV w:val="single" w:color="DB9B9A" w:themeColor="accent2" w:themeTint="90" w:sz="4" w:space="0"/>
      </w:tblBorders>
      <w:tblCellMar>
        <w:left w:w="108" w:type="dxa"/>
        <w:top w:w="0" w:type="dxa"/>
        <w:right w:w="108" w:type="dxa"/>
        <w:bottom w:w="0" w:type="dxa"/>
      </w:tblCellMar>
    </w:tblPr>
    <w:tblStylePr w:type="band1Horz">
      <w:rPr>
        <w:rFonts w:ascii="Arial" w:hAnsi="Arial"/>
        <w:color w:val="404040"/>
        <w:sz w:val="22"/>
      </w:rPr>
      <w:tcPr>
        <w:shd w:val="clear" w:color="f2dcdc" w:themeColor="accent2" w:themeTint="32" w:fill="f2dcdc" w:themeFill="accent2" w:themeFillTint="32"/>
      </w:tcPr>
    </w:tblStylePr>
    <w:tblStylePr w:type="band1Vert">
      <w:rPr>
        <w:rFonts w:ascii="Arial" w:hAnsi="Arial"/>
        <w:color w:val="404040"/>
        <w:sz w:val="22"/>
      </w:rPr>
      <w:tcPr>
        <w:shd w:val="clear" w:color="f2dcdc" w:themeColor="accent2" w:themeTint="32" w:fill="f2dcdc" w:themeFill="accent2" w:themeFillTint="32"/>
      </w:tcPr>
    </w:tblStylePr>
    <w:tblStylePr w:type="firstCol">
      <w:rPr>
        <w:b/>
        <w:color w:val="404040"/>
      </w:rPr>
    </w:tblStylePr>
    <w:tblStylePr w:type="firstRow">
      <w:rPr>
        <w:rFonts w:ascii="Arial" w:hAnsi="Arial"/>
        <w:b/>
        <w:color w:val="ffffff"/>
        <w:sz w:val="22"/>
      </w:rPr>
      <w:tcPr>
        <w:shd w:val="clear" w:color="d99695" w:themeColor="accent2" w:themeTint="97" w:fill="d99695" w:themeFill="accent2" w:themeFillTint="97"/>
        <w:tcBorders>
          <w:top w:val="single" w:color="D99695" w:themeColor="accent2" w:themeTint="97" w:sz="4" w:space="0"/>
          <w:left w:val="single" w:color="D99695" w:themeColor="accent2" w:themeTint="97" w:sz="4" w:space="0"/>
          <w:bottom w:val="single" w:color="D99695" w:themeColor="accent2" w:themeTint="97" w:sz="4" w:space="0"/>
          <w:right w:val="single" w:color="D99695" w:themeColor="accent2" w:themeTint="97" w:sz="4" w:space="0"/>
        </w:tcBorders>
      </w:tcPr>
    </w:tblStylePr>
    <w:tblStylePr w:type="lastCol">
      <w:rPr>
        <w:b/>
        <w:color w:val="404040"/>
      </w:rPr>
    </w:tblStylePr>
    <w:tblStylePr w:type="lastRow">
      <w:rPr>
        <w:b/>
        <w:color w:val="404040"/>
      </w:rPr>
      <w:tcPr>
        <w:tcBorders>
          <w:top w:val="single" w:color="D99695" w:themeColor="accent2" w:themeTint="97" w:sz="4" w:space="0"/>
        </w:tcBorders>
      </w:tcPr>
    </w:tblStylePr>
  </w:style>
  <w:style w:type="table" w:styleId="1118" w:customStyle="1">
    <w:name w:val="Grid Table 4 - Accent 3"/>
    <w:basedOn w:val="1054"/>
    <w:uiPriority w:val="59"/>
    <w:pPr>
      <w:spacing w:after="0" w:line="240" w:lineRule="auto"/>
    </w:pPr>
    <w:tblPr>
      <w:tblStyleRowBandSize w:val="1"/>
      <w:tblStyleColBandSize w:val="1"/>
      <w:tblInd w:w="0" w:type="dxa"/>
      <w:tblBorders>
        <w:top w:val="single" w:color="C6D8A1" w:themeColor="accent3" w:themeTint="90" w:sz="4" w:space="0"/>
        <w:left w:val="single" w:color="C6D8A1" w:themeColor="accent3" w:themeTint="90" w:sz="4" w:space="0"/>
        <w:bottom w:val="single" w:color="C6D8A1" w:themeColor="accent3" w:themeTint="90" w:sz="4" w:space="0"/>
        <w:right w:val="single" w:color="C6D8A1" w:themeColor="accent3" w:themeTint="90" w:sz="4" w:space="0"/>
        <w:insideH w:val="single" w:color="C6D8A1" w:themeColor="accent3" w:themeTint="90" w:sz="4" w:space="0"/>
        <w:insideV w:val="single" w:color="C6D8A1" w:themeColor="accent3" w:themeTint="90" w:sz="4" w:space="0"/>
      </w:tblBorders>
      <w:tblCellMar>
        <w:left w:w="108" w:type="dxa"/>
        <w:top w:w="0" w:type="dxa"/>
        <w:right w:w="108" w:type="dxa"/>
        <w:bottom w:w="0" w:type="dxa"/>
      </w:tblCellMar>
    </w:tblPr>
    <w:tblStylePr w:type="band1Horz">
      <w:rPr>
        <w:rFonts w:ascii="Arial" w:hAnsi="Arial"/>
        <w:color w:val="404040"/>
        <w:sz w:val="22"/>
      </w:rPr>
      <w:tcPr>
        <w:shd w:val="clear" w:color="eaf1dc" w:themeColor="accent3" w:themeTint="34" w:fill="eaf1dc" w:themeFill="accent3" w:themeFillTint="34"/>
      </w:tcPr>
    </w:tblStylePr>
    <w:tblStylePr w:type="band1Vert">
      <w:rPr>
        <w:rFonts w:ascii="Arial" w:hAnsi="Arial"/>
        <w:color w:val="404040"/>
        <w:sz w:val="22"/>
      </w:rPr>
      <w:tcPr>
        <w:shd w:val="clear" w:color="eaf1dc" w:themeColor="accent3" w:themeTint="34" w:fill="eaf1dc" w:themeFill="accent3" w:themeFillTint="34"/>
      </w:tcPr>
    </w:tblStylePr>
    <w:tblStylePr w:type="firstCol">
      <w:rPr>
        <w:b/>
        <w:color w:val="404040"/>
      </w:rPr>
    </w:tblStylePr>
    <w:tblStylePr w:type="firstRow">
      <w:rPr>
        <w:rFonts w:ascii="Arial" w:hAnsi="Arial"/>
        <w:b/>
        <w:color w:val="ffffff"/>
        <w:sz w:val="22"/>
      </w:rPr>
      <w:tcPr>
        <w:shd w:val="clear" w:color="9abb59" w:themeColor="accent3" w:themeTint="FE" w:fill="9abb59" w:themeFill="accent3" w:themeFillTint="FE"/>
        <w:tcBorders>
          <w:top w:val="single" w:color="9ABB59" w:themeColor="accent3" w:themeTint="FE" w:sz="4" w:space="0"/>
          <w:left w:val="single" w:color="9ABB59" w:themeColor="accent3" w:themeTint="FE" w:sz="4" w:space="0"/>
          <w:bottom w:val="single" w:color="9ABB59" w:themeColor="accent3" w:themeTint="FE" w:sz="4" w:space="0"/>
          <w:right w:val="single" w:color="9ABB59" w:themeColor="accent3" w:themeTint="FE" w:sz="4" w:space="0"/>
        </w:tcBorders>
      </w:tcPr>
    </w:tblStylePr>
    <w:tblStylePr w:type="lastCol">
      <w:rPr>
        <w:b/>
        <w:color w:val="404040"/>
      </w:rPr>
    </w:tblStylePr>
    <w:tblStylePr w:type="lastRow">
      <w:rPr>
        <w:b/>
        <w:color w:val="404040"/>
      </w:rPr>
      <w:tcPr>
        <w:tcBorders>
          <w:top w:val="single" w:color="9ABB59" w:themeColor="accent3" w:themeTint="FE" w:sz="4" w:space="0"/>
        </w:tcBorders>
      </w:tcPr>
    </w:tblStylePr>
  </w:style>
  <w:style w:type="table" w:styleId="1119" w:customStyle="1">
    <w:name w:val="Grid Table 4 - Accent 4"/>
    <w:basedOn w:val="1054"/>
    <w:uiPriority w:val="59"/>
    <w:pPr>
      <w:spacing w:after="0" w:line="240" w:lineRule="auto"/>
    </w:pPr>
    <w:tblPr>
      <w:tblStyleRowBandSize w:val="1"/>
      <w:tblStyleColBandSize w:val="1"/>
      <w:tblInd w:w="0" w:type="dxa"/>
      <w:tblBorders>
        <w:top w:val="single" w:color="B7A7CA" w:themeColor="accent4" w:themeTint="90" w:sz="4" w:space="0"/>
        <w:left w:val="single" w:color="B7A7CA" w:themeColor="accent4" w:themeTint="90" w:sz="4" w:space="0"/>
        <w:bottom w:val="single" w:color="B7A7CA" w:themeColor="accent4" w:themeTint="90" w:sz="4" w:space="0"/>
        <w:right w:val="single" w:color="B7A7CA" w:themeColor="accent4" w:themeTint="90" w:sz="4" w:space="0"/>
        <w:insideH w:val="single" w:color="B7A7CA" w:themeColor="accent4" w:themeTint="90" w:sz="4" w:space="0"/>
        <w:insideV w:val="single" w:color="B7A7CA" w:themeColor="accent4" w:themeTint="90" w:sz="4" w:space="0"/>
      </w:tblBorders>
      <w:tblCellMar>
        <w:left w:w="108" w:type="dxa"/>
        <w:top w:w="0" w:type="dxa"/>
        <w:right w:w="108" w:type="dxa"/>
        <w:bottom w:w="0" w:type="dxa"/>
      </w:tblCellMar>
    </w:tblPr>
    <w:tblStylePr w:type="band1Horz">
      <w:rPr>
        <w:rFonts w:ascii="Arial" w:hAnsi="Arial"/>
        <w:color w:val="404040"/>
        <w:sz w:val="22"/>
      </w:rPr>
      <w:tcPr>
        <w:shd w:val="clear" w:color="e5dfec" w:themeColor="accent4" w:themeTint="34" w:fill="e5dfec" w:themeFill="accent4" w:themeFillTint="34"/>
      </w:tcPr>
    </w:tblStylePr>
    <w:tblStylePr w:type="band1Vert">
      <w:rPr>
        <w:rFonts w:ascii="Arial" w:hAnsi="Arial"/>
        <w:color w:val="404040"/>
        <w:sz w:val="22"/>
      </w:rPr>
      <w:tcPr>
        <w:shd w:val="clear" w:color="e5dfec" w:themeColor="accent4" w:themeTint="34" w:fill="e5dfec" w:themeFill="accent4" w:themeFillTint="34"/>
      </w:tcPr>
    </w:tblStylePr>
    <w:tblStylePr w:type="firstCol">
      <w:rPr>
        <w:b/>
        <w:color w:val="404040"/>
      </w:rPr>
    </w:tblStylePr>
    <w:tblStylePr w:type="firstRow">
      <w:rPr>
        <w:rFonts w:ascii="Arial" w:hAnsi="Arial"/>
        <w:b/>
        <w:color w:val="ffffff"/>
        <w:sz w:val="22"/>
      </w:rPr>
      <w:tcPr>
        <w:shd w:val="clear" w:color="b2a1c6" w:themeColor="accent4" w:themeTint="9A" w:fill="b2a1c6" w:themeFill="accent4" w:themeFillTint="9A"/>
        <w:tcBorders>
          <w:top w:val="single" w:color="B2A1C6" w:themeColor="accent4" w:themeTint="9A" w:sz="4" w:space="0"/>
          <w:left w:val="single" w:color="B2A1C6" w:themeColor="accent4" w:themeTint="9A" w:sz="4" w:space="0"/>
          <w:bottom w:val="single" w:color="B2A1C6" w:themeColor="accent4" w:themeTint="9A" w:sz="4" w:space="0"/>
          <w:right w:val="single" w:color="B2A1C6" w:themeColor="accent4" w:themeTint="9A" w:sz="4" w:space="0"/>
        </w:tcBorders>
      </w:tcPr>
    </w:tblStylePr>
    <w:tblStylePr w:type="lastCol">
      <w:rPr>
        <w:b/>
        <w:color w:val="404040"/>
      </w:rPr>
    </w:tblStylePr>
    <w:tblStylePr w:type="lastRow">
      <w:rPr>
        <w:b/>
        <w:color w:val="404040"/>
      </w:rPr>
      <w:tcPr>
        <w:tcBorders>
          <w:top w:val="single" w:color="B2A1C6" w:themeColor="accent4" w:themeTint="9A" w:sz="4" w:space="0"/>
        </w:tcBorders>
      </w:tcPr>
    </w:tblStylePr>
  </w:style>
  <w:style w:type="table" w:styleId="1120" w:customStyle="1">
    <w:name w:val="Grid Table 4 - Accent 5"/>
    <w:basedOn w:val="1054"/>
    <w:uiPriority w:val="59"/>
    <w:pPr>
      <w:spacing w:after="0" w:line="240" w:lineRule="auto"/>
    </w:pPr>
    <w:tblPr>
      <w:tblStyleRowBandSize w:val="1"/>
      <w:tblStyleColBandSize w:val="1"/>
      <w:tblInd w:w="0" w:type="dxa"/>
      <w:tblBorders>
        <w:top w:val="single" w:color="99D0DE" w:themeColor="accent5" w:themeTint="90" w:sz="4" w:space="0"/>
        <w:left w:val="single" w:color="99D0DE" w:themeColor="accent5" w:themeTint="90" w:sz="4" w:space="0"/>
        <w:bottom w:val="single" w:color="99D0DE" w:themeColor="accent5" w:themeTint="90" w:sz="4" w:space="0"/>
        <w:right w:val="single" w:color="99D0DE" w:themeColor="accent5" w:themeTint="90" w:sz="4" w:space="0"/>
        <w:insideH w:val="single" w:color="99D0DE" w:themeColor="accent5" w:themeTint="90" w:sz="4" w:space="0"/>
        <w:insideV w:val="single" w:color="99D0DE" w:themeColor="accent5" w:themeTint="90" w:sz="4" w:space="0"/>
      </w:tblBorders>
      <w:tblCellMar>
        <w:left w:w="108" w:type="dxa"/>
        <w:top w:w="0" w:type="dxa"/>
        <w:right w:w="108" w:type="dxa"/>
        <w:bottom w:w="0" w:type="dxa"/>
      </w:tblCellMar>
    </w:tblPr>
    <w:tblStylePr w:type="band1Horz">
      <w:rPr>
        <w:rFonts w:ascii="Arial" w:hAnsi="Arial"/>
        <w:color w:val="404040"/>
        <w:sz w:val="22"/>
      </w:rPr>
      <w:tcPr>
        <w:shd w:val="clear" w:color="daeef3" w:themeColor="accent5" w:themeTint="34" w:fill="daeef3" w:themeFill="accent5" w:themeFillTint="34"/>
      </w:tcPr>
    </w:tblStylePr>
    <w:tblStylePr w:type="band1Vert">
      <w:rPr>
        <w:rFonts w:ascii="Arial" w:hAnsi="Arial"/>
        <w:color w:val="404040"/>
        <w:sz w:val="22"/>
      </w:rPr>
      <w:tcPr>
        <w:shd w:val="clear" w:color="daeef3" w:themeColor="accent5" w:themeTint="34" w:fill="daeef3" w:themeFill="accent5" w:themeFillTint="34"/>
      </w:tcPr>
    </w:tblStylePr>
    <w:tblStylePr w:type="firstCol">
      <w:rPr>
        <w:b/>
        <w:color w:val="404040"/>
      </w:rPr>
    </w:tblStylePr>
    <w:tblStylePr w:type="firstRow">
      <w:rPr>
        <w:rFonts w:ascii="Arial" w:hAnsi="Arial"/>
        <w:b/>
        <w:color w:val="ffffff"/>
        <w:sz w:val="22"/>
      </w:rPr>
      <w:tcPr>
        <w:shd w:val="clear" w:color="4bacc6" w:themeColor="accent5" w:fill="4bacc6" w:themeFill="accent5"/>
        <w:tcBorders>
          <w:top w:val="single" w:color="4BACC6" w:themeColor="accent5" w:sz="4" w:space="0"/>
          <w:left w:val="single" w:color="4BACC6" w:themeColor="accent5" w:sz="4" w:space="0"/>
          <w:bottom w:val="single" w:color="4BACC6" w:themeColor="accent5" w:sz="4" w:space="0"/>
          <w:right w:val="single" w:color="4BACC6" w:themeColor="accent5" w:sz="4" w:space="0"/>
        </w:tcBorders>
      </w:tcPr>
    </w:tblStylePr>
    <w:tblStylePr w:type="lastCol">
      <w:rPr>
        <w:b/>
        <w:color w:val="404040"/>
      </w:rPr>
    </w:tblStylePr>
    <w:tblStylePr w:type="lastRow">
      <w:rPr>
        <w:b/>
        <w:color w:val="404040"/>
      </w:rPr>
      <w:tcPr>
        <w:tcBorders>
          <w:top w:val="single" w:color="4BACC6" w:themeColor="accent5" w:sz="4" w:space="0"/>
        </w:tcBorders>
      </w:tcPr>
    </w:tblStylePr>
  </w:style>
  <w:style w:type="table" w:styleId="1121" w:customStyle="1">
    <w:name w:val="Grid Table 4 - Accent 6"/>
    <w:basedOn w:val="1054"/>
    <w:uiPriority w:val="59"/>
    <w:pPr>
      <w:spacing w:after="0" w:line="240" w:lineRule="auto"/>
    </w:pPr>
    <w:tblPr>
      <w:tblStyleRowBandSize w:val="1"/>
      <w:tblStyleColBandSize w:val="1"/>
      <w:tblInd w:w="0" w:type="dxa"/>
      <w:tblBorders>
        <w:top w:val="single" w:color="FAC396" w:themeColor="accent6" w:themeTint="90" w:sz="4" w:space="0"/>
        <w:left w:val="single" w:color="FAC396" w:themeColor="accent6" w:themeTint="90" w:sz="4" w:space="0"/>
        <w:bottom w:val="single" w:color="FAC396" w:themeColor="accent6" w:themeTint="90" w:sz="4" w:space="0"/>
        <w:right w:val="single" w:color="FAC396" w:themeColor="accent6" w:themeTint="90" w:sz="4" w:space="0"/>
        <w:insideH w:val="single" w:color="FAC396" w:themeColor="accent6" w:themeTint="90" w:sz="4" w:space="0"/>
        <w:insideV w:val="single" w:color="FAC396" w:themeColor="accent6" w:themeTint="90" w:sz="4" w:space="0"/>
      </w:tblBorders>
      <w:tblCellMar>
        <w:left w:w="108" w:type="dxa"/>
        <w:top w:w="0" w:type="dxa"/>
        <w:right w:w="108" w:type="dxa"/>
        <w:bottom w:w="0" w:type="dxa"/>
      </w:tblCellMar>
    </w:tblPr>
    <w:tblStylePr w:type="band1Horz">
      <w:rPr>
        <w:rFonts w:ascii="Arial" w:hAnsi="Arial"/>
        <w:color w:val="404040"/>
        <w:sz w:val="22"/>
      </w:rPr>
      <w:tcPr>
        <w:shd w:val="clear" w:color="fde9d8" w:themeColor="accent6" w:themeTint="34" w:fill="fde9d8" w:themeFill="accent6" w:themeFillTint="34"/>
      </w:tcPr>
    </w:tblStylePr>
    <w:tblStylePr w:type="band1Vert">
      <w:rPr>
        <w:rFonts w:ascii="Arial" w:hAnsi="Arial"/>
        <w:color w:val="404040"/>
        <w:sz w:val="22"/>
      </w:rPr>
      <w:tcPr>
        <w:shd w:val="clear" w:color="fde9d8" w:themeColor="accent6" w:themeTint="34" w:fill="fde9d8" w:themeFill="accent6" w:themeFillTint="34"/>
      </w:tcPr>
    </w:tblStylePr>
    <w:tblStylePr w:type="firstCol">
      <w:rPr>
        <w:b/>
        <w:color w:val="404040"/>
      </w:rPr>
    </w:tblStylePr>
    <w:tblStylePr w:type="firstRow">
      <w:rPr>
        <w:rFonts w:ascii="Arial" w:hAnsi="Arial"/>
        <w:b/>
        <w:color w:val="ffffff"/>
        <w:sz w:val="22"/>
      </w:rPr>
      <w:tcPr>
        <w:shd w:val="clear" w:color="f79646" w:themeColor="accent6" w:fill="f79646" w:themeFill="accent6"/>
        <w:tcBorders>
          <w:top w:val="single" w:color="F79646" w:themeColor="accent6" w:sz="4" w:space="0"/>
          <w:left w:val="single" w:color="F79646" w:themeColor="accent6" w:sz="4" w:space="0"/>
          <w:bottom w:val="single" w:color="F79646" w:themeColor="accent6" w:sz="4" w:space="0"/>
          <w:right w:val="single" w:color="F79646" w:themeColor="accent6" w:sz="4" w:space="0"/>
        </w:tcBorders>
      </w:tcPr>
    </w:tblStylePr>
    <w:tblStylePr w:type="lastCol">
      <w:rPr>
        <w:b/>
        <w:color w:val="404040"/>
      </w:rPr>
    </w:tblStylePr>
    <w:tblStylePr w:type="lastRow">
      <w:rPr>
        <w:b/>
        <w:color w:val="404040"/>
      </w:rPr>
      <w:tcPr>
        <w:tcBorders>
          <w:top w:val="single" w:color="F79646" w:themeColor="accent6" w:sz="4" w:space="0"/>
        </w:tcBorders>
      </w:tcPr>
    </w:tblStylePr>
  </w:style>
  <w:style w:type="table" w:styleId="1122" w:customStyle="1">
    <w:name w:val="Grid Table 5 Dark"/>
    <w:basedOn w:val="1054"/>
    <w:uiPriority w:val="99"/>
    <w:pPr>
      <w:spacing w:after="0" w:line="240" w:lineRule="auto"/>
    </w:pPr>
    <w:tblPr>
      <w:tblStyleRowBandSize w:val="1"/>
      <w:tblStyleColBandSize w:val="1"/>
      <w:tblInd w:w="0" w:type="dxa"/>
      <w:tblBorders>
        <w:top w:val="single" w:color="FFFFFF" w:themeColor="light1" w:sz="4" w:space="0"/>
        <w:left w:val="single" w:color="FFFFFF" w:themeColor="light1" w:sz="4" w:space="0"/>
        <w:bottom w:val="single" w:color="FFFFFF" w:themeColor="light1" w:sz="4" w:space="0"/>
        <w:right w:val="single" w:color="FFFFFF" w:themeColor="light1" w:sz="4" w:space="0"/>
        <w:insideH w:val="single" w:color="FFFFFF" w:themeColor="light1" w:sz="4" w:space="0"/>
        <w:insideV w:val="single" w:color="FFFFFF" w:themeColor="light1" w:sz="4" w:space="0"/>
      </w:tblBorders>
      <w:shd w:val="clear" w:color="bfbfbf" w:themeColor="text1" w:themeTint="40" w:fill="bfbfbf" w:themeFill="text1" w:themeFillTint="40"/>
      <w:tblCellMar>
        <w:left w:w="108" w:type="dxa"/>
        <w:top w:w="0" w:type="dxa"/>
        <w:right w:w="108" w:type="dxa"/>
        <w:bottom w:w="0" w:type="dxa"/>
      </w:tblCellMar>
    </w:tblPr>
    <w:tblStylePr w:type="band1Horz">
      <w:tcPr>
        <w:shd w:val="clear" w:color="8a8a8a" w:themeColor="text1" w:themeTint="75" w:fill="8a8a8a" w:themeFill="text1" w:themeFillTint="75"/>
      </w:tcPr>
    </w:tblStylePr>
    <w:tblStylePr w:type="band1Vert">
      <w:tcPr>
        <w:shd w:val="clear" w:color="8a8a8a" w:themeColor="text1" w:themeTint="75" w:fill="8a8a8a" w:themeFill="text1" w:themeFillTint="75"/>
      </w:tcPr>
    </w:tblStylePr>
    <w:tblStylePr w:type="firstCol">
      <w:rPr>
        <w:rFonts w:ascii="Arial" w:hAnsi="Arial"/>
        <w:b/>
        <w:color w:val="ffffff"/>
        <w:sz w:val="22"/>
      </w:rPr>
      <w:tcPr>
        <w:shd w:val="clear" w:color="000000" w:themeColor="text1" w:fill="000000" w:themeFill="text1"/>
      </w:tcPr>
    </w:tblStylePr>
    <w:tblStylePr w:type="firstRow">
      <w:rPr>
        <w:rFonts w:ascii="Arial" w:hAnsi="Arial"/>
        <w:b/>
        <w:color w:val="ffffff"/>
        <w:sz w:val="22"/>
      </w:rPr>
      <w:tcPr>
        <w:shd w:val="clear" w:color="000000" w:themeColor="text1" w:fill="000000" w:themeFill="text1"/>
      </w:tcPr>
    </w:tblStylePr>
    <w:tblStylePr w:type="lastCol">
      <w:rPr>
        <w:rFonts w:ascii="Arial" w:hAnsi="Arial"/>
        <w:b/>
        <w:color w:val="ffffff"/>
        <w:sz w:val="22"/>
      </w:rPr>
      <w:tcPr>
        <w:shd w:val="clear" w:color="000000" w:themeColor="text1" w:fill="000000" w:themeFill="text1"/>
      </w:tcPr>
    </w:tblStylePr>
    <w:tblStylePr w:type="lastRow">
      <w:rPr>
        <w:rFonts w:ascii="Arial" w:hAnsi="Arial"/>
        <w:b/>
        <w:color w:val="ffffff"/>
        <w:sz w:val="22"/>
      </w:rPr>
      <w:tcPr>
        <w:shd w:val="clear" w:color="000000" w:themeColor="text1" w:fill="000000" w:themeFill="text1"/>
        <w:tcBorders>
          <w:top w:val="single" w:color="FFFFFF" w:themeColor="light1" w:sz="4" w:space="0"/>
        </w:tcBorders>
      </w:tcPr>
    </w:tblStylePr>
  </w:style>
  <w:style w:type="table" w:styleId="1123" w:customStyle="1">
    <w:name w:val="Grid Table 5 Dark- Accent 1"/>
    <w:basedOn w:val="1054"/>
    <w:uiPriority w:val="99"/>
    <w:pPr>
      <w:spacing w:after="0" w:line="240" w:lineRule="auto"/>
    </w:pPr>
    <w:tblPr>
      <w:tblStyleRowBandSize w:val="1"/>
      <w:tblStyleColBandSize w:val="1"/>
      <w:tblInd w:w="0" w:type="dxa"/>
      <w:tblBorders>
        <w:top w:val="single" w:color="FFFFFF" w:themeColor="light1" w:sz="4" w:space="0"/>
        <w:left w:val="single" w:color="FFFFFF" w:themeColor="light1" w:sz="4" w:space="0"/>
        <w:bottom w:val="single" w:color="FFFFFF" w:themeColor="light1" w:sz="4" w:space="0"/>
        <w:right w:val="single" w:color="FFFFFF" w:themeColor="light1" w:sz="4" w:space="0"/>
        <w:insideH w:val="single" w:color="FFFFFF" w:themeColor="light1" w:sz="4" w:space="0"/>
        <w:insideV w:val="single" w:color="FFFFFF" w:themeColor="light1" w:sz="4" w:space="0"/>
      </w:tblBorders>
      <w:shd w:val="clear" w:color="dae5f1" w:themeColor="accent1" w:themeTint="34" w:fill="dae5f1" w:themeFill="accent1" w:themeFillTint="34"/>
      <w:tblCellMar>
        <w:left w:w="108" w:type="dxa"/>
        <w:top w:w="0" w:type="dxa"/>
        <w:right w:w="108" w:type="dxa"/>
        <w:bottom w:w="0" w:type="dxa"/>
      </w:tblCellMar>
    </w:tblPr>
    <w:tblStylePr w:type="band1Horz">
      <w:tcPr>
        <w:shd w:val="clear" w:color="aec4e0" w:themeColor="accent1" w:themeTint="75" w:fill="aec4e0" w:themeFill="accent1" w:themeFillTint="75"/>
      </w:tcPr>
    </w:tblStylePr>
    <w:tblStylePr w:type="band1Vert">
      <w:tcPr>
        <w:shd w:val="clear" w:color="aec4e0" w:themeColor="accent1" w:themeTint="75" w:fill="aec4e0" w:themeFill="accent1" w:themeFillTint="75"/>
      </w:tcPr>
    </w:tblStylePr>
    <w:tblStylePr w:type="firstCol">
      <w:rPr>
        <w:rFonts w:ascii="Arial" w:hAnsi="Arial"/>
        <w:b/>
        <w:color w:val="ffffff"/>
        <w:sz w:val="22"/>
      </w:rPr>
      <w:tcPr>
        <w:shd w:val="clear" w:color="4f81bd" w:themeColor="accent1" w:fill="4f81bd" w:themeFill="accent1"/>
      </w:tcPr>
    </w:tblStylePr>
    <w:tblStylePr w:type="firstRow">
      <w:rPr>
        <w:rFonts w:ascii="Arial" w:hAnsi="Arial"/>
        <w:b/>
        <w:color w:val="ffffff"/>
        <w:sz w:val="22"/>
      </w:rPr>
      <w:tcPr>
        <w:shd w:val="clear" w:color="4f81bd" w:themeColor="accent1" w:fill="4f81bd" w:themeFill="accent1"/>
      </w:tcPr>
    </w:tblStylePr>
    <w:tblStylePr w:type="lastCol">
      <w:rPr>
        <w:rFonts w:ascii="Arial" w:hAnsi="Arial"/>
        <w:b/>
        <w:color w:val="ffffff"/>
        <w:sz w:val="22"/>
      </w:rPr>
      <w:tcPr>
        <w:shd w:val="clear" w:color="4f81bd" w:themeColor="accent1" w:fill="4f81bd" w:themeFill="accent1"/>
      </w:tcPr>
    </w:tblStylePr>
    <w:tblStylePr w:type="lastRow">
      <w:rPr>
        <w:rFonts w:ascii="Arial" w:hAnsi="Arial"/>
        <w:b/>
        <w:color w:val="ffffff"/>
        <w:sz w:val="22"/>
      </w:rPr>
      <w:tcPr>
        <w:shd w:val="clear" w:color="4f81bd" w:themeColor="accent1" w:fill="4f81bd" w:themeFill="accent1"/>
        <w:tcBorders>
          <w:top w:val="single" w:color="FFFFFF" w:themeColor="light1" w:sz="4" w:space="0"/>
        </w:tcBorders>
      </w:tcPr>
    </w:tblStylePr>
  </w:style>
  <w:style w:type="table" w:styleId="1124" w:customStyle="1">
    <w:name w:val="Grid Table 5 Dark - Accent 2"/>
    <w:basedOn w:val="1054"/>
    <w:uiPriority w:val="99"/>
    <w:pPr>
      <w:spacing w:after="0" w:line="240" w:lineRule="auto"/>
    </w:pPr>
    <w:tblPr>
      <w:tblStyleRowBandSize w:val="1"/>
      <w:tblStyleColBandSize w:val="1"/>
      <w:tblInd w:w="0" w:type="dxa"/>
      <w:tblBorders>
        <w:top w:val="single" w:color="FFFFFF" w:themeColor="light1" w:sz="4" w:space="0"/>
        <w:left w:val="single" w:color="FFFFFF" w:themeColor="light1" w:sz="4" w:space="0"/>
        <w:bottom w:val="single" w:color="FFFFFF" w:themeColor="light1" w:sz="4" w:space="0"/>
        <w:right w:val="single" w:color="FFFFFF" w:themeColor="light1" w:sz="4" w:space="0"/>
        <w:insideH w:val="single" w:color="FFFFFF" w:themeColor="light1" w:sz="4" w:space="0"/>
        <w:insideV w:val="single" w:color="FFFFFF" w:themeColor="light1" w:sz="4" w:space="0"/>
      </w:tblBorders>
      <w:shd w:val="clear" w:color="f2dcdc" w:themeColor="accent2" w:themeTint="32" w:fill="f2dcdc" w:themeFill="accent2" w:themeFillTint="32"/>
      <w:tblCellMar>
        <w:left w:w="108" w:type="dxa"/>
        <w:top w:w="0" w:type="dxa"/>
        <w:right w:w="108" w:type="dxa"/>
        <w:bottom w:w="0" w:type="dxa"/>
      </w:tblCellMar>
    </w:tblPr>
    <w:tblStylePr w:type="band1Horz">
      <w:tcPr>
        <w:shd w:val="clear" w:color="e2aead" w:themeColor="accent2" w:themeTint="75" w:fill="e2aead" w:themeFill="accent2" w:themeFillTint="75"/>
      </w:tcPr>
    </w:tblStylePr>
    <w:tblStylePr w:type="band1Vert">
      <w:tcPr>
        <w:shd w:val="clear" w:color="e2aead" w:themeColor="accent2" w:themeTint="75" w:fill="e2aead" w:themeFill="accent2" w:themeFillTint="75"/>
      </w:tcPr>
    </w:tblStylePr>
    <w:tblStylePr w:type="firstCol">
      <w:rPr>
        <w:rFonts w:ascii="Arial" w:hAnsi="Arial"/>
        <w:b/>
        <w:color w:val="ffffff"/>
        <w:sz w:val="22"/>
      </w:rPr>
      <w:tcPr>
        <w:shd w:val="clear" w:color="c0504d" w:themeColor="accent2" w:fill="c0504d" w:themeFill="accent2"/>
      </w:tcPr>
    </w:tblStylePr>
    <w:tblStylePr w:type="firstRow">
      <w:rPr>
        <w:rFonts w:ascii="Arial" w:hAnsi="Arial"/>
        <w:b/>
        <w:color w:val="ffffff"/>
        <w:sz w:val="22"/>
      </w:rPr>
      <w:tcPr>
        <w:shd w:val="clear" w:color="c0504d" w:themeColor="accent2" w:fill="c0504d" w:themeFill="accent2"/>
      </w:tcPr>
    </w:tblStylePr>
    <w:tblStylePr w:type="lastCol">
      <w:rPr>
        <w:rFonts w:ascii="Arial" w:hAnsi="Arial"/>
        <w:b/>
        <w:color w:val="ffffff"/>
        <w:sz w:val="22"/>
      </w:rPr>
      <w:tcPr>
        <w:shd w:val="clear" w:color="c0504d" w:themeColor="accent2" w:fill="c0504d" w:themeFill="accent2"/>
      </w:tcPr>
    </w:tblStylePr>
    <w:tblStylePr w:type="lastRow">
      <w:rPr>
        <w:rFonts w:ascii="Arial" w:hAnsi="Arial"/>
        <w:b/>
        <w:color w:val="ffffff"/>
        <w:sz w:val="22"/>
      </w:rPr>
      <w:tcPr>
        <w:shd w:val="clear" w:color="c0504d" w:themeColor="accent2" w:fill="c0504d" w:themeFill="accent2"/>
        <w:tcBorders>
          <w:top w:val="single" w:color="FFFFFF" w:themeColor="light1" w:sz="4" w:space="0"/>
        </w:tcBorders>
      </w:tcPr>
    </w:tblStylePr>
  </w:style>
  <w:style w:type="table" w:styleId="1125" w:customStyle="1">
    <w:name w:val="Grid Table 5 Dark - Accent 3"/>
    <w:basedOn w:val="1054"/>
    <w:uiPriority w:val="99"/>
    <w:pPr>
      <w:spacing w:after="0" w:line="240" w:lineRule="auto"/>
    </w:pPr>
    <w:tblPr>
      <w:tblStyleRowBandSize w:val="1"/>
      <w:tblStyleColBandSize w:val="1"/>
      <w:tblInd w:w="0" w:type="dxa"/>
      <w:tblBorders>
        <w:top w:val="single" w:color="FFFFFF" w:themeColor="light1" w:sz="4" w:space="0"/>
        <w:left w:val="single" w:color="FFFFFF" w:themeColor="light1" w:sz="4" w:space="0"/>
        <w:bottom w:val="single" w:color="FFFFFF" w:themeColor="light1" w:sz="4" w:space="0"/>
        <w:right w:val="single" w:color="FFFFFF" w:themeColor="light1" w:sz="4" w:space="0"/>
        <w:insideH w:val="single" w:color="FFFFFF" w:themeColor="light1" w:sz="4" w:space="0"/>
        <w:insideV w:val="single" w:color="FFFFFF" w:themeColor="light1" w:sz="4" w:space="0"/>
      </w:tblBorders>
      <w:shd w:val="clear" w:color="eaf1dc" w:themeColor="accent3" w:themeTint="34" w:fill="eaf1dc" w:themeFill="accent3" w:themeFillTint="34"/>
      <w:tblCellMar>
        <w:left w:w="108" w:type="dxa"/>
        <w:top w:w="0" w:type="dxa"/>
        <w:right w:w="108" w:type="dxa"/>
        <w:bottom w:w="0" w:type="dxa"/>
      </w:tblCellMar>
    </w:tblPr>
    <w:tblStylePr w:type="band1Horz">
      <w:tcPr>
        <w:shd w:val="clear" w:color="d0dfb2" w:themeColor="accent3" w:themeTint="75" w:fill="d0dfb2" w:themeFill="accent3" w:themeFillTint="75"/>
      </w:tcPr>
    </w:tblStylePr>
    <w:tblStylePr w:type="band1Vert">
      <w:tcPr>
        <w:shd w:val="clear" w:color="d0dfb2" w:themeColor="accent3" w:themeTint="75" w:fill="d0dfb2" w:themeFill="accent3" w:themeFillTint="75"/>
      </w:tcPr>
    </w:tblStylePr>
    <w:tblStylePr w:type="firstCol">
      <w:rPr>
        <w:rFonts w:ascii="Arial" w:hAnsi="Arial"/>
        <w:b/>
        <w:color w:val="ffffff"/>
        <w:sz w:val="22"/>
      </w:rPr>
      <w:tcPr>
        <w:shd w:val="clear" w:color="9bbb59" w:themeColor="accent3" w:fill="9bbb59" w:themeFill="accent3"/>
      </w:tcPr>
    </w:tblStylePr>
    <w:tblStylePr w:type="firstRow">
      <w:rPr>
        <w:rFonts w:ascii="Arial" w:hAnsi="Arial"/>
        <w:b/>
        <w:color w:val="ffffff"/>
        <w:sz w:val="22"/>
      </w:rPr>
      <w:tcPr>
        <w:shd w:val="clear" w:color="9bbb59" w:themeColor="accent3" w:fill="9bbb59" w:themeFill="accent3"/>
      </w:tcPr>
    </w:tblStylePr>
    <w:tblStylePr w:type="lastCol">
      <w:rPr>
        <w:rFonts w:ascii="Arial" w:hAnsi="Arial"/>
        <w:b/>
        <w:color w:val="ffffff"/>
        <w:sz w:val="22"/>
      </w:rPr>
      <w:tcPr>
        <w:shd w:val="clear" w:color="9bbb59" w:themeColor="accent3" w:fill="9bbb59" w:themeFill="accent3"/>
      </w:tcPr>
    </w:tblStylePr>
    <w:tblStylePr w:type="lastRow">
      <w:rPr>
        <w:rFonts w:ascii="Arial" w:hAnsi="Arial"/>
        <w:b/>
        <w:color w:val="ffffff"/>
        <w:sz w:val="22"/>
      </w:rPr>
      <w:tcPr>
        <w:shd w:val="clear" w:color="9bbb59" w:themeColor="accent3" w:fill="9bbb59" w:themeFill="accent3"/>
        <w:tcBorders>
          <w:top w:val="single" w:color="FFFFFF" w:themeColor="light1" w:sz="4" w:space="0"/>
        </w:tcBorders>
      </w:tcPr>
    </w:tblStylePr>
  </w:style>
  <w:style w:type="table" w:styleId="1126" w:customStyle="1">
    <w:name w:val="Grid Table 5 Dark- Accent 4"/>
    <w:basedOn w:val="1054"/>
    <w:uiPriority w:val="99"/>
    <w:pPr>
      <w:spacing w:after="0" w:line="240" w:lineRule="auto"/>
    </w:pPr>
    <w:tblPr>
      <w:tblStyleRowBandSize w:val="1"/>
      <w:tblStyleColBandSize w:val="1"/>
      <w:tblInd w:w="0" w:type="dxa"/>
      <w:tblBorders>
        <w:top w:val="single" w:color="FFFFFF" w:themeColor="light1" w:sz="4" w:space="0"/>
        <w:left w:val="single" w:color="FFFFFF" w:themeColor="light1" w:sz="4" w:space="0"/>
        <w:bottom w:val="single" w:color="FFFFFF" w:themeColor="light1" w:sz="4" w:space="0"/>
        <w:right w:val="single" w:color="FFFFFF" w:themeColor="light1" w:sz="4" w:space="0"/>
        <w:insideH w:val="single" w:color="FFFFFF" w:themeColor="light1" w:sz="4" w:space="0"/>
        <w:insideV w:val="single" w:color="FFFFFF" w:themeColor="light1" w:sz="4" w:space="0"/>
      </w:tblBorders>
      <w:shd w:val="clear" w:color="e5dfec" w:themeColor="accent4" w:themeTint="34" w:fill="e5dfec" w:themeFill="accent4" w:themeFillTint="34"/>
      <w:tblCellMar>
        <w:left w:w="108" w:type="dxa"/>
        <w:top w:w="0" w:type="dxa"/>
        <w:right w:w="108" w:type="dxa"/>
        <w:bottom w:w="0" w:type="dxa"/>
      </w:tblCellMar>
    </w:tblPr>
    <w:tblStylePr w:type="band1Horz">
      <w:tcPr>
        <w:shd w:val="clear" w:color="c4b7d4" w:themeColor="accent4" w:themeTint="75" w:fill="c4b7d4" w:themeFill="accent4" w:themeFillTint="75"/>
      </w:tcPr>
    </w:tblStylePr>
    <w:tblStylePr w:type="band1Vert">
      <w:tcPr>
        <w:shd w:val="clear" w:color="c4b7d4" w:themeColor="accent4" w:themeTint="75" w:fill="c4b7d4" w:themeFill="accent4" w:themeFillTint="75"/>
      </w:tcPr>
    </w:tblStylePr>
    <w:tblStylePr w:type="firstCol">
      <w:rPr>
        <w:rFonts w:ascii="Arial" w:hAnsi="Arial"/>
        <w:b/>
        <w:color w:val="ffffff"/>
        <w:sz w:val="22"/>
      </w:rPr>
      <w:tcPr>
        <w:shd w:val="clear" w:color="8064a2" w:themeColor="accent4" w:fill="8064a2" w:themeFill="accent4"/>
      </w:tcPr>
    </w:tblStylePr>
    <w:tblStylePr w:type="firstRow">
      <w:rPr>
        <w:rFonts w:ascii="Arial" w:hAnsi="Arial"/>
        <w:b/>
        <w:color w:val="ffffff"/>
        <w:sz w:val="22"/>
      </w:rPr>
      <w:tcPr>
        <w:shd w:val="clear" w:color="8064a2" w:themeColor="accent4" w:fill="8064a2" w:themeFill="accent4"/>
      </w:tcPr>
    </w:tblStylePr>
    <w:tblStylePr w:type="lastCol">
      <w:rPr>
        <w:rFonts w:ascii="Arial" w:hAnsi="Arial"/>
        <w:b/>
        <w:color w:val="ffffff"/>
        <w:sz w:val="22"/>
      </w:rPr>
      <w:tcPr>
        <w:shd w:val="clear" w:color="8064a2" w:themeColor="accent4" w:fill="8064a2" w:themeFill="accent4"/>
      </w:tcPr>
    </w:tblStylePr>
    <w:tblStylePr w:type="lastRow">
      <w:rPr>
        <w:rFonts w:ascii="Arial" w:hAnsi="Arial"/>
        <w:b/>
        <w:color w:val="ffffff"/>
        <w:sz w:val="22"/>
      </w:rPr>
      <w:tcPr>
        <w:shd w:val="clear" w:color="8064a2" w:themeColor="accent4" w:fill="8064a2" w:themeFill="accent4"/>
        <w:tcBorders>
          <w:top w:val="single" w:color="FFFFFF" w:themeColor="light1" w:sz="4" w:space="0"/>
        </w:tcBorders>
      </w:tcPr>
    </w:tblStylePr>
  </w:style>
  <w:style w:type="table" w:styleId="1127" w:customStyle="1">
    <w:name w:val="Grid Table 5 Dark - Accent 5"/>
    <w:basedOn w:val="1054"/>
    <w:uiPriority w:val="99"/>
    <w:pPr>
      <w:spacing w:after="0" w:line="240" w:lineRule="auto"/>
    </w:pPr>
    <w:tblPr>
      <w:tblStyleRowBandSize w:val="1"/>
      <w:tblStyleColBandSize w:val="1"/>
      <w:tblInd w:w="0" w:type="dxa"/>
      <w:tblBorders>
        <w:top w:val="single" w:color="FFFFFF" w:themeColor="light1" w:sz="4" w:space="0"/>
        <w:left w:val="single" w:color="FFFFFF" w:themeColor="light1" w:sz="4" w:space="0"/>
        <w:bottom w:val="single" w:color="FFFFFF" w:themeColor="light1" w:sz="4" w:space="0"/>
        <w:right w:val="single" w:color="FFFFFF" w:themeColor="light1" w:sz="4" w:space="0"/>
        <w:insideH w:val="single" w:color="FFFFFF" w:themeColor="light1" w:sz="4" w:space="0"/>
        <w:insideV w:val="single" w:color="FFFFFF" w:themeColor="light1" w:sz="4" w:space="0"/>
      </w:tblBorders>
      <w:shd w:val="clear" w:color="daeef3" w:themeColor="accent5" w:themeTint="34" w:fill="daeef3" w:themeFill="accent5" w:themeFillTint="34"/>
      <w:tblCellMar>
        <w:left w:w="108" w:type="dxa"/>
        <w:top w:w="0" w:type="dxa"/>
        <w:right w:w="108" w:type="dxa"/>
        <w:bottom w:w="0" w:type="dxa"/>
      </w:tblCellMar>
    </w:tblPr>
    <w:tblStylePr w:type="band1Horz">
      <w:tcPr>
        <w:shd w:val="clear" w:color="acd8e4" w:themeColor="accent5" w:themeTint="75" w:fill="acd8e4" w:themeFill="accent5" w:themeFillTint="75"/>
      </w:tcPr>
    </w:tblStylePr>
    <w:tblStylePr w:type="band1Vert">
      <w:tcPr>
        <w:shd w:val="clear" w:color="acd8e4" w:themeColor="accent5" w:themeTint="75" w:fill="acd8e4" w:themeFill="accent5" w:themeFillTint="75"/>
      </w:tcPr>
    </w:tblStylePr>
    <w:tblStylePr w:type="firstCol">
      <w:rPr>
        <w:rFonts w:ascii="Arial" w:hAnsi="Arial"/>
        <w:b/>
        <w:color w:val="ffffff"/>
        <w:sz w:val="22"/>
      </w:rPr>
      <w:tcPr>
        <w:shd w:val="clear" w:color="4bacc6" w:themeColor="accent5" w:fill="4bacc6" w:themeFill="accent5"/>
      </w:tcPr>
    </w:tblStylePr>
    <w:tblStylePr w:type="firstRow">
      <w:rPr>
        <w:rFonts w:ascii="Arial" w:hAnsi="Arial"/>
        <w:b/>
        <w:color w:val="ffffff"/>
        <w:sz w:val="22"/>
      </w:rPr>
      <w:tcPr>
        <w:shd w:val="clear" w:color="4bacc6" w:themeColor="accent5" w:fill="4bacc6" w:themeFill="accent5"/>
      </w:tcPr>
    </w:tblStylePr>
    <w:tblStylePr w:type="lastCol">
      <w:rPr>
        <w:rFonts w:ascii="Arial" w:hAnsi="Arial"/>
        <w:b/>
        <w:color w:val="ffffff"/>
        <w:sz w:val="22"/>
      </w:rPr>
      <w:tcPr>
        <w:shd w:val="clear" w:color="4bacc6" w:themeColor="accent5" w:fill="4bacc6" w:themeFill="accent5"/>
      </w:tcPr>
    </w:tblStylePr>
    <w:tblStylePr w:type="lastRow">
      <w:rPr>
        <w:rFonts w:ascii="Arial" w:hAnsi="Arial"/>
        <w:b/>
        <w:color w:val="ffffff"/>
        <w:sz w:val="22"/>
      </w:rPr>
      <w:tcPr>
        <w:shd w:val="clear" w:color="4bacc6" w:themeColor="accent5" w:fill="4bacc6" w:themeFill="accent5"/>
        <w:tcBorders>
          <w:top w:val="single" w:color="FFFFFF" w:themeColor="light1" w:sz="4" w:space="0"/>
        </w:tcBorders>
      </w:tcPr>
    </w:tblStylePr>
  </w:style>
  <w:style w:type="table" w:styleId="1128" w:customStyle="1">
    <w:name w:val="Grid Table 5 Dark - Accent 6"/>
    <w:basedOn w:val="1054"/>
    <w:uiPriority w:val="99"/>
    <w:pPr>
      <w:spacing w:after="0" w:line="240" w:lineRule="auto"/>
    </w:pPr>
    <w:tblPr>
      <w:tblStyleRowBandSize w:val="1"/>
      <w:tblStyleColBandSize w:val="1"/>
      <w:tblInd w:w="0" w:type="dxa"/>
      <w:tblBorders>
        <w:top w:val="single" w:color="FFFFFF" w:themeColor="light1" w:sz="4" w:space="0"/>
        <w:left w:val="single" w:color="FFFFFF" w:themeColor="light1" w:sz="4" w:space="0"/>
        <w:bottom w:val="single" w:color="FFFFFF" w:themeColor="light1" w:sz="4" w:space="0"/>
        <w:right w:val="single" w:color="FFFFFF" w:themeColor="light1" w:sz="4" w:space="0"/>
        <w:insideH w:val="single" w:color="FFFFFF" w:themeColor="light1" w:sz="4" w:space="0"/>
        <w:insideV w:val="single" w:color="FFFFFF" w:themeColor="light1" w:sz="4" w:space="0"/>
      </w:tblBorders>
      <w:shd w:val="clear" w:color="fde9d8" w:themeColor="accent6" w:themeTint="34" w:fill="fde9d8" w:themeFill="accent6" w:themeFillTint="34"/>
      <w:tblCellMar>
        <w:left w:w="108" w:type="dxa"/>
        <w:top w:w="0" w:type="dxa"/>
        <w:right w:w="108" w:type="dxa"/>
        <w:bottom w:w="0" w:type="dxa"/>
      </w:tblCellMar>
    </w:tblPr>
    <w:tblStylePr w:type="band1Horz">
      <w:tcPr>
        <w:shd w:val="clear" w:color="fbceaa" w:themeColor="accent6" w:themeTint="75" w:fill="fbceaa" w:themeFill="accent6" w:themeFillTint="75"/>
      </w:tcPr>
    </w:tblStylePr>
    <w:tblStylePr w:type="band1Vert">
      <w:tcPr>
        <w:shd w:val="clear" w:color="fbceaa" w:themeColor="accent6" w:themeTint="75" w:fill="fbceaa" w:themeFill="accent6" w:themeFillTint="75"/>
      </w:tcPr>
    </w:tblStylePr>
    <w:tblStylePr w:type="firstCol">
      <w:rPr>
        <w:rFonts w:ascii="Arial" w:hAnsi="Arial"/>
        <w:b/>
        <w:color w:val="ffffff"/>
        <w:sz w:val="22"/>
      </w:rPr>
      <w:tcPr>
        <w:shd w:val="clear" w:color="f79646" w:themeColor="accent6" w:fill="f79646" w:themeFill="accent6"/>
      </w:tcPr>
    </w:tblStylePr>
    <w:tblStylePr w:type="firstRow">
      <w:rPr>
        <w:rFonts w:ascii="Arial" w:hAnsi="Arial"/>
        <w:b/>
        <w:color w:val="ffffff"/>
        <w:sz w:val="22"/>
      </w:rPr>
      <w:tcPr>
        <w:shd w:val="clear" w:color="f79646" w:themeColor="accent6" w:fill="f79646" w:themeFill="accent6"/>
      </w:tcPr>
    </w:tblStylePr>
    <w:tblStylePr w:type="lastCol">
      <w:rPr>
        <w:rFonts w:ascii="Arial" w:hAnsi="Arial"/>
        <w:b/>
        <w:color w:val="ffffff"/>
        <w:sz w:val="22"/>
      </w:rPr>
      <w:tcPr>
        <w:shd w:val="clear" w:color="f79646" w:themeColor="accent6" w:fill="f79646" w:themeFill="accent6"/>
      </w:tcPr>
    </w:tblStylePr>
    <w:tblStylePr w:type="lastRow">
      <w:rPr>
        <w:rFonts w:ascii="Arial" w:hAnsi="Arial"/>
        <w:b/>
        <w:color w:val="ffffff"/>
        <w:sz w:val="22"/>
      </w:rPr>
      <w:tcPr>
        <w:shd w:val="clear" w:color="f79646" w:themeColor="accent6" w:fill="f79646" w:themeFill="accent6"/>
        <w:tcBorders>
          <w:top w:val="single" w:color="FFFFFF" w:themeColor="light1" w:sz="4" w:space="0"/>
        </w:tcBorders>
      </w:tcPr>
    </w:tblStylePr>
  </w:style>
  <w:style w:type="table" w:styleId="1129" w:customStyle="1">
    <w:name w:val="Grid Table 6 Colorful"/>
    <w:basedOn w:val="1054"/>
    <w:uiPriority w:val="99"/>
    <w:pPr>
      <w:spacing w:after="0" w:line="240" w:lineRule="auto"/>
    </w:pPr>
    <w:tblPr>
      <w:tblStyleRowBandSize w:val="1"/>
      <w:tblStyleColBandSize w:val="1"/>
      <w:tblInd w:w="0" w:type="dxa"/>
      <w:tblBorders>
        <w:top w:val="single" w:color="7F7F7F" w:themeColor="text1" w:themeTint="80" w:sz="4" w:space="0"/>
        <w:left w:val="single" w:color="7F7F7F" w:themeColor="text1" w:themeTint="80" w:sz="4" w:space="0"/>
        <w:bottom w:val="single" w:color="7F7F7F" w:themeColor="text1" w:themeTint="80" w:sz="4" w:space="0"/>
        <w:right w:val="single" w:color="7F7F7F" w:themeColor="text1" w:themeTint="80" w:sz="4" w:space="0"/>
        <w:insideH w:val="single" w:color="7F7F7F" w:themeColor="text1" w:themeTint="80" w:sz="4" w:space="0"/>
        <w:insideV w:val="single" w:color="7F7F7F" w:themeColor="text1" w:themeTint="80" w:sz="4" w:space="0"/>
      </w:tblBorders>
      <w:tblCellMar>
        <w:left w:w="108" w:type="dxa"/>
        <w:top w:w="0" w:type="dxa"/>
        <w:right w:w="108" w:type="dxa"/>
        <w:bottom w:w="0" w:type="dxa"/>
      </w:tblCellMar>
    </w:tblPr>
    <w:tblStylePr w:type="band1Horz">
      <w:rPr>
        <w:rFonts w:ascii="Arial" w:hAnsi="Arial"/>
        <w:color w:val="7f7f7f" w:themeColor="text1" w:themeTint="80" w:themeShade="95"/>
        <w:sz w:val="22"/>
      </w:rPr>
      <w:tcPr>
        <w:shd w:val="clear" w:color="cbcbcb" w:themeColor="text1" w:themeTint="34" w:fill="cbcbcb" w:themeFill="text1" w:themeFillTint="34"/>
      </w:tcPr>
    </w:tblStylePr>
    <w:tblStylePr w:type="band1Vert">
      <w:tcPr>
        <w:shd w:val="clear" w:color="cbcbcb" w:themeColor="text1" w:themeTint="34" w:fill="cbcbcb" w:themeFill="text1" w:themeFillTint="34"/>
      </w:tcPr>
    </w:tblStylePr>
    <w:tblStylePr w:type="band2Horz">
      <w:rPr>
        <w:rFonts w:ascii="Arial" w:hAnsi="Arial"/>
        <w:color w:val="7f7f7f" w:themeColor="text1" w:themeTint="80" w:themeShade="95"/>
        <w:sz w:val="22"/>
      </w:rPr>
    </w:tblStylePr>
    <w:tblStylePr w:type="firstCol">
      <w:rPr>
        <w:b/>
        <w:color w:val="7f7f7f" w:themeColor="text1" w:themeTint="80" w:themeShade="95"/>
      </w:rPr>
    </w:tblStylePr>
    <w:tblStylePr w:type="firstRow">
      <w:rPr>
        <w:b/>
        <w:color w:val="7f7f7f" w:themeColor="text1" w:themeTint="80" w:themeShade="95"/>
      </w:rPr>
      <w:tcPr>
        <w:tcBorders>
          <w:bottom w:val="single" w:color="7F7F7F" w:themeColor="text1" w:themeTint="80" w:sz="12" w:space="0"/>
        </w:tcBorders>
      </w:tcPr>
    </w:tblStylePr>
    <w:tblStylePr w:type="lastCol">
      <w:rPr>
        <w:b/>
        <w:color w:val="7f7f7f" w:themeColor="text1" w:themeTint="80" w:themeShade="95"/>
      </w:rPr>
    </w:tblStylePr>
    <w:tblStylePr w:type="lastRow">
      <w:rPr>
        <w:b/>
        <w:color w:val="7f7f7f" w:themeColor="text1" w:themeTint="80" w:themeShade="95"/>
      </w:rPr>
    </w:tblStylePr>
  </w:style>
  <w:style w:type="table" w:styleId="1130" w:customStyle="1">
    <w:name w:val="Grid Table 6 Colorful - Accent 1"/>
    <w:basedOn w:val="1054"/>
    <w:uiPriority w:val="99"/>
    <w:pPr>
      <w:spacing w:after="0" w:line="240" w:lineRule="auto"/>
    </w:pPr>
    <w:tblPr>
      <w:tblStyleRowBandSize w:val="1"/>
      <w:tblStyleColBandSize w:val="1"/>
      <w:tblInd w:w="0" w:type="dxa"/>
      <w:tblBorders>
        <w:top w:val="single" w:color="A6BFDD" w:themeColor="accent1" w:themeTint="80" w:sz="4" w:space="0"/>
        <w:left w:val="single" w:color="A6BFDD" w:themeColor="accent1" w:themeTint="80" w:sz="4" w:space="0"/>
        <w:bottom w:val="single" w:color="A6BFDD" w:themeColor="accent1" w:themeTint="80" w:sz="4" w:space="0"/>
        <w:right w:val="single" w:color="A6BFDD" w:themeColor="accent1" w:themeTint="80" w:sz="4" w:space="0"/>
        <w:insideH w:val="single" w:color="A6BFDD" w:themeColor="accent1" w:themeTint="80" w:sz="4" w:space="0"/>
        <w:insideV w:val="single" w:color="A6BFDD" w:themeColor="accent1" w:themeTint="80" w:sz="4" w:space="0"/>
      </w:tblBorders>
      <w:tblCellMar>
        <w:left w:w="108" w:type="dxa"/>
        <w:top w:w="0" w:type="dxa"/>
        <w:right w:w="108" w:type="dxa"/>
        <w:bottom w:w="0" w:type="dxa"/>
      </w:tblCellMar>
    </w:tblPr>
    <w:tblStylePr w:type="band1Horz">
      <w:rPr>
        <w:rFonts w:ascii="Arial" w:hAnsi="Arial"/>
        <w:color w:val="a6bfdd" w:themeColor="accent1" w:themeTint="80" w:themeShade="95"/>
        <w:sz w:val="22"/>
      </w:rPr>
      <w:tcPr>
        <w:shd w:val="clear" w:color="dae5f1" w:themeColor="accent1" w:themeTint="34" w:fill="dae5f1" w:themeFill="accent1" w:themeFillTint="34"/>
      </w:tcPr>
    </w:tblStylePr>
    <w:tblStylePr w:type="band1Vert">
      <w:tcPr>
        <w:shd w:val="clear" w:color="dae5f1" w:themeColor="accent1" w:themeTint="34" w:fill="dae5f1" w:themeFill="accent1" w:themeFillTint="34"/>
      </w:tcPr>
    </w:tblStylePr>
    <w:tblStylePr w:type="band2Horz">
      <w:rPr>
        <w:rFonts w:ascii="Arial" w:hAnsi="Arial"/>
        <w:color w:val="a6bfdd" w:themeColor="accent1" w:themeTint="80" w:themeShade="95"/>
        <w:sz w:val="22"/>
      </w:rPr>
    </w:tblStylePr>
    <w:tblStylePr w:type="firstCol">
      <w:rPr>
        <w:b/>
        <w:color w:val="a6bfdd" w:themeColor="accent1" w:themeTint="80" w:themeShade="95"/>
      </w:rPr>
    </w:tblStylePr>
    <w:tblStylePr w:type="firstRow">
      <w:rPr>
        <w:b/>
        <w:color w:val="a6bfdd" w:themeColor="accent1" w:themeTint="80" w:themeShade="95"/>
      </w:rPr>
      <w:tcPr>
        <w:tcBorders>
          <w:bottom w:val="single" w:color="A6BFDD" w:themeColor="accent1" w:themeTint="80" w:sz="12" w:space="0"/>
        </w:tcBorders>
      </w:tcPr>
    </w:tblStylePr>
    <w:tblStylePr w:type="lastCol">
      <w:rPr>
        <w:b/>
        <w:color w:val="a6bfdd" w:themeColor="accent1" w:themeTint="80" w:themeShade="95"/>
      </w:rPr>
    </w:tblStylePr>
    <w:tblStylePr w:type="lastRow">
      <w:rPr>
        <w:b/>
        <w:color w:val="a6bfdd" w:themeColor="accent1" w:themeTint="80" w:themeShade="95"/>
      </w:rPr>
    </w:tblStylePr>
  </w:style>
  <w:style w:type="table" w:styleId="1131" w:customStyle="1">
    <w:name w:val="Grid Table 6 Colorful - Accent 2"/>
    <w:basedOn w:val="1054"/>
    <w:uiPriority w:val="99"/>
    <w:pPr>
      <w:spacing w:after="0" w:line="240" w:lineRule="auto"/>
    </w:pPr>
    <w:tblPr>
      <w:tblStyleRowBandSize w:val="1"/>
      <w:tblStyleColBandSize w:val="1"/>
      <w:tblInd w:w="0" w:type="dxa"/>
      <w:tblBorders>
        <w:top w:val="single" w:color="D99695" w:themeColor="accent2" w:themeTint="97" w:sz="4" w:space="0"/>
        <w:left w:val="single" w:color="D99695" w:themeColor="accent2" w:themeTint="97" w:sz="4" w:space="0"/>
        <w:bottom w:val="single" w:color="D99695" w:themeColor="accent2" w:themeTint="97" w:sz="4" w:space="0"/>
        <w:right w:val="single" w:color="D99695" w:themeColor="accent2" w:themeTint="97" w:sz="4" w:space="0"/>
        <w:insideH w:val="single" w:color="D99695" w:themeColor="accent2" w:themeTint="97" w:sz="4" w:space="0"/>
        <w:insideV w:val="single" w:color="D99695" w:themeColor="accent2" w:themeTint="97" w:sz="4" w:space="0"/>
      </w:tblBorders>
      <w:tblCellMar>
        <w:left w:w="108" w:type="dxa"/>
        <w:top w:w="0" w:type="dxa"/>
        <w:right w:w="108" w:type="dxa"/>
        <w:bottom w:w="0" w:type="dxa"/>
      </w:tblCellMar>
    </w:tblPr>
    <w:tblStylePr w:type="band1Horz">
      <w:rPr>
        <w:rFonts w:ascii="Arial" w:hAnsi="Arial"/>
        <w:color w:val="d99695" w:themeColor="accent2" w:themeTint="97" w:themeShade="95"/>
        <w:sz w:val="22"/>
      </w:rPr>
      <w:tcPr>
        <w:shd w:val="clear" w:color="f2dcdc" w:themeColor="accent2" w:themeTint="32" w:fill="f2dcdc" w:themeFill="accent2" w:themeFillTint="32"/>
      </w:tcPr>
    </w:tblStylePr>
    <w:tblStylePr w:type="band1Vert">
      <w:tcPr>
        <w:shd w:val="clear" w:color="f2dcdc" w:themeColor="accent2" w:themeTint="32" w:fill="f2dcdc" w:themeFill="accent2" w:themeFillTint="32"/>
      </w:tcPr>
    </w:tblStylePr>
    <w:tblStylePr w:type="band2Horz">
      <w:rPr>
        <w:rFonts w:ascii="Arial" w:hAnsi="Arial"/>
        <w:color w:val="d99695" w:themeColor="accent2" w:themeTint="97" w:themeShade="95"/>
        <w:sz w:val="22"/>
      </w:rPr>
    </w:tblStylePr>
    <w:tblStylePr w:type="firstCol">
      <w:rPr>
        <w:b/>
        <w:color w:val="d99695" w:themeColor="accent2" w:themeTint="97" w:themeShade="95"/>
      </w:rPr>
    </w:tblStylePr>
    <w:tblStylePr w:type="firstRow">
      <w:rPr>
        <w:b/>
        <w:color w:val="d99695" w:themeColor="accent2" w:themeTint="97" w:themeShade="95"/>
      </w:rPr>
      <w:tcPr>
        <w:tcBorders>
          <w:bottom w:val="single" w:color="D99695" w:themeColor="accent2" w:themeTint="97" w:sz="12" w:space="0"/>
        </w:tcBorders>
      </w:tcPr>
    </w:tblStylePr>
    <w:tblStylePr w:type="lastCol">
      <w:rPr>
        <w:b/>
        <w:color w:val="d99695" w:themeColor="accent2" w:themeTint="97" w:themeShade="95"/>
      </w:rPr>
    </w:tblStylePr>
    <w:tblStylePr w:type="lastRow">
      <w:rPr>
        <w:b/>
        <w:color w:val="d99695" w:themeColor="accent2" w:themeTint="97" w:themeShade="95"/>
      </w:rPr>
    </w:tblStylePr>
  </w:style>
  <w:style w:type="table" w:styleId="1132" w:customStyle="1">
    <w:name w:val="Grid Table 6 Colorful - Accent 3"/>
    <w:basedOn w:val="1054"/>
    <w:uiPriority w:val="99"/>
    <w:pPr>
      <w:spacing w:after="0" w:line="240" w:lineRule="auto"/>
    </w:pPr>
    <w:tblPr>
      <w:tblStyleRowBandSize w:val="1"/>
      <w:tblStyleColBandSize w:val="1"/>
      <w:tblInd w:w="0" w:type="dxa"/>
      <w:tblBorders>
        <w:top w:val="single" w:color="9ABB59" w:themeColor="accent3" w:themeTint="FE" w:sz="4" w:space="0"/>
        <w:left w:val="single" w:color="9ABB59" w:themeColor="accent3" w:themeTint="FE" w:sz="4" w:space="0"/>
        <w:bottom w:val="single" w:color="9ABB59" w:themeColor="accent3" w:themeTint="FE" w:sz="4" w:space="0"/>
        <w:right w:val="single" w:color="9ABB59" w:themeColor="accent3" w:themeTint="FE" w:sz="4" w:space="0"/>
        <w:insideH w:val="single" w:color="9ABB59" w:themeColor="accent3" w:themeTint="FE" w:sz="4" w:space="0"/>
        <w:insideV w:val="single" w:color="9ABB59" w:themeColor="accent3" w:themeTint="FE" w:sz="4" w:space="0"/>
      </w:tblBorders>
      <w:tblCellMar>
        <w:left w:w="108" w:type="dxa"/>
        <w:top w:w="0" w:type="dxa"/>
        <w:right w:w="108" w:type="dxa"/>
        <w:bottom w:w="0" w:type="dxa"/>
      </w:tblCellMar>
    </w:tblPr>
    <w:tblStylePr w:type="band1Horz">
      <w:rPr>
        <w:rFonts w:ascii="Arial" w:hAnsi="Arial"/>
        <w:color w:val="9abb59" w:themeColor="accent3" w:themeTint="FE" w:themeShade="95"/>
        <w:sz w:val="22"/>
      </w:rPr>
      <w:tcPr>
        <w:shd w:val="clear" w:color="eaf1dc" w:themeColor="accent3" w:themeTint="34" w:fill="eaf1dc" w:themeFill="accent3" w:themeFillTint="34"/>
      </w:tcPr>
    </w:tblStylePr>
    <w:tblStylePr w:type="band1Vert">
      <w:tcPr>
        <w:shd w:val="clear" w:color="eaf1dc" w:themeColor="accent3" w:themeTint="34" w:fill="eaf1dc" w:themeFill="accent3" w:themeFillTint="34"/>
      </w:tcPr>
    </w:tblStylePr>
    <w:tblStylePr w:type="band2Horz">
      <w:rPr>
        <w:rFonts w:ascii="Arial" w:hAnsi="Arial"/>
        <w:color w:val="9abb59" w:themeColor="accent3" w:themeTint="FE" w:themeShade="95"/>
        <w:sz w:val="22"/>
      </w:rPr>
    </w:tblStylePr>
    <w:tblStylePr w:type="firstCol">
      <w:rPr>
        <w:b/>
        <w:color w:val="9abb59" w:themeColor="accent3" w:themeTint="FE" w:themeShade="95"/>
      </w:rPr>
    </w:tblStylePr>
    <w:tblStylePr w:type="firstRow">
      <w:rPr>
        <w:b/>
        <w:color w:val="9abb59" w:themeColor="accent3" w:themeTint="FE" w:themeShade="95"/>
      </w:rPr>
      <w:tcPr>
        <w:tcBorders>
          <w:bottom w:val="single" w:color="9ABB59" w:themeColor="accent3" w:themeTint="FE" w:sz="12" w:space="0"/>
        </w:tcBorders>
      </w:tcPr>
    </w:tblStylePr>
    <w:tblStylePr w:type="lastCol">
      <w:rPr>
        <w:b/>
        <w:color w:val="9abb59" w:themeColor="accent3" w:themeTint="FE" w:themeShade="95"/>
      </w:rPr>
    </w:tblStylePr>
    <w:tblStylePr w:type="lastRow">
      <w:rPr>
        <w:b/>
        <w:color w:val="9abb59" w:themeColor="accent3" w:themeTint="FE" w:themeShade="95"/>
      </w:rPr>
    </w:tblStylePr>
  </w:style>
  <w:style w:type="table" w:styleId="1133" w:customStyle="1">
    <w:name w:val="Grid Table 6 Colorful - Accent 4"/>
    <w:basedOn w:val="1054"/>
    <w:uiPriority w:val="99"/>
    <w:pPr>
      <w:spacing w:after="0" w:line="240" w:lineRule="auto"/>
    </w:pPr>
    <w:tblPr>
      <w:tblStyleRowBandSize w:val="1"/>
      <w:tblStyleColBandSize w:val="1"/>
      <w:tblInd w:w="0" w:type="dxa"/>
      <w:tblBorders>
        <w:top w:val="single" w:color="B2A1C6" w:themeColor="accent4" w:themeTint="9A" w:sz="4" w:space="0"/>
        <w:left w:val="single" w:color="B2A1C6" w:themeColor="accent4" w:themeTint="9A" w:sz="4" w:space="0"/>
        <w:bottom w:val="single" w:color="B2A1C6" w:themeColor="accent4" w:themeTint="9A" w:sz="4" w:space="0"/>
        <w:right w:val="single" w:color="B2A1C6" w:themeColor="accent4" w:themeTint="9A" w:sz="4" w:space="0"/>
        <w:insideH w:val="single" w:color="B2A1C6" w:themeColor="accent4" w:themeTint="9A" w:sz="4" w:space="0"/>
        <w:insideV w:val="single" w:color="B2A1C6" w:themeColor="accent4" w:themeTint="9A" w:sz="4" w:space="0"/>
      </w:tblBorders>
      <w:tblCellMar>
        <w:left w:w="108" w:type="dxa"/>
        <w:top w:w="0" w:type="dxa"/>
        <w:right w:w="108" w:type="dxa"/>
        <w:bottom w:w="0" w:type="dxa"/>
      </w:tblCellMar>
    </w:tblPr>
    <w:tblStylePr w:type="band1Horz">
      <w:rPr>
        <w:rFonts w:ascii="Arial" w:hAnsi="Arial"/>
        <w:color w:val="b2a1c6" w:themeColor="accent4" w:themeTint="9A" w:themeShade="95"/>
        <w:sz w:val="22"/>
      </w:rPr>
      <w:tcPr>
        <w:shd w:val="clear" w:color="e5dfec" w:themeColor="accent4" w:themeTint="34" w:fill="e5dfec" w:themeFill="accent4" w:themeFillTint="34"/>
      </w:tcPr>
    </w:tblStylePr>
    <w:tblStylePr w:type="band1Vert">
      <w:tcPr>
        <w:shd w:val="clear" w:color="e5dfec" w:themeColor="accent4" w:themeTint="34" w:fill="e5dfec" w:themeFill="accent4" w:themeFillTint="34"/>
      </w:tcPr>
    </w:tblStylePr>
    <w:tblStylePr w:type="band2Horz">
      <w:rPr>
        <w:rFonts w:ascii="Arial" w:hAnsi="Arial"/>
        <w:color w:val="b2a1c6" w:themeColor="accent4" w:themeTint="9A" w:themeShade="95"/>
        <w:sz w:val="22"/>
      </w:rPr>
    </w:tblStylePr>
    <w:tblStylePr w:type="firstCol">
      <w:rPr>
        <w:b/>
        <w:color w:val="b2a1c6" w:themeColor="accent4" w:themeTint="9A" w:themeShade="95"/>
      </w:rPr>
    </w:tblStylePr>
    <w:tblStylePr w:type="firstRow">
      <w:rPr>
        <w:b/>
        <w:color w:val="b2a1c6" w:themeColor="accent4" w:themeTint="9A" w:themeShade="95"/>
      </w:rPr>
      <w:tcPr>
        <w:tcBorders>
          <w:bottom w:val="single" w:color="B2A1C6" w:themeColor="accent4" w:themeTint="9A" w:sz="12" w:space="0"/>
        </w:tcBorders>
      </w:tcPr>
    </w:tblStylePr>
    <w:tblStylePr w:type="lastCol">
      <w:rPr>
        <w:b/>
        <w:color w:val="b2a1c6" w:themeColor="accent4" w:themeTint="9A" w:themeShade="95"/>
      </w:rPr>
    </w:tblStylePr>
    <w:tblStylePr w:type="lastRow">
      <w:rPr>
        <w:b/>
        <w:color w:val="b2a1c6" w:themeColor="accent4" w:themeTint="9A" w:themeShade="95"/>
      </w:rPr>
    </w:tblStylePr>
  </w:style>
  <w:style w:type="table" w:styleId="1134" w:customStyle="1">
    <w:name w:val="Grid Table 6 Colorful - Accent 5"/>
    <w:basedOn w:val="1054"/>
    <w:uiPriority w:val="99"/>
    <w:pPr>
      <w:spacing w:after="0" w:line="240" w:lineRule="auto"/>
    </w:pPr>
    <w:tblPr>
      <w:tblStyleRowBandSize w:val="1"/>
      <w:tblStyleColBandSize w:val="1"/>
      <w:tblInd w:w="0" w:type="dxa"/>
      <w:tblBorders>
        <w:top w:val="single" w:color="4BACC6" w:themeColor="accent5" w:sz="4" w:space="0"/>
        <w:left w:val="single" w:color="4BACC6" w:themeColor="accent5" w:sz="4" w:space="0"/>
        <w:bottom w:val="single" w:color="4BACC6" w:themeColor="accent5" w:sz="4" w:space="0"/>
        <w:right w:val="single" w:color="4BACC6" w:themeColor="accent5" w:sz="4" w:space="0"/>
        <w:insideH w:val="single" w:color="4BACC6" w:themeColor="accent5" w:sz="4" w:space="0"/>
        <w:insideV w:val="single" w:color="4BACC6" w:themeColor="accent5" w:sz="4" w:space="0"/>
      </w:tblBorders>
      <w:tblCellMar>
        <w:left w:w="108" w:type="dxa"/>
        <w:top w:w="0" w:type="dxa"/>
        <w:right w:w="108" w:type="dxa"/>
        <w:bottom w:w="0" w:type="dxa"/>
      </w:tblCellMar>
    </w:tblPr>
    <w:tblStylePr w:type="band1Horz">
      <w:rPr>
        <w:rFonts w:ascii="Arial" w:hAnsi="Arial"/>
        <w:color w:val="266779" w:themeColor="accent5" w:themeShade="95"/>
        <w:sz w:val="22"/>
      </w:rPr>
      <w:tcPr>
        <w:shd w:val="clear" w:color="daeef3" w:themeColor="accent5" w:themeTint="34" w:fill="daeef3" w:themeFill="accent5" w:themeFillTint="34"/>
      </w:tcPr>
    </w:tblStylePr>
    <w:tblStylePr w:type="band1Vert">
      <w:tcPr>
        <w:shd w:val="clear" w:color="daeef3" w:themeColor="accent5" w:themeTint="34" w:fill="daeef3" w:themeFill="accent5" w:themeFillTint="34"/>
      </w:tcPr>
    </w:tblStylePr>
    <w:tblStylePr w:type="band2Horz">
      <w:rPr>
        <w:rFonts w:ascii="Arial" w:hAnsi="Arial"/>
        <w:color w:val="266779" w:themeColor="accent5" w:themeShade="95"/>
        <w:sz w:val="22"/>
      </w:rPr>
    </w:tblStylePr>
    <w:tblStylePr w:type="firstCol">
      <w:rPr>
        <w:b/>
        <w:color w:val="266779" w:themeColor="accent5" w:themeShade="95"/>
      </w:rPr>
    </w:tblStylePr>
    <w:tblStylePr w:type="firstRow">
      <w:rPr>
        <w:b/>
        <w:color w:val="266779" w:themeColor="accent5" w:themeShade="95"/>
      </w:rPr>
      <w:tcPr>
        <w:tcBorders>
          <w:bottom w:val="single" w:color="4BACC6" w:themeColor="accent5" w:sz="12" w:space="0"/>
        </w:tcBorders>
      </w:tcPr>
    </w:tblStylePr>
    <w:tblStylePr w:type="lastCol">
      <w:rPr>
        <w:b/>
        <w:color w:val="266779" w:themeColor="accent5" w:themeShade="95"/>
      </w:rPr>
    </w:tblStylePr>
    <w:tblStylePr w:type="lastRow">
      <w:rPr>
        <w:b/>
        <w:color w:val="266779" w:themeColor="accent5" w:themeShade="95"/>
      </w:rPr>
    </w:tblStylePr>
  </w:style>
  <w:style w:type="table" w:styleId="1135" w:customStyle="1">
    <w:name w:val="Grid Table 6 Colorful - Accent 6"/>
    <w:basedOn w:val="1054"/>
    <w:uiPriority w:val="99"/>
    <w:pPr>
      <w:spacing w:after="0" w:line="240" w:lineRule="auto"/>
    </w:pPr>
    <w:tblPr>
      <w:tblStyleRowBandSize w:val="1"/>
      <w:tblStyleColBandSize w:val="1"/>
      <w:tblInd w:w="0" w:type="dxa"/>
      <w:tblBorders>
        <w:top w:val="single" w:color="F79646" w:themeColor="accent6" w:sz="4" w:space="0"/>
        <w:left w:val="single" w:color="F79646" w:themeColor="accent6" w:sz="4" w:space="0"/>
        <w:bottom w:val="single" w:color="F79646" w:themeColor="accent6" w:sz="4" w:space="0"/>
        <w:right w:val="single" w:color="F79646" w:themeColor="accent6" w:sz="4" w:space="0"/>
        <w:insideH w:val="single" w:color="F79646" w:themeColor="accent6" w:sz="4" w:space="0"/>
        <w:insideV w:val="single" w:color="F79646" w:themeColor="accent6" w:sz="4" w:space="0"/>
      </w:tblBorders>
      <w:tblCellMar>
        <w:left w:w="108" w:type="dxa"/>
        <w:top w:w="0" w:type="dxa"/>
        <w:right w:w="108" w:type="dxa"/>
        <w:bottom w:w="0" w:type="dxa"/>
      </w:tblCellMar>
    </w:tblPr>
    <w:tblStylePr w:type="band1Horz">
      <w:rPr>
        <w:rFonts w:ascii="Arial" w:hAnsi="Arial"/>
        <w:color w:val="266779" w:themeColor="accent5" w:themeShade="95"/>
        <w:sz w:val="22"/>
      </w:rPr>
      <w:tcPr>
        <w:shd w:val="clear" w:color="fde9d8" w:themeColor="accent6" w:themeTint="34" w:fill="fde9d8" w:themeFill="accent6" w:themeFillTint="34"/>
      </w:tcPr>
    </w:tblStylePr>
    <w:tblStylePr w:type="band1Vert">
      <w:tcPr>
        <w:shd w:val="clear" w:color="fde9d8" w:themeColor="accent6" w:themeTint="34" w:fill="fde9d8" w:themeFill="accent6" w:themeFillTint="34"/>
      </w:tcPr>
    </w:tblStylePr>
    <w:tblStylePr w:type="band2Horz">
      <w:rPr>
        <w:rFonts w:ascii="Arial" w:hAnsi="Arial"/>
        <w:color w:val="266779" w:themeColor="accent5" w:themeShade="95"/>
        <w:sz w:val="22"/>
      </w:rPr>
    </w:tblStylePr>
    <w:tblStylePr w:type="firstCol">
      <w:rPr>
        <w:b/>
        <w:color w:val="266779" w:themeColor="accent5" w:themeShade="95"/>
      </w:rPr>
    </w:tblStylePr>
    <w:tblStylePr w:type="firstRow">
      <w:rPr>
        <w:b/>
        <w:color w:val="266779" w:themeColor="accent5" w:themeShade="95"/>
      </w:rPr>
      <w:tcPr>
        <w:tcBorders>
          <w:bottom w:val="single" w:color="F79646" w:themeColor="accent6" w:sz="12" w:space="0"/>
        </w:tcBorders>
      </w:tcPr>
    </w:tblStylePr>
    <w:tblStylePr w:type="lastCol">
      <w:rPr>
        <w:b/>
        <w:color w:val="266779" w:themeColor="accent5" w:themeShade="95"/>
      </w:rPr>
    </w:tblStylePr>
    <w:tblStylePr w:type="lastRow">
      <w:rPr>
        <w:b/>
        <w:color w:val="266779" w:themeColor="accent5" w:themeShade="95"/>
      </w:rPr>
    </w:tblStylePr>
  </w:style>
  <w:style w:type="table" w:styleId="1136" w:customStyle="1">
    <w:name w:val="Grid Table 7 Colorful"/>
    <w:basedOn w:val="1054"/>
    <w:uiPriority w:val="99"/>
    <w:pPr>
      <w:spacing w:after="0" w:line="240" w:lineRule="auto"/>
    </w:pPr>
    <w:tblPr>
      <w:tblStyleRowBandSize w:val="1"/>
      <w:tblStyleColBandSize w:val="1"/>
      <w:tblInd w:w="0" w:type="dxa"/>
      <w:tblBorders>
        <w:bottom w:val="single" w:color="7F7F7F" w:themeColor="text1" w:themeTint="80" w:sz="4" w:space="0"/>
        <w:right w:val="single" w:color="7F7F7F" w:themeColor="text1" w:themeTint="80" w:sz="4" w:space="0"/>
        <w:insideH w:val="single" w:color="7F7F7F" w:themeColor="text1" w:themeTint="80" w:sz="4" w:space="0"/>
        <w:insideV w:val="single" w:color="7F7F7F" w:themeColor="text1" w:themeTint="80" w:sz="4" w:space="0"/>
      </w:tblBorders>
      <w:tblCellMar>
        <w:left w:w="108" w:type="dxa"/>
        <w:top w:w="0" w:type="dxa"/>
        <w:right w:w="108" w:type="dxa"/>
        <w:bottom w:w="0" w:type="dxa"/>
      </w:tblCellMar>
    </w:tblPr>
    <w:tblStylePr w:type="band1Horz">
      <w:rPr>
        <w:rFonts w:ascii="Arial" w:hAnsi="Arial"/>
        <w:color w:val="7f7f7f" w:themeColor="text1" w:themeTint="80" w:themeShade="95"/>
        <w:sz w:val="22"/>
      </w:rPr>
      <w:tcPr>
        <w:shd w:val="clear" w:color="ffffff" w:themeColor="text1" w:themeTint="00" w:fill="ffffff" w:themeFill="text1" w:themeFillTint="00"/>
      </w:tcPr>
    </w:tblStylePr>
    <w:tblStylePr w:type="band1Vert">
      <w:tcPr>
        <w:shd w:val="clear" w:color="ffffff" w:themeColor="text1" w:themeTint="00" w:fill="ffffff" w:themeFill="text1" w:themeFillTint="00"/>
      </w:tcPr>
    </w:tblStylePr>
    <w:tblStylePr w:type="band2Horz">
      <w:rPr>
        <w:rFonts w:ascii="Arial" w:hAnsi="Arial"/>
        <w:color w:val="7f7f7f" w:themeColor="text1" w:themeTint="80" w:themeShade="95"/>
        <w:sz w:val="22"/>
      </w:rPr>
    </w:tblStylePr>
    <w:tblStylePr w:type="firstCol">
      <w:rPr>
        <w:rFonts w:ascii="Arial" w:hAnsi="Arial"/>
        <w:i/>
        <w:color w:val="7f7f7f" w:themeColor="text1" w:themeTint="80" w:themeShade="95"/>
        <w:sz w:val="22"/>
      </w:rPr>
      <w:pPr>
        <w:jc w:val="right"/>
      </w:pPr>
      <w:tcPr>
        <w:shd w:val="clear" w:color="ffffff" w:fill="auto"/>
        <w:tcBorders>
          <w:top w:val="none" w:color="000000" w:sz="4" w:space="0"/>
          <w:left w:val="none" w:color="000000" w:sz="4" w:space="0"/>
          <w:bottom w:val="none" w:color="000000" w:sz="4" w:space="0"/>
          <w:right w:val="single" w:color="7F7F7F" w:themeColor="text1" w:themeTint="80" w:sz="4" w:space="0"/>
        </w:tcBorders>
      </w:tcPr>
    </w:tblStylePr>
    <w:tblStylePr w:type="firstRow">
      <w:rPr>
        <w:rFonts w:ascii="Arial" w:hAnsi="Arial"/>
        <w:b/>
        <w:color w:val="7f7f7f" w:themeColor="text1" w:themeTint="80" w:themeShade="95"/>
        <w:sz w:val="22"/>
      </w:rPr>
      <w:tcPr>
        <w:shd w:val="clear" w:color="ffffff" w:themeColor="light1" w:fill="ffffff" w:themeFill="light1"/>
        <w:tcBorders>
          <w:top w:val="none" w:color="000000" w:sz="4" w:space="0"/>
          <w:left w:val="none" w:color="000000" w:sz="4" w:space="0"/>
          <w:bottom w:val="single" w:color="7F7F7F" w:themeColor="text1" w:themeTint="80" w:sz="4" w:space="0"/>
          <w:right w:val="none" w:color="000000" w:sz="4" w:space="0"/>
        </w:tcBorders>
      </w:tcPr>
    </w:tblStylePr>
    <w:tblStylePr w:type="lastCol">
      <w:rPr>
        <w:rFonts w:ascii="Arial" w:hAnsi="Arial"/>
        <w:i/>
        <w:color w:val="7f7f7f" w:themeColor="text1" w:themeTint="80" w:themeShade="95"/>
        <w:sz w:val="22"/>
      </w:rPr>
      <w:tcPr>
        <w:shd w:val="clear" w:color="ffffff" w:fill="auto"/>
        <w:tcBorders>
          <w:top w:val="none" w:color="000000" w:sz="4" w:space="0"/>
          <w:left w:val="single" w:color="7F7F7F" w:themeColor="text1" w:themeTint="80" w:sz="4" w:space="0"/>
          <w:bottom w:val="none" w:color="000000" w:sz="4" w:space="0"/>
          <w:right w:val="none" w:color="000000" w:sz="4" w:space="0"/>
        </w:tcBorders>
      </w:tcPr>
    </w:tblStylePr>
    <w:tblStylePr w:type="lastRow">
      <w:rPr>
        <w:rFonts w:ascii="Arial" w:hAnsi="Arial"/>
        <w:b/>
        <w:color w:val="7f7f7f" w:themeColor="text1" w:themeTint="80" w:themeShade="95"/>
        <w:sz w:val="22"/>
      </w:rPr>
      <w:tcPr>
        <w:shd w:val="clear" w:color="ffffff" w:themeColor="light1" w:fill="ffffff" w:themeFill="light1"/>
        <w:tcBorders>
          <w:top w:val="single" w:color="7F7F7F" w:themeColor="text1" w:themeTint="80" w:sz="4" w:space="0"/>
          <w:left w:val="none" w:color="000000" w:sz="4" w:space="0"/>
          <w:bottom w:val="none" w:color="000000" w:sz="4" w:space="0"/>
          <w:right w:val="none" w:color="000000" w:sz="4" w:space="0"/>
        </w:tcBorders>
      </w:tcPr>
    </w:tblStylePr>
  </w:style>
  <w:style w:type="table" w:styleId="1137" w:customStyle="1">
    <w:name w:val="Grid Table 7 Colorful - Accent 1"/>
    <w:basedOn w:val="1054"/>
    <w:uiPriority w:val="99"/>
    <w:pPr>
      <w:spacing w:after="0" w:line="240" w:lineRule="auto"/>
    </w:pPr>
    <w:tblPr>
      <w:tblStyleRowBandSize w:val="1"/>
      <w:tblStyleColBandSize w:val="1"/>
      <w:tblInd w:w="0" w:type="dxa"/>
      <w:tblBorders>
        <w:bottom w:val="single" w:color="A6BFDD" w:themeColor="accent1" w:themeTint="80" w:sz="4" w:space="0"/>
        <w:right w:val="single" w:color="A6BFDD" w:themeColor="accent1" w:themeTint="80" w:sz="4" w:space="0"/>
        <w:insideH w:val="single" w:color="A6BFDD" w:themeColor="accent1" w:themeTint="80" w:sz="4" w:space="0"/>
        <w:insideV w:val="single" w:color="A6BFDD" w:themeColor="accent1" w:themeTint="80" w:sz="4" w:space="0"/>
      </w:tblBorders>
      <w:tblCellMar>
        <w:left w:w="108" w:type="dxa"/>
        <w:top w:w="0" w:type="dxa"/>
        <w:right w:w="108" w:type="dxa"/>
        <w:bottom w:w="0" w:type="dxa"/>
      </w:tblCellMar>
    </w:tblPr>
    <w:tblStylePr w:type="band1Horz">
      <w:rPr>
        <w:rFonts w:ascii="Arial" w:hAnsi="Arial"/>
        <w:color w:val="a6bfdd" w:themeColor="accent1" w:themeTint="80" w:themeShade="95"/>
        <w:sz w:val="22"/>
      </w:rPr>
      <w:tcPr>
        <w:shd w:val="clear" w:color="dae5f1" w:themeColor="accent1" w:themeTint="34" w:fill="dae5f1" w:themeFill="accent1" w:themeFillTint="34"/>
      </w:tcPr>
    </w:tblStylePr>
    <w:tblStylePr w:type="band1Vert">
      <w:tcPr>
        <w:shd w:val="clear" w:color="dae5f1" w:themeColor="accent1" w:themeTint="34" w:fill="dae5f1" w:themeFill="accent1" w:themeFillTint="34"/>
      </w:tcPr>
    </w:tblStylePr>
    <w:tblStylePr w:type="band2Horz">
      <w:rPr>
        <w:rFonts w:ascii="Arial" w:hAnsi="Arial"/>
        <w:color w:val="a6bfdd" w:themeColor="accent1" w:themeTint="80" w:themeShade="95"/>
        <w:sz w:val="22"/>
      </w:rPr>
    </w:tblStylePr>
    <w:tblStylePr w:type="firstCol">
      <w:rPr>
        <w:rFonts w:ascii="Arial" w:hAnsi="Arial"/>
        <w:i/>
        <w:color w:val="a6bfdd" w:themeColor="accent1" w:themeTint="80" w:themeShade="95"/>
        <w:sz w:val="22"/>
      </w:rPr>
      <w:pPr>
        <w:jc w:val="right"/>
      </w:pPr>
      <w:tcPr>
        <w:shd w:val="clear" w:color="ffffff" w:fill="auto"/>
        <w:tcBorders>
          <w:top w:val="none" w:color="000000" w:sz="4" w:space="0"/>
          <w:left w:val="none" w:color="000000" w:sz="4" w:space="0"/>
          <w:bottom w:val="none" w:color="000000" w:sz="4" w:space="0"/>
          <w:right w:val="single" w:color="A6BFDD" w:themeColor="accent1" w:themeTint="80" w:sz="4" w:space="0"/>
        </w:tcBorders>
      </w:tcPr>
    </w:tblStylePr>
    <w:tblStylePr w:type="firstRow">
      <w:rPr>
        <w:rFonts w:ascii="Arial" w:hAnsi="Arial"/>
        <w:b/>
        <w:color w:val="a6bfdd" w:themeColor="accent1" w:themeTint="80" w:themeShade="95"/>
        <w:sz w:val="22"/>
      </w:rPr>
      <w:tcPr>
        <w:shd w:val="clear" w:color="ffffff" w:themeColor="light1" w:fill="ffffff" w:themeFill="light1"/>
        <w:tcBorders>
          <w:top w:val="none" w:color="000000" w:sz="4" w:space="0"/>
          <w:left w:val="none" w:color="000000" w:sz="4" w:space="0"/>
          <w:bottom w:val="single" w:color="A6BFDD" w:themeColor="accent1" w:themeTint="80" w:sz="4" w:space="0"/>
          <w:right w:val="none" w:color="000000" w:sz="4" w:space="0"/>
        </w:tcBorders>
      </w:tcPr>
    </w:tblStylePr>
    <w:tblStylePr w:type="lastCol">
      <w:rPr>
        <w:rFonts w:ascii="Arial" w:hAnsi="Arial"/>
        <w:i/>
        <w:color w:val="a6bfdd" w:themeColor="accent1" w:themeTint="80" w:themeShade="95"/>
        <w:sz w:val="22"/>
      </w:rPr>
      <w:tcPr>
        <w:shd w:val="clear" w:color="ffffff" w:fill="auto"/>
        <w:tcBorders>
          <w:top w:val="none" w:color="000000" w:sz="4" w:space="0"/>
          <w:left w:val="single" w:color="A6BFDD" w:themeColor="accent1" w:themeTint="80" w:sz="4" w:space="0"/>
          <w:bottom w:val="none" w:color="000000" w:sz="4" w:space="0"/>
          <w:right w:val="none" w:color="000000" w:sz="4" w:space="0"/>
        </w:tcBorders>
      </w:tcPr>
    </w:tblStylePr>
    <w:tblStylePr w:type="lastRow">
      <w:rPr>
        <w:rFonts w:ascii="Arial" w:hAnsi="Arial"/>
        <w:b/>
        <w:color w:val="a6bfdd" w:themeColor="accent1" w:themeTint="80" w:themeShade="95"/>
        <w:sz w:val="22"/>
      </w:rPr>
      <w:tcPr>
        <w:shd w:val="clear" w:color="ffffff" w:themeColor="light1" w:fill="ffffff" w:themeFill="light1"/>
        <w:tcBorders>
          <w:top w:val="single" w:color="A6BFDD" w:themeColor="accent1" w:themeTint="80" w:sz="4" w:space="0"/>
          <w:left w:val="none" w:color="000000" w:sz="4" w:space="0"/>
          <w:bottom w:val="none" w:color="000000" w:sz="4" w:space="0"/>
          <w:right w:val="none" w:color="000000" w:sz="4" w:space="0"/>
        </w:tcBorders>
      </w:tcPr>
    </w:tblStylePr>
  </w:style>
  <w:style w:type="table" w:styleId="1138" w:customStyle="1">
    <w:name w:val="Grid Table 7 Colorful - Accent 2"/>
    <w:basedOn w:val="1054"/>
    <w:uiPriority w:val="99"/>
    <w:pPr>
      <w:spacing w:after="0" w:line="240" w:lineRule="auto"/>
    </w:pPr>
    <w:tblPr>
      <w:tblStyleRowBandSize w:val="1"/>
      <w:tblStyleColBandSize w:val="1"/>
      <w:tblInd w:w="0" w:type="dxa"/>
      <w:tblBorders>
        <w:bottom w:val="single" w:color="D99695" w:themeColor="accent2" w:themeTint="97" w:sz="4" w:space="0"/>
        <w:right w:val="single" w:color="D99695" w:themeColor="accent2" w:themeTint="97" w:sz="4" w:space="0"/>
        <w:insideH w:val="single" w:color="D99695" w:themeColor="accent2" w:themeTint="97" w:sz="4" w:space="0"/>
        <w:insideV w:val="single" w:color="D99695" w:themeColor="accent2" w:themeTint="97" w:sz="4" w:space="0"/>
      </w:tblBorders>
      <w:tblCellMar>
        <w:left w:w="108" w:type="dxa"/>
        <w:top w:w="0" w:type="dxa"/>
        <w:right w:w="108" w:type="dxa"/>
        <w:bottom w:w="0" w:type="dxa"/>
      </w:tblCellMar>
    </w:tblPr>
    <w:tblStylePr w:type="band1Horz">
      <w:rPr>
        <w:rFonts w:ascii="Arial" w:hAnsi="Arial"/>
        <w:color w:val="d99695" w:themeColor="accent2" w:themeTint="97" w:themeShade="95"/>
        <w:sz w:val="22"/>
      </w:rPr>
      <w:tcPr>
        <w:shd w:val="clear" w:color="f2dcdc" w:themeColor="accent2" w:themeTint="32" w:fill="f2dcdc" w:themeFill="accent2" w:themeFillTint="32"/>
      </w:tcPr>
    </w:tblStylePr>
    <w:tblStylePr w:type="band1Vert">
      <w:tcPr>
        <w:shd w:val="clear" w:color="f2dcdc" w:themeColor="accent2" w:themeTint="32" w:fill="f2dcdc" w:themeFill="accent2" w:themeFillTint="32"/>
      </w:tcPr>
    </w:tblStylePr>
    <w:tblStylePr w:type="band2Horz">
      <w:rPr>
        <w:rFonts w:ascii="Arial" w:hAnsi="Arial"/>
        <w:color w:val="d99695" w:themeColor="accent2" w:themeTint="97" w:themeShade="95"/>
        <w:sz w:val="22"/>
      </w:rPr>
    </w:tblStylePr>
    <w:tblStylePr w:type="firstCol">
      <w:rPr>
        <w:rFonts w:ascii="Arial" w:hAnsi="Arial"/>
        <w:i/>
        <w:color w:val="d99695" w:themeColor="accent2" w:themeTint="97" w:themeShade="95"/>
        <w:sz w:val="22"/>
      </w:rPr>
      <w:pPr>
        <w:jc w:val="right"/>
      </w:pPr>
      <w:tcPr>
        <w:shd w:val="clear" w:color="ffffff" w:fill="auto"/>
        <w:tcBorders>
          <w:top w:val="none" w:color="000000" w:sz="4" w:space="0"/>
          <w:left w:val="none" w:color="000000" w:sz="4" w:space="0"/>
          <w:bottom w:val="none" w:color="000000" w:sz="4" w:space="0"/>
          <w:right w:val="single" w:color="D99695" w:themeColor="accent2" w:themeTint="97" w:sz="4" w:space="0"/>
        </w:tcBorders>
      </w:tcPr>
    </w:tblStylePr>
    <w:tblStylePr w:type="firstRow">
      <w:rPr>
        <w:rFonts w:ascii="Arial" w:hAnsi="Arial"/>
        <w:b/>
        <w:color w:val="d99695" w:themeColor="accent2" w:themeTint="97" w:themeShade="95"/>
        <w:sz w:val="22"/>
      </w:rPr>
      <w:tcPr>
        <w:shd w:val="clear" w:color="ffffff" w:themeColor="light1" w:fill="ffffff" w:themeFill="light1"/>
        <w:tcBorders>
          <w:top w:val="none" w:color="000000" w:sz="4" w:space="0"/>
          <w:left w:val="none" w:color="000000" w:sz="4" w:space="0"/>
          <w:bottom w:val="single" w:color="D99695" w:themeColor="accent2" w:themeTint="97" w:sz="4" w:space="0"/>
          <w:right w:val="none" w:color="000000" w:sz="4" w:space="0"/>
        </w:tcBorders>
      </w:tcPr>
    </w:tblStylePr>
    <w:tblStylePr w:type="lastCol">
      <w:rPr>
        <w:rFonts w:ascii="Arial" w:hAnsi="Arial"/>
        <w:i/>
        <w:color w:val="d99695" w:themeColor="accent2" w:themeTint="97" w:themeShade="95"/>
        <w:sz w:val="22"/>
      </w:rPr>
      <w:tcPr>
        <w:shd w:val="clear" w:color="ffffff" w:fill="auto"/>
        <w:tcBorders>
          <w:top w:val="none" w:color="000000" w:sz="4" w:space="0"/>
          <w:left w:val="single" w:color="D99695" w:themeColor="accent2" w:themeTint="97" w:sz="4" w:space="0"/>
          <w:bottom w:val="none" w:color="000000" w:sz="4" w:space="0"/>
          <w:right w:val="none" w:color="000000" w:sz="4" w:space="0"/>
        </w:tcBorders>
      </w:tcPr>
    </w:tblStylePr>
    <w:tblStylePr w:type="lastRow">
      <w:rPr>
        <w:rFonts w:ascii="Arial" w:hAnsi="Arial"/>
        <w:b/>
        <w:color w:val="d99695" w:themeColor="accent2" w:themeTint="97" w:themeShade="95"/>
        <w:sz w:val="22"/>
      </w:rPr>
      <w:tcPr>
        <w:shd w:val="clear" w:color="ffffff" w:themeColor="light1" w:fill="ffffff" w:themeFill="light1"/>
        <w:tcBorders>
          <w:top w:val="single" w:color="D99695" w:themeColor="accent2" w:themeTint="97" w:sz="4" w:space="0"/>
          <w:left w:val="none" w:color="000000" w:sz="4" w:space="0"/>
          <w:bottom w:val="none" w:color="000000" w:sz="4" w:space="0"/>
          <w:right w:val="none" w:color="000000" w:sz="4" w:space="0"/>
        </w:tcBorders>
      </w:tcPr>
    </w:tblStylePr>
  </w:style>
  <w:style w:type="table" w:styleId="1139" w:customStyle="1">
    <w:name w:val="Grid Table 7 Colorful - Accent 3"/>
    <w:basedOn w:val="1054"/>
    <w:uiPriority w:val="99"/>
    <w:pPr>
      <w:spacing w:after="0" w:line="240" w:lineRule="auto"/>
    </w:pPr>
    <w:tblPr>
      <w:tblStyleRowBandSize w:val="1"/>
      <w:tblStyleColBandSize w:val="1"/>
      <w:tblInd w:w="0" w:type="dxa"/>
      <w:tblBorders>
        <w:bottom w:val="single" w:color="9ABB59" w:themeColor="accent3" w:themeTint="FE" w:sz="4" w:space="0"/>
        <w:right w:val="single" w:color="9ABB59" w:themeColor="accent3" w:themeTint="FE" w:sz="4" w:space="0"/>
        <w:insideH w:val="single" w:color="9ABB59" w:themeColor="accent3" w:themeTint="FE" w:sz="4" w:space="0"/>
        <w:insideV w:val="single" w:color="9ABB59" w:themeColor="accent3" w:themeTint="FE" w:sz="4" w:space="0"/>
      </w:tblBorders>
      <w:tblCellMar>
        <w:left w:w="108" w:type="dxa"/>
        <w:top w:w="0" w:type="dxa"/>
        <w:right w:w="108" w:type="dxa"/>
        <w:bottom w:w="0" w:type="dxa"/>
      </w:tblCellMar>
    </w:tblPr>
    <w:tblStylePr w:type="band1Horz">
      <w:rPr>
        <w:rFonts w:ascii="Arial" w:hAnsi="Arial"/>
        <w:color w:val="9abb59" w:themeColor="accent3" w:themeTint="FE" w:themeShade="95"/>
        <w:sz w:val="22"/>
      </w:rPr>
      <w:tcPr>
        <w:shd w:val="clear" w:color="eaf1dc" w:themeColor="accent3" w:themeTint="34" w:fill="eaf1dc" w:themeFill="accent3" w:themeFillTint="34"/>
      </w:tcPr>
    </w:tblStylePr>
    <w:tblStylePr w:type="band1Vert">
      <w:tcPr>
        <w:shd w:val="clear" w:color="eaf1dc" w:themeColor="accent3" w:themeTint="34" w:fill="eaf1dc" w:themeFill="accent3" w:themeFillTint="34"/>
      </w:tcPr>
    </w:tblStylePr>
    <w:tblStylePr w:type="band2Horz">
      <w:rPr>
        <w:rFonts w:ascii="Arial" w:hAnsi="Arial"/>
        <w:color w:val="9abb59" w:themeColor="accent3" w:themeTint="FE" w:themeShade="95"/>
        <w:sz w:val="22"/>
      </w:rPr>
    </w:tblStylePr>
    <w:tblStylePr w:type="firstCol">
      <w:rPr>
        <w:rFonts w:ascii="Arial" w:hAnsi="Arial"/>
        <w:i/>
        <w:color w:val="9abb59" w:themeColor="accent3" w:themeTint="FE" w:themeShade="95"/>
        <w:sz w:val="22"/>
      </w:rPr>
      <w:pPr>
        <w:jc w:val="right"/>
      </w:pPr>
      <w:tcPr>
        <w:shd w:val="clear" w:color="ffffff" w:fill="auto"/>
        <w:tcBorders>
          <w:top w:val="none" w:color="000000" w:sz="4" w:space="0"/>
          <w:left w:val="none" w:color="000000" w:sz="4" w:space="0"/>
          <w:bottom w:val="none" w:color="000000" w:sz="4" w:space="0"/>
          <w:right w:val="single" w:color="9ABB59" w:themeColor="accent3" w:themeTint="FE" w:sz="4" w:space="0"/>
        </w:tcBorders>
      </w:tcPr>
    </w:tblStylePr>
    <w:tblStylePr w:type="firstRow">
      <w:rPr>
        <w:rFonts w:ascii="Arial" w:hAnsi="Arial"/>
        <w:b/>
        <w:color w:val="9abb59" w:themeColor="accent3" w:themeTint="FE" w:themeShade="95"/>
        <w:sz w:val="22"/>
      </w:rPr>
      <w:tcPr>
        <w:shd w:val="clear" w:color="ffffff" w:themeColor="light1" w:fill="ffffff" w:themeFill="light1"/>
        <w:tcBorders>
          <w:top w:val="none" w:color="000000" w:sz="4" w:space="0"/>
          <w:left w:val="none" w:color="000000" w:sz="4" w:space="0"/>
          <w:bottom w:val="single" w:color="9ABB59" w:themeColor="accent3" w:themeTint="FE" w:sz="4" w:space="0"/>
          <w:right w:val="none" w:color="000000" w:sz="4" w:space="0"/>
        </w:tcBorders>
      </w:tcPr>
    </w:tblStylePr>
    <w:tblStylePr w:type="lastCol">
      <w:rPr>
        <w:rFonts w:ascii="Arial" w:hAnsi="Arial"/>
        <w:i/>
        <w:color w:val="9abb59" w:themeColor="accent3" w:themeTint="FE" w:themeShade="95"/>
        <w:sz w:val="22"/>
      </w:rPr>
      <w:tcPr>
        <w:shd w:val="clear" w:color="ffffff" w:fill="auto"/>
        <w:tcBorders>
          <w:top w:val="none" w:color="000000" w:sz="4" w:space="0"/>
          <w:left w:val="single" w:color="9ABB59" w:themeColor="accent3" w:themeTint="FE" w:sz="4" w:space="0"/>
          <w:bottom w:val="none" w:color="000000" w:sz="4" w:space="0"/>
          <w:right w:val="none" w:color="000000" w:sz="4" w:space="0"/>
        </w:tcBorders>
      </w:tcPr>
    </w:tblStylePr>
    <w:tblStylePr w:type="lastRow">
      <w:rPr>
        <w:rFonts w:ascii="Arial" w:hAnsi="Arial"/>
        <w:b/>
        <w:color w:val="9abb59" w:themeColor="accent3" w:themeTint="FE" w:themeShade="95"/>
        <w:sz w:val="22"/>
      </w:rPr>
      <w:tcPr>
        <w:shd w:val="clear" w:color="ffffff" w:themeColor="light1" w:fill="ffffff" w:themeFill="light1"/>
        <w:tcBorders>
          <w:top w:val="single" w:color="9ABB59" w:themeColor="accent3" w:themeTint="FE" w:sz="4" w:space="0"/>
          <w:left w:val="none" w:color="000000" w:sz="4" w:space="0"/>
          <w:bottom w:val="none" w:color="000000" w:sz="4" w:space="0"/>
          <w:right w:val="none" w:color="000000" w:sz="4" w:space="0"/>
        </w:tcBorders>
      </w:tcPr>
    </w:tblStylePr>
  </w:style>
  <w:style w:type="table" w:styleId="1140" w:customStyle="1">
    <w:name w:val="Grid Table 7 Colorful - Accent 4"/>
    <w:basedOn w:val="1054"/>
    <w:uiPriority w:val="99"/>
    <w:pPr>
      <w:spacing w:after="0" w:line="240" w:lineRule="auto"/>
    </w:pPr>
    <w:tblPr>
      <w:tblStyleRowBandSize w:val="1"/>
      <w:tblStyleColBandSize w:val="1"/>
      <w:tblInd w:w="0" w:type="dxa"/>
      <w:tblBorders>
        <w:bottom w:val="single" w:color="B2A1C6" w:themeColor="accent4" w:themeTint="9A" w:sz="4" w:space="0"/>
        <w:right w:val="single" w:color="B2A1C6" w:themeColor="accent4" w:themeTint="9A" w:sz="4" w:space="0"/>
        <w:insideH w:val="single" w:color="B2A1C6" w:themeColor="accent4" w:themeTint="9A" w:sz="4" w:space="0"/>
        <w:insideV w:val="single" w:color="B2A1C6" w:themeColor="accent4" w:themeTint="9A" w:sz="4" w:space="0"/>
      </w:tblBorders>
      <w:tblCellMar>
        <w:left w:w="108" w:type="dxa"/>
        <w:top w:w="0" w:type="dxa"/>
        <w:right w:w="108" w:type="dxa"/>
        <w:bottom w:w="0" w:type="dxa"/>
      </w:tblCellMar>
    </w:tblPr>
    <w:tblStylePr w:type="band1Horz">
      <w:rPr>
        <w:rFonts w:ascii="Arial" w:hAnsi="Arial"/>
        <w:color w:val="b2a1c6" w:themeColor="accent4" w:themeTint="9A" w:themeShade="95"/>
        <w:sz w:val="22"/>
      </w:rPr>
      <w:tcPr>
        <w:shd w:val="clear" w:color="e5dfec" w:themeColor="accent4" w:themeTint="34" w:fill="e5dfec" w:themeFill="accent4" w:themeFillTint="34"/>
      </w:tcPr>
    </w:tblStylePr>
    <w:tblStylePr w:type="band1Vert">
      <w:tcPr>
        <w:shd w:val="clear" w:color="e5dfec" w:themeColor="accent4" w:themeTint="34" w:fill="e5dfec" w:themeFill="accent4" w:themeFillTint="34"/>
      </w:tcPr>
    </w:tblStylePr>
    <w:tblStylePr w:type="band2Horz">
      <w:rPr>
        <w:rFonts w:ascii="Arial" w:hAnsi="Arial"/>
        <w:color w:val="b2a1c6" w:themeColor="accent4" w:themeTint="9A" w:themeShade="95"/>
        <w:sz w:val="22"/>
      </w:rPr>
    </w:tblStylePr>
    <w:tblStylePr w:type="firstCol">
      <w:rPr>
        <w:rFonts w:ascii="Arial" w:hAnsi="Arial"/>
        <w:i/>
        <w:color w:val="b2a1c6" w:themeColor="accent4" w:themeTint="9A" w:themeShade="95"/>
        <w:sz w:val="22"/>
      </w:rPr>
      <w:pPr>
        <w:jc w:val="right"/>
      </w:pPr>
      <w:tcPr>
        <w:shd w:val="clear" w:color="ffffff" w:fill="auto"/>
        <w:tcBorders>
          <w:top w:val="none" w:color="000000" w:sz="4" w:space="0"/>
          <w:left w:val="none" w:color="000000" w:sz="4" w:space="0"/>
          <w:bottom w:val="none" w:color="000000" w:sz="4" w:space="0"/>
          <w:right w:val="single" w:color="B2A1C6" w:themeColor="accent4" w:themeTint="9A" w:sz="4" w:space="0"/>
        </w:tcBorders>
      </w:tcPr>
    </w:tblStylePr>
    <w:tblStylePr w:type="firstRow">
      <w:rPr>
        <w:rFonts w:ascii="Arial" w:hAnsi="Arial"/>
        <w:b/>
        <w:color w:val="b2a1c6" w:themeColor="accent4" w:themeTint="9A" w:themeShade="95"/>
        <w:sz w:val="22"/>
      </w:rPr>
      <w:tcPr>
        <w:shd w:val="clear" w:color="ffffff" w:themeColor="light1" w:fill="ffffff" w:themeFill="light1"/>
        <w:tcBorders>
          <w:top w:val="none" w:color="000000" w:sz="4" w:space="0"/>
          <w:left w:val="none" w:color="000000" w:sz="4" w:space="0"/>
          <w:bottom w:val="single" w:color="B2A1C6" w:themeColor="accent4" w:themeTint="9A" w:sz="4" w:space="0"/>
          <w:right w:val="none" w:color="000000" w:sz="4" w:space="0"/>
        </w:tcBorders>
      </w:tcPr>
    </w:tblStylePr>
    <w:tblStylePr w:type="lastCol">
      <w:rPr>
        <w:rFonts w:ascii="Arial" w:hAnsi="Arial"/>
        <w:i/>
        <w:color w:val="b2a1c6" w:themeColor="accent4" w:themeTint="9A" w:themeShade="95"/>
        <w:sz w:val="22"/>
      </w:rPr>
      <w:tcPr>
        <w:shd w:val="clear" w:color="ffffff" w:fill="auto"/>
        <w:tcBorders>
          <w:top w:val="none" w:color="000000" w:sz="4" w:space="0"/>
          <w:left w:val="single" w:color="B2A1C6" w:themeColor="accent4" w:themeTint="9A" w:sz="4" w:space="0"/>
          <w:bottom w:val="none" w:color="000000" w:sz="4" w:space="0"/>
          <w:right w:val="none" w:color="000000" w:sz="4" w:space="0"/>
        </w:tcBorders>
      </w:tcPr>
    </w:tblStylePr>
    <w:tblStylePr w:type="lastRow">
      <w:rPr>
        <w:rFonts w:ascii="Arial" w:hAnsi="Arial"/>
        <w:b/>
        <w:color w:val="b2a1c6" w:themeColor="accent4" w:themeTint="9A" w:themeShade="95"/>
        <w:sz w:val="22"/>
      </w:rPr>
      <w:tcPr>
        <w:shd w:val="clear" w:color="ffffff" w:themeColor="light1" w:fill="ffffff" w:themeFill="light1"/>
        <w:tcBorders>
          <w:top w:val="single" w:color="B2A1C6" w:themeColor="accent4" w:themeTint="9A" w:sz="4" w:space="0"/>
          <w:left w:val="none" w:color="000000" w:sz="4" w:space="0"/>
          <w:bottom w:val="none" w:color="000000" w:sz="4" w:space="0"/>
          <w:right w:val="none" w:color="000000" w:sz="4" w:space="0"/>
        </w:tcBorders>
      </w:tcPr>
    </w:tblStylePr>
  </w:style>
  <w:style w:type="table" w:styleId="1141" w:customStyle="1">
    <w:name w:val="Grid Table 7 Colorful - Accent 5"/>
    <w:basedOn w:val="1054"/>
    <w:uiPriority w:val="99"/>
    <w:pPr>
      <w:spacing w:after="0" w:line="240" w:lineRule="auto"/>
    </w:pPr>
    <w:tblPr>
      <w:tblStyleRowBandSize w:val="1"/>
      <w:tblStyleColBandSize w:val="1"/>
      <w:tblInd w:w="0" w:type="dxa"/>
      <w:tblBorders>
        <w:bottom w:val="single" w:color="99D0DE" w:themeColor="accent5" w:themeTint="90" w:sz="4" w:space="0"/>
        <w:right w:val="single" w:color="99D0DE" w:themeColor="accent5" w:themeTint="90" w:sz="4" w:space="0"/>
        <w:insideH w:val="single" w:color="99D0DE" w:themeColor="accent5" w:themeTint="90" w:sz="4" w:space="0"/>
        <w:insideV w:val="single" w:color="99D0DE" w:themeColor="accent5" w:themeTint="90" w:sz="4" w:space="0"/>
      </w:tblBorders>
      <w:tblCellMar>
        <w:left w:w="108" w:type="dxa"/>
        <w:top w:w="0" w:type="dxa"/>
        <w:right w:w="108" w:type="dxa"/>
        <w:bottom w:w="0" w:type="dxa"/>
      </w:tblCellMar>
    </w:tblPr>
    <w:tblStylePr w:type="band1Horz">
      <w:rPr>
        <w:rFonts w:ascii="Arial" w:hAnsi="Arial"/>
        <w:color w:val="266779" w:themeColor="accent5" w:themeShade="95"/>
        <w:sz w:val="22"/>
      </w:rPr>
      <w:tcPr>
        <w:shd w:val="clear" w:color="daeef3" w:themeColor="accent5" w:themeTint="34" w:fill="daeef3" w:themeFill="accent5" w:themeFillTint="34"/>
      </w:tcPr>
    </w:tblStylePr>
    <w:tblStylePr w:type="band1Vert">
      <w:tcPr>
        <w:shd w:val="clear" w:color="daeef3" w:themeColor="accent5" w:themeTint="34" w:fill="daeef3" w:themeFill="accent5" w:themeFillTint="34"/>
      </w:tcPr>
    </w:tblStylePr>
    <w:tblStylePr w:type="band2Horz">
      <w:rPr>
        <w:rFonts w:ascii="Arial" w:hAnsi="Arial"/>
        <w:color w:val="266779" w:themeColor="accent5" w:themeShade="95"/>
        <w:sz w:val="22"/>
      </w:rPr>
    </w:tblStylePr>
    <w:tblStylePr w:type="firstCol">
      <w:rPr>
        <w:rFonts w:ascii="Arial" w:hAnsi="Arial"/>
        <w:i/>
        <w:color w:val="266779" w:themeColor="accent5" w:themeShade="95"/>
        <w:sz w:val="22"/>
      </w:rPr>
      <w:pPr>
        <w:jc w:val="right"/>
      </w:pPr>
      <w:tcPr>
        <w:shd w:val="clear" w:color="ffffff" w:fill="auto"/>
        <w:tcBorders>
          <w:top w:val="none" w:color="000000" w:sz="4" w:space="0"/>
          <w:left w:val="none" w:color="000000" w:sz="4" w:space="0"/>
          <w:bottom w:val="none" w:color="000000" w:sz="4" w:space="0"/>
          <w:right w:val="single" w:color="99D0DE" w:themeColor="accent5" w:themeTint="90" w:sz="4" w:space="0"/>
        </w:tcBorders>
      </w:tcPr>
    </w:tblStylePr>
    <w:tblStylePr w:type="firstRow">
      <w:rPr>
        <w:rFonts w:ascii="Arial" w:hAnsi="Arial"/>
        <w:b/>
        <w:color w:val="266779" w:themeColor="accent5" w:themeShade="95"/>
        <w:sz w:val="22"/>
      </w:rPr>
      <w:tcPr>
        <w:shd w:val="clear" w:color="ffffff" w:themeColor="light1" w:fill="ffffff" w:themeFill="light1"/>
        <w:tcBorders>
          <w:top w:val="none" w:color="000000" w:sz="4" w:space="0"/>
          <w:left w:val="none" w:color="000000" w:sz="4" w:space="0"/>
          <w:bottom w:val="single" w:color="99D0DE" w:themeColor="accent5" w:themeTint="90" w:sz="4" w:space="0"/>
          <w:right w:val="none" w:color="000000" w:sz="4" w:space="0"/>
        </w:tcBorders>
      </w:tcPr>
    </w:tblStylePr>
    <w:tblStylePr w:type="lastCol">
      <w:rPr>
        <w:rFonts w:ascii="Arial" w:hAnsi="Arial"/>
        <w:i/>
        <w:color w:val="266779" w:themeColor="accent5" w:themeShade="95"/>
        <w:sz w:val="22"/>
      </w:rPr>
      <w:tcPr>
        <w:shd w:val="clear" w:color="ffffff" w:fill="auto"/>
        <w:tcBorders>
          <w:top w:val="none" w:color="000000" w:sz="4" w:space="0"/>
          <w:left w:val="single" w:color="99D0DE" w:themeColor="accent5" w:themeTint="90" w:sz="4" w:space="0"/>
          <w:bottom w:val="none" w:color="000000" w:sz="4" w:space="0"/>
          <w:right w:val="none" w:color="000000" w:sz="4" w:space="0"/>
        </w:tcBorders>
      </w:tcPr>
    </w:tblStylePr>
    <w:tblStylePr w:type="lastRow">
      <w:rPr>
        <w:rFonts w:ascii="Arial" w:hAnsi="Arial"/>
        <w:b/>
        <w:color w:val="266779" w:themeColor="accent5" w:themeShade="95"/>
        <w:sz w:val="22"/>
      </w:rPr>
      <w:tcPr>
        <w:shd w:val="clear" w:color="ffffff" w:themeColor="light1" w:fill="ffffff" w:themeFill="light1"/>
        <w:tcBorders>
          <w:top w:val="single" w:color="99D0DE" w:themeColor="accent5" w:themeTint="90" w:sz="4" w:space="0"/>
          <w:left w:val="none" w:color="000000" w:sz="4" w:space="0"/>
          <w:bottom w:val="none" w:color="000000" w:sz="4" w:space="0"/>
          <w:right w:val="none" w:color="000000" w:sz="4" w:space="0"/>
        </w:tcBorders>
      </w:tcPr>
    </w:tblStylePr>
  </w:style>
  <w:style w:type="table" w:styleId="1142" w:customStyle="1">
    <w:name w:val="Grid Table 7 Colorful - Accent 6"/>
    <w:basedOn w:val="1054"/>
    <w:uiPriority w:val="99"/>
    <w:pPr>
      <w:spacing w:after="0" w:line="240" w:lineRule="auto"/>
    </w:pPr>
    <w:tblPr>
      <w:tblStyleRowBandSize w:val="1"/>
      <w:tblStyleColBandSize w:val="1"/>
      <w:tblInd w:w="0" w:type="dxa"/>
      <w:tblBorders>
        <w:bottom w:val="single" w:color="FAC396" w:themeColor="accent6" w:themeTint="90" w:sz="4" w:space="0"/>
        <w:right w:val="single" w:color="FAC396" w:themeColor="accent6" w:themeTint="90" w:sz="4" w:space="0"/>
        <w:insideH w:val="single" w:color="FAC396" w:themeColor="accent6" w:themeTint="90" w:sz="4" w:space="0"/>
        <w:insideV w:val="single" w:color="FAC396" w:themeColor="accent6" w:themeTint="90" w:sz="4" w:space="0"/>
      </w:tblBorders>
      <w:tblCellMar>
        <w:left w:w="108" w:type="dxa"/>
        <w:top w:w="0" w:type="dxa"/>
        <w:right w:w="108" w:type="dxa"/>
        <w:bottom w:w="0" w:type="dxa"/>
      </w:tblCellMar>
    </w:tblPr>
    <w:tblStylePr w:type="band1Horz">
      <w:rPr>
        <w:rFonts w:ascii="Arial" w:hAnsi="Arial"/>
        <w:color w:val="b15407" w:themeColor="accent6" w:themeShade="95"/>
        <w:sz w:val="22"/>
      </w:rPr>
      <w:tcPr>
        <w:shd w:val="clear" w:color="fde9d8" w:themeColor="accent6" w:themeTint="34" w:fill="fde9d8" w:themeFill="accent6" w:themeFillTint="34"/>
      </w:tcPr>
    </w:tblStylePr>
    <w:tblStylePr w:type="band1Vert">
      <w:tcPr>
        <w:shd w:val="clear" w:color="fde9d8" w:themeColor="accent6" w:themeTint="34" w:fill="fde9d8" w:themeFill="accent6" w:themeFillTint="34"/>
      </w:tcPr>
    </w:tblStylePr>
    <w:tblStylePr w:type="band2Horz">
      <w:rPr>
        <w:rFonts w:ascii="Arial" w:hAnsi="Arial"/>
        <w:color w:val="b15407" w:themeColor="accent6" w:themeShade="95"/>
        <w:sz w:val="22"/>
      </w:rPr>
    </w:tblStylePr>
    <w:tblStylePr w:type="firstCol">
      <w:rPr>
        <w:rFonts w:ascii="Arial" w:hAnsi="Arial"/>
        <w:i/>
        <w:color w:val="b15407" w:themeColor="accent6" w:themeShade="95"/>
        <w:sz w:val="22"/>
      </w:rPr>
      <w:pPr>
        <w:jc w:val="right"/>
      </w:pPr>
      <w:tcPr>
        <w:shd w:val="clear" w:color="ffffff" w:fill="auto"/>
        <w:tcBorders>
          <w:top w:val="none" w:color="000000" w:sz="4" w:space="0"/>
          <w:left w:val="none" w:color="000000" w:sz="4" w:space="0"/>
          <w:bottom w:val="none" w:color="000000" w:sz="4" w:space="0"/>
          <w:right w:val="single" w:color="FAC396" w:themeColor="accent6" w:themeTint="90" w:sz="4" w:space="0"/>
        </w:tcBorders>
      </w:tcPr>
    </w:tblStylePr>
    <w:tblStylePr w:type="firstRow">
      <w:rPr>
        <w:rFonts w:ascii="Arial" w:hAnsi="Arial"/>
        <w:b/>
        <w:color w:val="b15407" w:themeColor="accent6" w:themeShade="95"/>
        <w:sz w:val="22"/>
      </w:rPr>
      <w:tcPr>
        <w:shd w:val="clear" w:color="ffffff" w:themeColor="light1" w:fill="ffffff" w:themeFill="light1"/>
        <w:tcBorders>
          <w:top w:val="none" w:color="000000" w:sz="4" w:space="0"/>
          <w:left w:val="none" w:color="000000" w:sz="4" w:space="0"/>
          <w:bottom w:val="single" w:color="FAC396" w:themeColor="accent6" w:themeTint="90" w:sz="4" w:space="0"/>
          <w:right w:val="none" w:color="000000" w:sz="4" w:space="0"/>
        </w:tcBorders>
      </w:tcPr>
    </w:tblStylePr>
    <w:tblStylePr w:type="lastCol">
      <w:rPr>
        <w:rFonts w:ascii="Arial" w:hAnsi="Arial"/>
        <w:i/>
        <w:color w:val="b15407" w:themeColor="accent6" w:themeShade="95"/>
        <w:sz w:val="22"/>
      </w:rPr>
      <w:tcPr>
        <w:shd w:val="clear" w:color="ffffff" w:fill="auto"/>
        <w:tcBorders>
          <w:top w:val="none" w:color="000000" w:sz="4" w:space="0"/>
          <w:left w:val="single" w:color="FAC396" w:themeColor="accent6" w:themeTint="90" w:sz="4" w:space="0"/>
          <w:bottom w:val="none" w:color="000000" w:sz="4" w:space="0"/>
          <w:right w:val="none" w:color="000000" w:sz="4" w:space="0"/>
        </w:tcBorders>
      </w:tcPr>
    </w:tblStylePr>
    <w:tblStylePr w:type="lastRow">
      <w:rPr>
        <w:rFonts w:ascii="Arial" w:hAnsi="Arial"/>
        <w:b/>
        <w:color w:val="b15407" w:themeColor="accent6" w:themeShade="95"/>
        <w:sz w:val="22"/>
      </w:rPr>
      <w:tcPr>
        <w:shd w:val="clear" w:color="ffffff" w:themeColor="light1" w:fill="ffffff" w:themeFill="light1"/>
        <w:tcBorders>
          <w:top w:val="single" w:color="FAC396" w:themeColor="accent6" w:themeTint="90" w:sz="4" w:space="0"/>
          <w:left w:val="none" w:color="000000" w:sz="4" w:space="0"/>
          <w:bottom w:val="none" w:color="000000" w:sz="4" w:space="0"/>
          <w:right w:val="none" w:color="000000" w:sz="4" w:space="0"/>
        </w:tcBorders>
      </w:tcPr>
    </w:tblStylePr>
  </w:style>
  <w:style w:type="table" w:styleId="1143" w:customStyle="1">
    <w:name w:val="List Table 1 Light"/>
    <w:basedOn w:val="1054"/>
    <w:uiPriority w:val="99"/>
    <w:pPr>
      <w:spacing w:after="0" w:line="240" w:lineRule="auto"/>
    </w:pPr>
    <w:tblPr>
      <w:tblStyleRowBandSize w:val="1"/>
      <w:tblStyleColBandSize w:val="1"/>
      <w:tblInd w:w="0" w:type="dxa"/>
      <w:tblCellMar>
        <w:left w:w="108" w:type="dxa"/>
        <w:top w:w="0" w:type="dxa"/>
        <w:right w:w="108" w:type="dxa"/>
        <w:bottom w:w="0" w:type="dxa"/>
      </w:tblCellMar>
    </w:tblPr>
    <w:tblStylePr w:type="band1Horz">
      <w:tcPr>
        <w:shd w:val="clear" w:color="bfbfbf" w:themeColor="text1" w:themeTint="40" w:fill="bfbfbf" w:themeFill="text1" w:themeFillTint="40"/>
      </w:tcPr>
    </w:tblStylePr>
    <w:tblStylePr w:type="band1Vert">
      <w:tcPr>
        <w:shd w:val="clear" w:color="bfbfbf" w:themeColor="text1" w:themeTint="40" w:fill="bfbfbf" w:themeFill="text1" w:themeFillTint="40"/>
      </w:tcPr>
    </w:tblStylePr>
    <w:tblStylePr w:type="firstCol">
      <w:rPr>
        <w:b/>
        <w:color w:val="404040"/>
      </w:rPr>
    </w:tblStylePr>
    <w:tblStylePr w:type="firstRow">
      <w:rPr>
        <w:b/>
        <w:color w:val="404040"/>
      </w:rPr>
      <w:tcPr>
        <w:tcBorders>
          <w:top w:val="none" w:color="000000" w:sz="4" w:space="0"/>
          <w:left w:val="none" w:color="000000" w:sz="4" w:space="0"/>
          <w:bottom w:val="single" w:color="000000" w:themeColor="text1" w:sz="4" w:space="0"/>
          <w:right w:val="none" w:color="000000" w:sz="4" w:space="0"/>
        </w:tcBorders>
      </w:tcPr>
    </w:tblStylePr>
    <w:tblStylePr w:type="lastCol">
      <w:rPr>
        <w:b/>
        <w:color w:val="404040"/>
      </w:rPr>
    </w:tblStylePr>
    <w:tblStylePr w:type="lastRow">
      <w:rPr>
        <w:b/>
        <w:color w:val="404040"/>
      </w:rPr>
      <w:tcPr>
        <w:tcBorders>
          <w:top w:val="single" w:color="000000" w:themeColor="text1" w:sz="4" w:space="0"/>
          <w:left w:val="none" w:color="000000" w:sz="4" w:space="0"/>
          <w:bottom w:val="none" w:color="000000" w:sz="4" w:space="0"/>
          <w:right w:val="none" w:color="000000" w:sz="4" w:space="0"/>
        </w:tcBorders>
      </w:tcPr>
    </w:tblStylePr>
  </w:style>
  <w:style w:type="table" w:styleId="1144" w:customStyle="1">
    <w:name w:val="List Table 1 Light - Accent 1"/>
    <w:basedOn w:val="1054"/>
    <w:uiPriority w:val="99"/>
    <w:pPr>
      <w:spacing w:after="0" w:line="240" w:lineRule="auto"/>
    </w:pPr>
    <w:tblPr>
      <w:tblStyleRowBandSize w:val="1"/>
      <w:tblStyleColBandSize w:val="1"/>
      <w:tblInd w:w="0" w:type="dxa"/>
      <w:tblCellMar>
        <w:left w:w="108" w:type="dxa"/>
        <w:top w:w="0" w:type="dxa"/>
        <w:right w:w="108" w:type="dxa"/>
        <w:bottom w:w="0" w:type="dxa"/>
      </w:tblCellMar>
    </w:tblPr>
    <w:tblStylePr w:type="band1Horz">
      <w:tcPr>
        <w:shd w:val="clear" w:color="d2dfee" w:themeColor="accent1" w:themeTint="40" w:fill="d2dfee" w:themeFill="accent1" w:themeFillTint="40"/>
      </w:tcPr>
    </w:tblStylePr>
    <w:tblStylePr w:type="band1Vert">
      <w:tcPr>
        <w:shd w:val="clear" w:color="d2dfee" w:themeColor="accent1" w:themeTint="40" w:fill="d2dfee" w:themeFill="accent1" w:themeFillTint="40"/>
      </w:tcPr>
    </w:tblStylePr>
    <w:tblStylePr w:type="firstCol">
      <w:rPr>
        <w:b/>
        <w:color w:val="404040"/>
      </w:rPr>
    </w:tblStylePr>
    <w:tblStylePr w:type="firstRow">
      <w:rPr>
        <w:b/>
        <w:color w:val="404040"/>
      </w:rPr>
      <w:tcPr>
        <w:tcBorders>
          <w:top w:val="none" w:color="000000" w:sz="4" w:space="0"/>
          <w:left w:val="none" w:color="000000" w:sz="4" w:space="0"/>
          <w:bottom w:val="single" w:color="4F81BD" w:themeColor="accent1" w:sz="4" w:space="0"/>
          <w:right w:val="none" w:color="000000" w:sz="4" w:space="0"/>
        </w:tcBorders>
      </w:tcPr>
    </w:tblStylePr>
    <w:tblStylePr w:type="lastCol">
      <w:rPr>
        <w:b/>
        <w:color w:val="404040"/>
      </w:rPr>
    </w:tblStylePr>
    <w:tblStylePr w:type="lastRow">
      <w:rPr>
        <w:b/>
        <w:color w:val="404040"/>
      </w:rPr>
      <w:tcPr>
        <w:tcBorders>
          <w:top w:val="single" w:color="4F81BD" w:themeColor="accent1" w:sz="4" w:space="0"/>
          <w:left w:val="none" w:color="000000" w:sz="4" w:space="0"/>
          <w:bottom w:val="none" w:color="000000" w:sz="4" w:space="0"/>
          <w:right w:val="none" w:color="000000" w:sz="4" w:space="0"/>
        </w:tcBorders>
      </w:tcPr>
    </w:tblStylePr>
  </w:style>
  <w:style w:type="table" w:styleId="1145" w:customStyle="1">
    <w:name w:val="List Table 1 Light - Accent 2"/>
    <w:basedOn w:val="1054"/>
    <w:uiPriority w:val="99"/>
    <w:pPr>
      <w:spacing w:after="0" w:line="240" w:lineRule="auto"/>
    </w:pPr>
    <w:tblPr>
      <w:tblStyleRowBandSize w:val="1"/>
      <w:tblStyleColBandSize w:val="1"/>
      <w:tblInd w:w="0" w:type="dxa"/>
      <w:tblCellMar>
        <w:left w:w="108" w:type="dxa"/>
        <w:top w:w="0" w:type="dxa"/>
        <w:right w:w="108" w:type="dxa"/>
        <w:bottom w:w="0" w:type="dxa"/>
      </w:tblCellMar>
    </w:tblPr>
    <w:tblStylePr w:type="band1Horz">
      <w:tcPr>
        <w:shd w:val="clear" w:color="efd2d2" w:themeColor="accent2" w:themeTint="40" w:fill="efd2d2" w:themeFill="accent2" w:themeFillTint="40"/>
      </w:tcPr>
    </w:tblStylePr>
    <w:tblStylePr w:type="band1Vert">
      <w:tcPr>
        <w:shd w:val="clear" w:color="efd2d2" w:themeColor="accent2" w:themeTint="40" w:fill="efd2d2" w:themeFill="accent2" w:themeFillTint="40"/>
      </w:tcPr>
    </w:tblStylePr>
    <w:tblStylePr w:type="firstCol">
      <w:rPr>
        <w:b/>
        <w:color w:val="404040"/>
      </w:rPr>
    </w:tblStylePr>
    <w:tblStylePr w:type="firstRow">
      <w:rPr>
        <w:b/>
        <w:color w:val="404040"/>
      </w:rPr>
      <w:tcPr>
        <w:tcBorders>
          <w:top w:val="none" w:color="000000" w:sz="4" w:space="0"/>
          <w:left w:val="none" w:color="000000" w:sz="4" w:space="0"/>
          <w:bottom w:val="single" w:color="C0504D" w:themeColor="accent2" w:sz="4" w:space="0"/>
          <w:right w:val="none" w:color="000000" w:sz="4" w:space="0"/>
        </w:tcBorders>
      </w:tcPr>
    </w:tblStylePr>
    <w:tblStylePr w:type="lastCol">
      <w:rPr>
        <w:b/>
        <w:color w:val="404040"/>
      </w:rPr>
    </w:tblStylePr>
    <w:tblStylePr w:type="lastRow">
      <w:rPr>
        <w:b/>
        <w:color w:val="404040"/>
      </w:rPr>
      <w:tcPr>
        <w:tcBorders>
          <w:top w:val="single" w:color="C0504D" w:themeColor="accent2" w:sz="4" w:space="0"/>
          <w:left w:val="none" w:color="000000" w:sz="4" w:space="0"/>
          <w:bottom w:val="none" w:color="000000" w:sz="4" w:space="0"/>
          <w:right w:val="none" w:color="000000" w:sz="4" w:space="0"/>
        </w:tcBorders>
      </w:tcPr>
    </w:tblStylePr>
  </w:style>
  <w:style w:type="table" w:styleId="1146" w:customStyle="1">
    <w:name w:val="List Table 1 Light - Accent 3"/>
    <w:basedOn w:val="1054"/>
    <w:uiPriority w:val="99"/>
    <w:pPr>
      <w:spacing w:after="0" w:line="240" w:lineRule="auto"/>
    </w:pPr>
    <w:tblPr>
      <w:tblStyleRowBandSize w:val="1"/>
      <w:tblStyleColBandSize w:val="1"/>
      <w:tblInd w:w="0" w:type="dxa"/>
      <w:tblCellMar>
        <w:left w:w="108" w:type="dxa"/>
        <w:top w:w="0" w:type="dxa"/>
        <w:right w:w="108" w:type="dxa"/>
        <w:bottom w:w="0" w:type="dxa"/>
      </w:tblCellMar>
    </w:tblPr>
    <w:tblStylePr w:type="band1Horz">
      <w:tcPr>
        <w:shd w:val="clear" w:color="e5eed5" w:themeColor="accent3" w:themeTint="40" w:fill="e5eed5" w:themeFill="accent3" w:themeFillTint="40"/>
      </w:tcPr>
    </w:tblStylePr>
    <w:tblStylePr w:type="band1Vert">
      <w:tcPr>
        <w:shd w:val="clear" w:color="e5eed5" w:themeColor="accent3" w:themeTint="40" w:fill="e5eed5" w:themeFill="accent3" w:themeFillTint="40"/>
      </w:tcPr>
    </w:tblStylePr>
    <w:tblStylePr w:type="firstCol">
      <w:rPr>
        <w:b/>
        <w:color w:val="404040"/>
      </w:rPr>
    </w:tblStylePr>
    <w:tblStylePr w:type="firstRow">
      <w:rPr>
        <w:b/>
        <w:color w:val="404040"/>
      </w:rPr>
      <w:tcPr>
        <w:tcBorders>
          <w:top w:val="none" w:color="000000" w:sz="4" w:space="0"/>
          <w:left w:val="none" w:color="000000" w:sz="4" w:space="0"/>
          <w:bottom w:val="single" w:color="9BBB59" w:themeColor="accent3" w:sz="4" w:space="0"/>
          <w:right w:val="none" w:color="000000" w:sz="4" w:space="0"/>
        </w:tcBorders>
      </w:tcPr>
    </w:tblStylePr>
    <w:tblStylePr w:type="lastCol">
      <w:rPr>
        <w:b/>
        <w:color w:val="404040"/>
      </w:rPr>
    </w:tblStylePr>
    <w:tblStylePr w:type="lastRow">
      <w:rPr>
        <w:b/>
        <w:color w:val="404040"/>
      </w:rPr>
      <w:tcPr>
        <w:tcBorders>
          <w:top w:val="single" w:color="9BBB59" w:themeColor="accent3" w:sz="4" w:space="0"/>
          <w:left w:val="none" w:color="000000" w:sz="4" w:space="0"/>
          <w:bottom w:val="none" w:color="000000" w:sz="4" w:space="0"/>
          <w:right w:val="none" w:color="000000" w:sz="4" w:space="0"/>
        </w:tcBorders>
      </w:tcPr>
    </w:tblStylePr>
  </w:style>
  <w:style w:type="table" w:styleId="1147" w:customStyle="1">
    <w:name w:val="List Table 1 Light - Accent 4"/>
    <w:basedOn w:val="1054"/>
    <w:uiPriority w:val="99"/>
    <w:pPr>
      <w:spacing w:after="0" w:line="240" w:lineRule="auto"/>
    </w:pPr>
    <w:tblPr>
      <w:tblStyleRowBandSize w:val="1"/>
      <w:tblStyleColBandSize w:val="1"/>
      <w:tblInd w:w="0" w:type="dxa"/>
      <w:tblCellMar>
        <w:left w:w="108" w:type="dxa"/>
        <w:top w:w="0" w:type="dxa"/>
        <w:right w:w="108" w:type="dxa"/>
        <w:bottom w:w="0" w:type="dxa"/>
      </w:tblCellMar>
    </w:tblPr>
    <w:tblStylePr w:type="band1Horz">
      <w:tcPr>
        <w:shd w:val="clear" w:color="dfd8e7" w:themeColor="accent4" w:themeTint="40" w:fill="dfd8e7" w:themeFill="accent4" w:themeFillTint="40"/>
      </w:tcPr>
    </w:tblStylePr>
    <w:tblStylePr w:type="band1Vert">
      <w:tcPr>
        <w:shd w:val="clear" w:color="dfd8e7" w:themeColor="accent4" w:themeTint="40" w:fill="dfd8e7" w:themeFill="accent4" w:themeFillTint="40"/>
      </w:tcPr>
    </w:tblStylePr>
    <w:tblStylePr w:type="firstCol">
      <w:rPr>
        <w:b/>
        <w:color w:val="404040"/>
      </w:rPr>
    </w:tblStylePr>
    <w:tblStylePr w:type="firstRow">
      <w:rPr>
        <w:b/>
        <w:color w:val="404040"/>
      </w:rPr>
      <w:tcPr>
        <w:tcBorders>
          <w:top w:val="none" w:color="000000" w:sz="4" w:space="0"/>
          <w:left w:val="none" w:color="000000" w:sz="4" w:space="0"/>
          <w:bottom w:val="single" w:color="8064A2" w:themeColor="accent4" w:sz="4" w:space="0"/>
          <w:right w:val="none" w:color="000000" w:sz="4" w:space="0"/>
        </w:tcBorders>
      </w:tcPr>
    </w:tblStylePr>
    <w:tblStylePr w:type="lastCol">
      <w:rPr>
        <w:b/>
        <w:color w:val="404040"/>
      </w:rPr>
    </w:tblStylePr>
    <w:tblStylePr w:type="lastRow">
      <w:rPr>
        <w:b/>
        <w:color w:val="404040"/>
      </w:rPr>
      <w:tcPr>
        <w:tcBorders>
          <w:top w:val="single" w:color="8064A2" w:themeColor="accent4" w:sz="4" w:space="0"/>
          <w:left w:val="none" w:color="000000" w:sz="4" w:space="0"/>
          <w:bottom w:val="none" w:color="000000" w:sz="4" w:space="0"/>
          <w:right w:val="none" w:color="000000" w:sz="4" w:space="0"/>
        </w:tcBorders>
      </w:tcPr>
    </w:tblStylePr>
  </w:style>
  <w:style w:type="table" w:styleId="1148" w:customStyle="1">
    <w:name w:val="List Table 1 Light - Accent 5"/>
    <w:basedOn w:val="1054"/>
    <w:uiPriority w:val="99"/>
    <w:pPr>
      <w:spacing w:after="0" w:line="240" w:lineRule="auto"/>
    </w:pPr>
    <w:tblPr>
      <w:tblStyleRowBandSize w:val="1"/>
      <w:tblStyleColBandSize w:val="1"/>
      <w:tblInd w:w="0" w:type="dxa"/>
      <w:tblCellMar>
        <w:left w:w="108" w:type="dxa"/>
        <w:top w:w="0" w:type="dxa"/>
        <w:right w:w="108" w:type="dxa"/>
        <w:bottom w:w="0" w:type="dxa"/>
      </w:tblCellMar>
    </w:tblPr>
    <w:tblStylePr w:type="band1Horz">
      <w:tcPr>
        <w:shd w:val="clear" w:color="d1eaf0" w:themeColor="accent5" w:themeTint="40" w:fill="d1eaf0" w:themeFill="accent5" w:themeFillTint="40"/>
      </w:tcPr>
    </w:tblStylePr>
    <w:tblStylePr w:type="band1Vert">
      <w:tcPr>
        <w:shd w:val="clear" w:color="d1eaf0" w:themeColor="accent5" w:themeTint="40" w:fill="d1eaf0" w:themeFill="accent5" w:themeFillTint="40"/>
      </w:tcPr>
    </w:tblStylePr>
    <w:tblStylePr w:type="firstCol">
      <w:rPr>
        <w:b/>
        <w:color w:val="404040"/>
      </w:rPr>
    </w:tblStylePr>
    <w:tblStylePr w:type="firstRow">
      <w:rPr>
        <w:b/>
        <w:color w:val="404040"/>
      </w:rPr>
      <w:tcPr>
        <w:tcBorders>
          <w:top w:val="none" w:color="000000" w:sz="4" w:space="0"/>
          <w:left w:val="none" w:color="000000" w:sz="4" w:space="0"/>
          <w:bottom w:val="single" w:color="4BACC6" w:themeColor="accent5" w:sz="4" w:space="0"/>
          <w:right w:val="none" w:color="000000" w:sz="4" w:space="0"/>
        </w:tcBorders>
      </w:tcPr>
    </w:tblStylePr>
    <w:tblStylePr w:type="lastCol">
      <w:rPr>
        <w:b/>
        <w:color w:val="404040"/>
      </w:rPr>
    </w:tblStylePr>
    <w:tblStylePr w:type="lastRow">
      <w:rPr>
        <w:b/>
        <w:color w:val="404040"/>
      </w:rPr>
      <w:tcPr>
        <w:tcBorders>
          <w:top w:val="single" w:color="4BACC6" w:themeColor="accent5" w:sz="4" w:space="0"/>
          <w:left w:val="none" w:color="000000" w:sz="4" w:space="0"/>
          <w:bottom w:val="none" w:color="000000" w:sz="4" w:space="0"/>
          <w:right w:val="none" w:color="000000" w:sz="4" w:space="0"/>
        </w:tcBorders>
      </w:tcPr>
    </w:tblStylePr>
  </w:style>
  <w:style w:type="table" w:styleId="1149" w:customStyle="1">
    <w:name w:val="List Table 1 Light - Accent 6"/>
    <w:basedOn w:val="1054"/>
    <w:uiPriority w:val="99"/>
    <w:pPr>
      <w:spacing w:after="0" w:line="240" w:lineRule="auto"/>
    </w:pPr>
    <w:tblPr>
      <w:tblStyleRowBandSize w:val="1"/>
      <w:tblStyleColBandSize w:val="1"/>
      <w:tblInd w:w="0" w:type="dxa"/>
      <w:tblCellMar>
        <w:left w:w="108" w:type="dxa"/>
        <w:top w:w="0" w:type="dxa"/>
        <w:right w:w="108" w:type="dxa"/>
        <w:bottom w:w="0" w:type="dxa"/>
      </w:tblCellMar>
    </w:tblPr>
    <w:tblStylePr w:type="band1Horz">
      <w:tcPr>
        <w:shd w:val="clear" w:color="fde4d0" w:themeColor="accent6" w:themeTint="40" w:fill="fde4d0" w:themeFill="accent6" w:themeFillTint="40"/>
      </w:tcPr>
    </w:tblStylePr>
    <w:tblStylePr w:type="band1Vert">
      <w:tcPr>
        <w:shd w:val="clear" w:color="fde4d0" w:themeColor="accent6" w:themeTint="40" w:fill="fde4d0" w:themeFill="accent6" w:themeFillTint="40"/>
      </w:tcPr>
    </w:tblStylePr>
    <w:tblStylePr w:type="firstCol">
      <w:rPr>
        <w:b/>
        <w:color w:val="404040"/>
      </w:rPr>
    </w:tblStylePr>
    <w:tblStylePr w:type="firstRow">
      <w:rPr>
        <w:b/>
        <w:color w:val="404040"/>
      </w:rPr>
      <w:tcPr>
        <w:tcBorders>
          <w:top w:val="none" w:color="000000" w:sz="4" w:space="0"/>
          <w:left w:val="none" w:color="000000" w:sz="4" w:space="0"/>
          <w:bottom w:val="single" w:color="F79646" w:themeColor="accent6" w:sz="4" w:space="0"/>
          <w:right w:val="none" w:color="000000" w:sz="4" w:space="0"/>
        </w:tcBorders>
      </w:tcPr>
    </w:tblStylePr>
    <w:tblStylePr w:type="lastCol">
      <w:rPr>
        <w:b/>
        <w:color w:val="404040"/>
      </w:rPr>
    </w:tblStylePr>
    <w:tblStylePr w:type="lastRow">
      <w:rPr>
        <w:b/>
        <w:color w:val="404040"/>
      </w:rPr>
      <w:tcPr>
        <w:tcBorders>
          <w:top w:val="single" w:color="F79646" w:themeColor="accent6" w:sz="4" w:space="0"/>
          <w:left w:val="none" w:color="000000" w:sz="4" w:space="0"/>
          <w:bottom w:val="none" w:color="000000" w:sz="4" w:space="0"/>
          <w:right w:val="none" w:color="000000" w:sz="4" w:space="0"/>
        </w:tcBorders>
      </w:tcPr>
    </w:tblStylePr>
  </w:style>
  <w:style w:type="table" w:styleId="1150" w:customStyle="1">
    <w:name w:val="List Table 2"/>
    <w:basedOn w:val="1054"/>
    <w:uiPriority w:val="99"/>
    <w:pPr>
      <w:spacing w:after="0" w:line="240" w:lineRule="auto"/>
    </w:pPr>
    <w:tblPr>
      <w:tblStyleRowBandSize w:val="1"/>
      <w:tblStyleColBandSize w:val="1"/>
      <w:tblInd w:w="0" w:type="dxa"/>
      <w:tblBorders>
        <w:top w:val="single" w:color="6F6F6F" w:themeColor="text1" w:themeTint="90" w:sz="4" w:space="0"/>
        <w:bottom w:val="single" w:color="6F6F6F" w:themeColor="text1" w:themeTint="90" w:sz="4" w:space="0"/>
        <w:insideH w:val="single" w:color="6F6F6F" w:themeColor="text1" w:themeTint="90" w:sz="4" w:space="0"/>
      </w:tblBorders>
      <w:tblCellMar>
        <w:left w:w="108" w:type="dxa"/>
        <w:top w:w="0" w:type="dxa"/>
        <w:right w:w="108" w:type="dxa"/>
        <w:bottom w:w="0" w:type="dxa"/>
      </w:tblCellMar>
    </w:tblPr>
    <w:tblStylePr w:type="band1Horz">
      <w:rPr>
        <w:rFonts w:ascii="Arial" w:hAnsi="Arial"/>
        <w:color w:val="404040"/>
        <w:sz w:val="22"/>
      </w:rPr>
      <w:tcPr>
        <w:shd w:val="clear" w:color="bfbfbf" w:themeColor="text1" w:themeTint="40" w:fill="bfbfbf" w:themeFill="text1" w:themeFillTint="40"/>
      </w:tcPr>
    </w:tblStylePr>
    <w:tblStylePr w:type="band1Vert">
      <w:rPr>
        <w:rFonts w:ascii="Arial" w:hAnsi="Arial"/>
        <w:color w:val="404040"/>
        <w:sz w:val="22"/>
      </w:rPr>
      <w:tcPr>
        <w:shd w:val="clear" w:color="bfbfbf" w:themeColor="text1" w:themeTint="40" w:fill="bfbfbf" w:themeFill="text1" w:themeFillTint="40"/>
      </w:tcPr>
    </w:tblStylePr>
    <w:tblStylePr w:type="firstCol">
      <w:rPr>
        <w:rFonts w:ascii="Arial" w:hAnsi="Arial"/>
        <w:b/>
        <w:color w:val="404040"/>
        <w:sz w:val="22"/>
      </w:rPr>
    </w:tblStylePr>
    <w:tblStylePr w:type="firstRow">
      <w:rPr>
        <w:rFonts w:ascii="Arial" w:hAnsi="Arial"/>
        <w:b/>
        <w:color w:val="404040"/>
        <w:sz w:val="22"/>
      </w:rPr>
      <w:tcPr>
        <w:tcBorders>
          <w:top w:val="single" w:color="6F6F6F" w:themeColor="text1" w:themeTint="90" w:sz="4" w:space="0"/>
          <w:left w:val="none" w:color="000000" w:sz="4" w:space="0"/>
          <w:bottom w:val="single" w:color="6F6F6F" w:themeColor="text1" w:themeTint="90" w:sz="4" w:space="0"/>
          <w:right w:val="none" w:color="000000" w:sz="4" w:space="0"/>
        </w:tcBorders>
      </w:tcPr>
    </w:tblStylePr>
    <w:tblStylePr w:type="lastCol">
      <w:rPr>
        <w:rFonts w:ascii="Arial" w:hAnsi="Arial"/>
        <w:b/>
        <w:color w:val="404040"/>
        <w:sz w:val="22"/>
      </w:rPr>
    </w:tblStylePr>
    <w:tblStylePr w:type="lastRow">
      <w:rPr>
        <w:rFonts w:ascii="Arial" w:hAnsi="Arial"/>
        <w:b/>
        <w:color w:val="404040"/>
        <w:sz w:val="22"/>
      </w:rPr>
      <w:tcPr>
        <w:tcBorders>
          <w:top w:val="single" w:color="6F6F6F" w:themeColor="text1" w:themeTint="90" w:sz="4" w:space="0"/>
          <w:left w:val="none" w:color="000000" w:sz="4" w:space="0"/>
          <w:bottom w:val="single" w:color="6F6F6F" w:themeColor="text1" w:themeTint="90" w:sz="4" w:space="0"/>
          <w:right w:val="none" w:color="000000" w:sz="4" w:space="0"/>
        </w:tcBorders>
      </w:tcPr>
    </w:tblStylePr>
  </w:style>
  <w:style w:type="table" w:styleId="1151" w:customStyle="1">
    <w:name w:val="List Table 2 - Accent 1"/>
    <w:basedOn w:val="1054"/>
    <w:uiPriority w:val="99"/>
    <w:pPr>
      <w:spacing w:after="0" w:line="240" w:lineRule="auto"/>
    </w:pPr>
    <w:tblPr>
      <w:tblStyleRowBandSize w:val="1"/>
      <w:tblStyleColBandSize w:val="1"/>
      <w:tblInd w:w="0" w:type="dxa"/>
      <w:tblBorders>
        <w:top w:val="single" w:color="9BB7D9" w:themeColor="accent1" w:themeTint="90" w:sz="4" w:space="0"/>
        <w:bottom w:val="single" w:color="9BB7D9" w:themeColor="accent1" w:themeTint="90" w:sz="4" w:space="0"/>
        <w:insideH w:val="single" w:color="9BB7D9" w:themeColor="accent1" w:themeTint="90" w:sz="4" w:space="0"/>
      </w:tblBorders>
      <w:tblCellMar>
        <w:left w:w="108" w:type="dxa"/>
        <w:top w:w="0" w:type="dxa"/>
        <w:right w:w="108" w:type="dxa"/>
        <w:bottom w:w="0" w:type="dxa"/>
      </w:tblCellMar>
    </w:tblPr>
    <w:tblStylePr w:type="band1Horz">
      <w:rPr>
        <w:rFonts w:ascii="Arial" w:hAnsi="Arial"/>
        <w:color w:val="404040"/>
        <w:sz w:val="22"/>
      </w:rPr>
      <w:tcPr>
        <w:shd w:val="clear" w:color="d2dfee" w:themeColor="accent1" w:themeTint="40" w:fill="d2dfee" w:themeFill="accent1" w:themeFillTint="40"/>
      </w:tcPr>
    </w:tblStylePr>
    <w:tblStylePr w:type="band1Vert">
      <w:rPr>
        <w:rFonts w:ascii="Arial" w:hAnsi="Arial"/>
        <w:color w:val="404040"/>
        <w:sz w:val="22"/>
      </w:rPr>
      <w:tcPr>
        <w:shd w:val="clear" w:color="d2dfee" w:themeColor="accent1" w:themeTint="40" w:fill="d2dfee" w:themeFill="accent1" w:themeFillTint="40"/>
      </w:tcPr>
    </w:tblStylePr>
    <w:tblStylePr w:type="firstCol">
      <w:rPr>
        <w:rFonts w:ascii="Arial" w:hAnsi="Arial"/>
        <w:b/>
        <w:color w:val="404040"/>
        <w:sz w:val="22"/>
      </w:rPr>
    </w:tblStylePr>
    <w:tblStylePr w:type="firstRow">
      <w:rPr>
        <w:rFonts w:ascii="Arial" w:hAnsi="Arial"/>
        <w:b/>
        <w:color w:val="404040"/>
        <w:sz w:val="22"/>
      </w:rPr>
      <w:tcPr>
        <w:tcBorders>
          <w:top w:val="single" w:color="9BB7D9" w:themeColor="accent1" w:themeTint="90" w:sz="4" w:space="0"/>
          <w:left w:val="none" w:color="000000" w:sz="4" w:space="0"/>
          <w:bottom w:val="single" w:color="9BB7D9" w:themeColor="accent1" w:themeTint="90" w:sz="4" w:space="0"/>
          <w:right w:val="none" w:color="000000" w:sz="4" w:space="0"/>
        </w:tcBorders>
      </w:tcPr>
    </w:tblStylePr>
    <w:tblStylePr w:type="lastCol">
      <w:rPr>
        <w:rFonts w:ascii="Arial" w:hAnsi="Arial"/>
        <w:b/>
        <w:color w:val="404040"/>
        <w:sz w:val="22"/>
      </w:rPr>
    </w:tblStylePr>
    <w:tblStylePr w:type="lastRow">
      <w:rPr>
        <w:rFonts w:ascii="Arial" w:hAnsi="Arial"/>
        <w:b/>
        <w:color w:val="404040"/>
        <w:sz w:val="22"/>
      </w:rPr>
      <w:tcPr>
        <w:tcBorders>
          <w:top w:val="single" w:color="9BB7D9" w:themeColor="accent1" w:themeTint="90" w:sz="4" w:space="0"/>
          <w:left w:val="none" w:color="000000" w:sz="4" w:space="0"/>
          <w:bottom w:val="single" w:color="9BB7D9" w:themeColor="accent1" w:themeTint="90" w:sz="4" w:space="0"/>
          <w:right w:val="none" w:color="000000" w:sz="4" w:space="0"/>
        </w:tcBorders>
      </w:tcPr>
    </w:tblStylePr>
  </w:style>
  <w:style w:type="table" w:styleId="1152" w:customStyle="1">
    <w:name w:val="List Table 2 - Accent 2"/>
    <w:basedOn w:val="1054"/>
    <w:uiPriority w:val="99"/>
    <w:pPr>
      <w:spacing w:after="0" w:line="240" w:lineRule="auto"/>
    </w:pPr>
    <w:tblPr>
      <w:tblStyleRowBandSize w:val="1"/>
      <w:tblStyleColBandSize w:val="1"/>
      <w:tblInd w:w="0" w:type="dxa"/>
      <w:tblBorders>
        <w:top w:val="single" w:color="DB9B9A" w:themeColor="accent2" w:themeTint="90" w:sz="4" w:space="0"/>
        <w:bottom w:val="single" w:color="DB9B9A" w:themeColor="accent2" w:themeTint="90" w:sz="4" w:space="0"/>
        <w:insideH w:val="single" w:color="DB9B9A" w:themeColor="accent2" w:themeTint="90" w:sz="4" w:space="0"/>
      </w:tblBorders>
      <w:tblCellMar>
        <w:left w:w="108" w:type="dxa"/>
        <w:top w:w="0" w:type="dxa"/>
        <w:right w:w="108" w:type="dxa"/>
        <w:bottom w:w="0" w:type="dxa"/>
      </w:tblCellMar>
    </w:tblPr>
    <w:tblStylePr w:type="band1Horz">
      <w:rPr>
        <w:rFonts w:ascii="Arial" w:hAnsi="Arial"/>
        <w:color w:val="404040"/>
        <w:sz w:val="22"/>
      </w:rPr>
      <w:tcPr>
        <w:shd w:val="clear" w:color="efd2d2" w:themeColor="accent2" w:themeTint="40" w:fill="efd2d2" w:themeFill="accent2" w:themeFillTint="40"/>
      </w:tcPr>
    </w:tblStylePr>
    <w:tblStylePr w:type="band1Vert">
      <w:rPr>
        <w:rFonts w:ascii="Arial" w:hAnsi="Arial"/>
        <w:color w:val="404040"/>
        <w:sz w:val="22"/>
      </w:rPr>
      <w:tcPr>
        <w:shd w:val="clear" w:color="efd2d2" w:themeColor="accent2" w:themeTint="40" w:fill="efd2d2" w:themeFill="accent2" w:themeFillTint="40"/>
      </w:tcPr>
    </w:tblStylePr>
    <w:tblStylePr w:type="firstCol">
      <w:rPr>
        <w:rFonts w:ascii="Arial" w:hAnsi="Arial"/>
        <w:b/>
        <w:color w:val="404040"/>
        <w:sz w:val="22"/>
      </w:rPr>
    </w:tblStylePr>
    <w:tblStylePr w:type="firstRow">
      <w:rPr>
        <w:rFonts w:ascii="Arial" w:hAnsi="Arial"/>
        <w:b/>
        <w:color w:val="404040"/>
        <w:sz w:val="22"/>
      </w:rPr>
      <w:tcPr>
        <w:tcBorders>
          <w:top w:val="single" w:color="DB9B9A" w:themeColor="accent2" w:themeTint="90" w:sz="4" w:space="0"/>
          <w:left w:val="none" w:color="000000" w:sz="4" w:space="0"/>
          <w:bottom w:val="single" w:color="DB9B9A" w:themeColor="accent2" w:themeTint="90" w:sz="4" w:space="0"/>
          <w:right w:val="none" w:color="000000" w:sz="4" w:space="0"/>
        </w:tcBorders>
      </w:tcPr>
    </w:tblStylePr>
    <w:tblStylePr w:type="lastCol">
      <w:rPr>
        <w:rFonts w:ascii="Arial" w:hAnsi="Arial"/>
        <w:b/>
        <w:color w:val="404040"/>
        <w:sz w:val="22"/>
      </w:rPr>
    </w:tblStylePr>
    <w:tblStylePr w:type="lastRow">
      <w:rPr>
        <w:rFonts w:ascii="Arial" w:hAnsi="Arial"/>
        <w:b/>
        <w:color w:val="404040"/>
        <w:sz w:val="22"/>
      </w:rPr>
      <w:tcPr>
        <w:tcBorders>
          <w:top w:val="single" w:color="DB9B9A" w:themeColor="accent2" w:themeTint="90" w:sz="4" w:space="0"/>
          <w:left w:val="none" w:color="000000" w:sz="4" w:space="0"/>
          <w:bottom w:val="single" w:color="DB9B9A" w:themeColor="accent2" w:themeTint="90" w:sz="4" w:space="0"/>
          <w:right w:val="none" w:color="000000" w:sz="4" w:space="0"/>
        </w:tcBorders>
      </w:tcPr>
    </w:tblStylePr>
  </w:style>
  <w:style w:type="table" w:styleId="1153" w:customStyle="1">
    <w:name w:val="List Table 2 - Accent 3"/>
    <w:basedOn w:val="1054"/>
    <w:uiPriority w:val="99"/>
    <w:pPr>
      <w:spacing w:after="0" w:line="240" w:lineRule="auto"/>
    </w:pPr>
    <w:tblPr>
      <w:tblStyleRowBandSize w:val="1"/>
      <w:tblStyleColBandSize w:val="1"/>
      <w:tblInd w:w="0" w:type="dxa"/>
      <w:tblBorders>
        <w:top w:val="single" w:color="C6D8A1" w:themeColor="accent3" w:themeTint="90" w:sz="4" w:space="0"/>
        <w:bottom w:val="single" w:color="C6D8A1" w:themeColor="accent3" w:themeTint="90" w:sz="4" w:space="0"/>
        <w:insideH w:val="single" w:color="C6D8A1" w:themeColor="accent3" w:themeTint="90" w:sz="4" w:space="0"/>
      </w:tblBorders>
      <w:tblCellMar>
        <w:left w:w="108" w:type="dxa"/>
        <w:top w:w="0" w:type="dxa"/>
        <w:right w:w="108" w:type="dxa"/>
        <w:bottom w:w="0" w:type="dxa"/>
      </w:tblCellMar>
    </w:tblPr>
    <w:tblStylePr w:type="band1Horz">
      <w:rPr>
        <w:rFonts w:ascii="Arial" w:hAnsi="Arial"/>
        <w:color w:val="404040"/>
        <w:sz w:val="22"/>
      </w:rPr>
      <w:tcPr>
        <w:shd w:val="clear" w:color="e5eed5" w:themeColor="accent3" w:themeTint="40" w:fill="e5eed5" w:themeFill="accent3" w:themeFillTint="40"/>
      </w:tcPr>
    </w:tblStylePr>
    <w:tblStylePr w:type="band1Vert">
      <w:rPr>
        <w:rFonts w:ascii="Arial" w:hAnsi="Arial"/>
        <w:color w:val="404040"/>
        <w:sz w:val="22"/>
      </w:rPr>
      <w:tcPr>
        <w:shd w:val="clear" w:color="e5eed5" w:themeColor="accent3" w:themeTint="40" w:fill="e5eed5" w:themeFill="accent3" w:themeFillTint="40"/>
      </w:tcPr>
    </w:tblStylePr>
    <w:tblStylePr w:type="firstCol">
      <w:rPr>
        <w:rFonts w:ascii="Arial" w:hAnsi="Arial"/>
        <w:b/>
        <w:color w:val="404040"/>
        <w:sz w:val="22"/>
      </w:rPr>
    </w:tblStylePr>
    <w:tblStylePr w:type="firstRow">
      <w:rPr>
        <w:rFonts w:ascii="Arial" w:hAnsi="Arial"/>
        <w:b/>
        <w:color w:val="404040"/>
        <w:sz w:val="22"/>
      </w:rPr>
      <w:tcPr>
        <w:tcBorders>
          <w:top w:val="single" w:color="C6D8A1" w:themeColor="accent3" w:themeTint="90" w:sz="4" w:space="0"/>
          <w:left w:val="none" w:color="000000" w:sz="4" w:space="0"/>
          <w:bottom w:val="single" w:color="C6D8A1" w:themeColor="accent3" w:themeTint="90" w:sz="4" w:space="0"/>
          <w:right w:val="none" w:color="000000" w:sz="4" w:space="0"/>
        </w:tcBorders>
      </w:tcPr>
    </w:tblStylePr>
    <w:tblStylePr w:type="lastCol">
      <w:rPr>
        <w:rFonts w:ascii="Arial" w:hAnsi="Arial"/>
        <w:b/>
        <w:color w:val="404040"/>
        <w:sz w:val="22"/>
      </w:rPr>
    </w:tblStylePr>
    <w:tblStylePr w:type="lastRow">
      <w:rPr>
        <w:rFonts w:ascii="Arial" w:hAnsi="Arial"/>
        <w:b/>
        <w:color w:val="404040"/>
        <w:sz w:val="22"/>
      </w:rPr>
      <w:tcPr>
        <w:tcBorders>
          <w:top w:val="single" w:color="C6D8A1" w:themeColor="accent3" w:themeTint="90" w:sz="4" w:space="0"/>
          <w:left w:val="none" w:color="000000" w:sz="4" w:space="0"/>
          <w:bottom w:val="single" w:color="C6D8A1" w:themeColor="accent3" w:themeTint="90" w:sz="4" w:space="0"/>
          <w:right w:val="none" w:color="000000" w:sz="4" w:space="0"/>
        </w:tcBorders>
      </w:tcPr>
    </w:tblStylePr>
  </w:style>
  <w:style w:type="table" w:styleId="1154" w:customStyle="1">
    <w:name w:val="List Table 2 - Accent 4"/>
    <w:basedOn w:val="1054"/>
    <w:uiPriority w:val="99"/>
    <w:pPr>
      <w:spacing w:after="0" w:line="240" w:lineRule="auto"/>
    </w:pPr>
    <w:tblPr>
      <w:tblStyleRowBandSize w:val="1"/>
      <w:tblStyleColBandSize w:val="1"/>
      <w:tblInd w:w="0" w:type="dxa"/>
      <w:tblBorders>
        <w:top w:val="single" w:color="B7A7CA" w:themeColor="accent4" w:themeTint="90" w:sz="4" w:space="0"/>
        <w:bottom w:val="single" w:color="B7A7CA" w:themeColor="accent4" w:themeTint="90" w:sz="4" w:space="0"/>
        <w:insideH w:val="single" w:color="B7A7CA" w:themeColor="accent4" w:themeTint="90" w:sz="4" w:space="0"/>
      </w:tblBorders>
      <w:tblCellMar>
        <w:left w:w="108" w:type="dxa"/>
        <w:top w:w="0" w:type="dxa"/>
        <w:right w:w="108" w:type="dxa"/>
        <w:bottom w:w="0" w:type="dxa"/>
      </w:tblCellMar>
    </w:tblPr>
    <w:tblStylePr w:type="band1Horz">
      <w:rPr>
        <w:rFonts w:ascii="Arial" w:hAnsi="Arial"/>
        <w:color w:val="404040"/>
        <w:sz w:val="22"/>
      </w:rPr>
      <w:tcPr>
        <w:shd w:val="clear" w:color="dfd8e7" w:themeColor="accent4" w:themeTint="40" w:fill="dfd8e7" w:themeFill="accent4" w:themeFillTint="40"/>
      </w:tcPr>
    </w:tblStylePr>
    <w:tblStylePr w:type="band1Vert">
      <w:rPr>
        <w:rFonts w:ascii="Arial" w:hAnsi="Arial"/>
        <w:color w:val="404040"/>
        <w:sz w:val="22"/>
      </w:rPr>
      <w:tcPr>
        <w:shd w:val="clear" w:color="dfd8e7" w:themeColor="accent4" w:themeTint="40" w:fill="dfd8e7" w:themeFill="accent4" w:themeFillTint="40"/>
      </w:tcPr>
    </w:tblStylePr>
    <w:tblStylePr w:type="firstCol">
      <w:rPr>
        <w:rFonts w:ascii="Arial" w:hAnsi="Arial"/>
        <w:b/>
        <w:color w:val="404040"/>
        <w:sz w:val="22"/>
      </w:rPr>
    </w:tblStylePr>
    <w:tblStylePr w:type="firstRow">
      <w:rPr>
        <w:rFonts w:ascii="Arial" w:hAnsi="Arial"/>
        <w:b/>
        <w:color w:val="404040"/>
        <w:sz w:val="22"/>
      </w:rPr>
      <w:tcPr>
        <w:tcBorders>
          <w:top w:val="single" w:color="B7A7CA" w:themeColor="accent4" w:themeTint="90" w:sz="4" w:space="0"/>
          <w:left w:val="none" w:color="000000" w:sz="4" w:space="0"/>
          <w:bottom w:val="single" w:color="B7A7CA" w:themeColor="accent4" w:themeTint="90" w:sz="4" w:space="0"/>
          <w:right w:val="none" w:color="000000" w:sz="4" w:space="0"/>
        </w:tcBorders>
      </w:tcPr>
    </w:tblStylePr>
    <w:tblStylePr w:type="lastCol">
      <w:rPr>
        <w:rFonts w:ascii="Arial" w:hAnsi="Arial"/>
        <w:b/>
        <w:color w:val="404040"/>
        <w:sz w:val="22"/>
      </w:rPr>
    </w:tblStylePr>
    <w:tblStylePr w:type="lastRow">
      <w:rPr>
        <w:rFonts w:ascii="Arial" w:hAnsi="Arial"/>
        <w:b/>
        <w:color w:val="404040"/>
        <w:sz w:val="22"/>
      </w:rPr>
      <w:tcPr>
        <w:tcBorders>
          <w:top w:val="single" w:color="B7A7CA" w:themeColor="accent4" w:themeTint="90" w:sz="4" w:space="0"/>
          <w:left w:val="none" w:color="000000" w:sz="4" w:space="0"/>
          <w:bottom w:val="single" w:color="B7A7CA" w:themeColor="accent4" w:themeTint="90" w:sz="4" w:space="0"/>
          <w:right w:val="none" w:color="000000" w:sz="4" w:space="0"/>
        </w:tcBorders>
      </w:tcPr>
    </w:tblStylePr>
  </w:style>
  <w:style w:type="table" w:styleId="1155" w:customStyle="1">
    <w:name w:val="List Table 2 - Accent 5"/>
    <w:basedOn w:val="1054"/>
    <w:uiPriority w:val="99"/>
    <w:pPr>
      <w:spacing w:after="0" w:line="240" w:lineRule="auto"/>
    </w:pPr>
    <w:tblPr>
      <w:tblStyleRowBandSize w:val="1"/>
      <w:tblStyleColBandSize w:val="1"/>
      <w:tblInd w:w="0" w:type="dxa"/>
      <w:tblBorders>
        <w:top w:val="single" w:color="99D0DE" w:themeColor="accent5" w:themeTint="90" w:sz="4" w:space="0"/>
        <w:bottom w:val="single" w:color="99D0DE" w:themeColor="accent5" w:themeTint="90" w:sz="4" w:space="0"/>
        <w:insideH w:val="single" w:color="99D0DE" w:themeColor="accent5" w:themeTint="90" w:sz="4" w:space="0"/>
      </w:tblBorders>
      <w:tblCellMar>
        <w:left w:w="108" w:type="dxa"/>
        <w:top w:w="0" w:type="dxa"/>
        <w:right w:w="108" w:type="dxa"/>
        <w:bottom w:w="0" w:type="dxa"/>
      </w:tblCellMar>
    </w:tblPr>
    <w:tblStylePr w:type="band1Horz">
      <w:rPr>
        <w:rFonts w:ascii="Arial" w:hAnsi="Arial"/>
        <w:color w:val="404040"/>
        <w:sz w:val="22"/>
      </w:rPr>
      <w:tcPr>
        <w:shd w:val="clear" w:color="d1eaf0" w:themeColor="accent5" w:themeTint="40" w:fill="d1eaf0" w:themeFill="accent5" w:themeFillTint="40"/>
      </w:tcPr>
    </w:tblStylePr>
    <w:tblStylePr w:type="band1Vert">
      <w:rPr>
        <w:rFonts w:ascii="Arial" w:hAnsi="Arial"/>
        <w:color w:val="404040"/>
        <w:sz w:val="22"/>
      </w:rPr>
      <w:tcPr>
        <w:shd w:val="clear" w:color="d1eaf0" w:themeColor="accent5" w:themeTint="40" w:fill="d1eaf0" w:themeFill="accent5" w:themeFillTint="40"/>
      </w:tcPr>
    </w:tblStylePr>
    <w:tblStylePr w:type="firstCol">
      <w:rPr>
        <w:rFonts w:ascii="Arial" w:hAnsi="Arial"/>
        <w:b/>
        <w:color w:val="404040"/>
        <w:sz w:val="22"/>
      </w:rPr>
    </w:tblStylePr>
    <w:tblStylePr w:type="firstRow">
      <w:rPr>
        <w:rFonts w:ascii="Arial" w:hAnsi="Arial"/>
        <w:b/>
        <w:color w:val="404040"/>
        <w:sz w:val="22"/>
      </w:rPr>
      <w:tcPr>
        <w:tcBorders>
          <w:top w:val="single" w:color="99D0DE" w:themeColor="accent5" w:themeTint="90" w:sz="4" w:space="0"/>
          <w:left w:val="none" w:color="000000" w:sz="4" w:space="0"/>
          <w:bottom w:val="single" w:color="99D0DE" w:themeColor="accent5" w:themeTint="90" w:sz="4" w:space="0"/>
          <w:right w:val="none" w:color="000000" w:sz="4" w:space="0"/>
        </w:tcBorders>
      </w:tcPr>
    </w:tblStylePr>
    <w:tblStylePr w:type="lastCol">
      <w:rPr>
        <w:rFonts w:ascii="Arial" w:hAnsi="Arial"/>
        <w:b/>
        <w:color w:val="404040"/>
        <w:sz w:val="22"/>
      </w:rPr>
    </w:tblStylePr>
    <w:tblStylePr w:type="lastRow">
      <w:rPr>
        <w:rFonts w:ascii="Arial" w:hAnsi="Arial"/>
        <w:b/>
        <w:color w:val="404040"/>
        <w:sz w:val="22"/>
      </w:rPr>
      <w:tcPr>
        <w:tcBorders>
          <w:top w:val="single" w:color="99D0DE" w:themeColor="accent5" w:themeTint="90" w:sz="4" w:space="0"/>
          <w:left w:val="none" w:color="000000" w:sz="4" w:space="0"/>
          <w:bottom w:val="single" w:color="99D0DE" w:themeColor="accent5" w:themeTint="90" w:sz="4" w:space="0"/>
          <w:right w:val="none" w:color="000000" w:sz="4" w:space="0"/>
        </w:tcBorders>
      </w:tcPr>
    </w:tblStylePr>
  </w:style>
  <w:style w:type="table" w:styleId="1156" w:customStyle="1">
    <w:name w:val="List Table 2 - Accent 6"/>
    <w:basedOn w:val="1054"/>
    <w:uiPriority w:val="99"/>
    <w:pPr>
      <w:spacing w:after="0" w:line="240" w:lineRule="auto"/>
    </w:pPr>
    <w:tblPr>
      <w:tblStyleRowBandSize w:val="1"/>
      <w:tblStyleColBandSize w:val="1"/>
      <w:tblInd w:w="0" w:type="dxa"/>
      <w:tblBorders>
        <w:top w:val="single" w:color="FAC396" w:themeColor="accent6" w:themeTint="90" w:sz="4" w:space="0"/>
        <w:bottom w:val="single" w:color="FAC396" w:themeColor="accent6" w:themeTint="90" w:sz="4" w:space="0"/>
        <w:insideH w:val="single" w:color="FAC396" w:themeColor="accent6" w:themeTint="90" w:sz="4" w:space="0"/>
      </w:tblBorders>
      <w:tblCellMar>
        <w:left w:w="108" w:type="dxa"/>
        <w:top w:w="0" w:type="dxa"/>
        <w:right w:w="108" w:type="dxa"/>
        <w:bottom w:w="0" w:type="dxa"/>
      </w:tblCellMar>
    </w:tblPr>
    <w:tblStylePr w:type="band1Horz">
      <w:rPr>
        <w:rFonts w:ascii="Arial" w:hAnsi="Arial"/>
        <w:color w:val="404040"/>
        <w:sz w:val="22"/>
      </w:rPr>
      <w:tcPr>
        <w:shd w:val="clear" w:color="fde4d0" w:themeColor="accent6" w:themeTint="40" w:fill="fde4d0" w:themeFill="accent6" w:themeFillTint="40"/>
      </w:tcPr>
    </w:tblStylePr>
    <w:tblStylePr w:type="band1Vert">
      <w:rPr>
        <w:rFonts w:ascii="Arial" w:hAnsi="Arial"/>
        <w:color w:val="404040"/>
        <w:sz w:val="22"/>
      </w:rPr>
      <w:tcPr>
        <w:shd w:val="clear" w:color="fde4d0" w:themeColor="accent6" w:themeTint="40" w:fill="fde4d0" w:themeFill="accent6" w:themeFillTint="40"/>
      </w:tcPr>
    </w:tblStylePr>
    <w:tblStylePr w:type="firstCol">
      <w:rPr>
        <w:rFonts w:ascii="Arial" w:hAnsi="Arial"/>
        <w:b/>
        <w:color w:val="404040"/>
        <w:sz w:val="22"/>
      </w:rPr>
    </w:tblStylePr>
    <w:tblStylePr w:type="firstRow">
      <w:rPr>
        <w:rFonts w:ascii="Arial" w:hAnsi="Arial"/>
        <w:b/>
        <w:color w:val="404040"/>
        <w:sz w:val="22"/>
      </w:rPr>
      <w:tcPr>
        <w:tcBorders>
          <w:top w:val="single" w:color="FAC396" w:themeColor="accent6" w:themeTint="90" w:sz="4" w:space="0"/>
          <w:left w:val="none" w:color="000000" w:sz="4" w:space="0"/>
          <w:bottom w:val="single" w:color="FAC396" w:themeColor="accent6" w:themeTint="90" w:sz="4" w:space="0"/>
          <w:right w:val="none" w:color="000000" w:sz="4" w:space="0"/>
        </w:tcBorders>
      </w:tcPr>
    </w:tblStylePr>
    <w:tblStylePr w:type="lastCol">
      <w:rPr>
        <w:rFonts w:ascii="Arial" w:hAnsi="Arial"/>
        <w:b/>
        <w:color w:val="404040"/>
        <w:sz w:val="22"/>
      </w:rPr>
    </w:tblStylePr>
    <w:tblStylePr w:type="lastRow">
      <w:rPr>
        <w:rFonts w:ascii="Arial" w:hAnsi="Arial"/>
        <w:b/>
        <w:color w:val="404040"/>
        <w:sz w:val="22"/>
      </w:rPr>
      <w:tcPr>
        <w:tcBorders>
          <w:top w:val="single" w:color="FAC396" w:themeColor="accent6" w:themeTint="90" w:sz="4" w:space="0"/>
          <w:left w:val="none" w:color="000000" w:sz="4" w:space="0"/>
          <w:bottom w:val="single" w:color="FAC396" w:themeColor="accent6" w:themeTint="90" w:sz="4" w:space="0"/>
          <w:right w:val="none" w:color="000000" w:sz="4" w:space="0"/>
        </w:tcBorders>
      </w:tcPr>
    </w:tblStylePr>
  </w:style>
  <w:style w:type="table" w:styleId="1157" w:customStyle="1">
    <w:name w:val="List Table 3"/>
    <w:basedOn w:val="1054"/>
    <w:uiPriority w:val="99"/>
    <w:pPr>
      <w:spacing w:after="0" w:line="240" w:lineRule="auto"/>
    </w:pPr>
    <w:tblPr>
      <w:tblStyleRowBandSize w:val="1"/>
      <w:tblStyleColBandSize w:val="1"/>
      <w:tblInd w:w="0" w:type="dxa"/>
      <w:tblBorders>
        <w:top w:val="single" w:color="000000" w:themeColor="text1" w:sz="4" w:space="0"/>
        <w:left w:val="single" w:color="000000" w:themeColor="text1" w:sz="4" w:space="0"/>
        <w:bottom w:val="single" w:color="000000" w:themeColor="text1" w:sz="4" w:space="0"/>
        <w:right w:val="single" w:color="000000" w:themeColor="text1" w:sz="4" w:space="0"/>
      </w:tblBorders>
      <w:tblCellMar>
        <w:left w:w="108" w:type="dxa"/>
        <w:top w:w="0" w:type="dxa"/>
        <w:right w:w="108" w:type="dxa"/>
        <w:bottom w:w="0" w:type="dxa"/>
      </w:tblCellMar>
    </w:tblPr>
    <w:tblStylePr w:type="band1Horz">
      <w:rPr>
        <w:rFonts w:ascii="Arial" w:hAnsi="Arial"/>
        <w:color w:val="404040"/>
        <w:sz w:val="22"/>
      </w:rPr>
      <w:tcPr>
        <w:tcBorders>
          <w:top w:val="single" w:color="000000" w:themeColor="text1" w:sz="4" w:space="0"/>
          <w:bottom w:val="single" w:color="000000" w:themeColor="text1" w:sz="4" w:space="0"/>
        </w:tcBorders>
      </w:tcPr>
    </w:tblStylePr>
    <w:tblStylePr w:type="band1Vert">
      <w:rPr>
        <w:rFonts w:ascii="Arial" w:hAnsi="Arial"/>
        <w:color w:val="404040"/>
        <w:sz w:val="22"/>
      </w:rPr>
      <w:tcPr>
        <w:tcBorders>
          <w:left w:val="single" w:color="000000" w:themeColor="text1" w:sz="4" w:space="0"/>
          <w:right w:val="single" w:color="000000" w:themeColor="text1" w:sz="4" w:space="0"/>
        </w:tcBorders>
      </w:tcPr>
    </w:tblStylePr>
    <w:tblStylePr w:type="firstCol">
      <w:rPr>
        <w:b/>
        <w:color w:val="404040"/>
      </w:rPr>
    </w:tblStylePr>
    <w:tblStylePr w:type="firstRow">
      <w:rPr>
        <w:rFonts w:ascii="Arial" w:hAnsi="Arial"/>
        <w:b/>
        <w:color w:val="ffffff"/>
        <w:sz w:val="22"/>
      </w:rPr>
      <w:tcPr>
        <w:shd w:val="clear" w:color="000000" w:themeColor="text1" w:fill="000000" w:themeFill="text1"/>
      </w:tcPr>
    </w:tblStylePr>
    <w:tblStylePr w:type="lastCol">
      <w:rPr>
        <w:b/>
        <w:color w:val="404040"/>
      </w:rPr>
    </w:tblStylePr>
    <w:tblStylePr w:type="lastRow">
      <w:rPr>
        <w:b/>
        <w:color w:val="404040"/>
      </w:rPr>
    </w:tblStylePr>
  </w:style>
  <w:style w:type="table" w:styleId="1158" w:customStyle="1">
    <w:name w:val="List Table 3 - Accent 1"/>
    <w:basedOn w:val="1054"/>
    <w:uiPriority w:val="99"/>
    <w:pPr>
      <w:spacing w:after="0" w:line="240" w:lineRule="auto"/>
    </w:pPr>
    <w:tblPr>
      <w:tblStyleRowBandSize w:val="1"/>
      <w:tblStyleColBandSize w:val="1"/>
      <w:tblInd w:w="0" w:type="dxa"/>
      <w:tblBorders>
        <w:top w:val="single" w:color="4F81BD" w:themeColor="accent1" w:sz="4" w:space="0"/>
        <w:left w:val="single" w:color="4F81BD" w:themeColor="accent1" w:sz="4" w:space="0"/>
        <w:bottom w:val="single" w:color="4F81BD" w:themeColor="accent1" w:sz="4" w:space="0"/>
        <w:right w:val="single" w:color="4F81BD" w:themeColor="accent1" w:sz="4" w:space="0"/>
      </w:tblBorders>
      <w:tblCellMar>
        <w:left w:w="108" w:type="dxa"/>
        <w:top w:w="0" w:type="dxa"/>
        <w:right w:w="108" w:type="dxa"/>
        <w:bottom w:w="0" w:type="dxa"/>
      </w:tblCellMar>
    </w:tblPr>
    <w:tblStylePr w:type="band1Horz">
      <w:rPr>
        <w:rFonts w:ascii="Arial" w:hAnsi="Arial"/>
        <w:color w:val="404040"/>
        <w:sz w:val="22"/>
      </w:rPr>
      <w:tcPr>
        <w:tcBorders>
          <w:top w:val="single" w:color="4F81BD" w:themeColor="accent1" w:sz="4" w:space="0"/>
          <w:bottom w:val="single" w:color="4F81BD" w:themeColor="accent1" w:sz="4" w:space="0"/>
        </w:tcBorders>
      </w:tcPr>
    </w:tblStylePr>
    <w:tblStylePr w:type="band1Vert">
      <w:rPr>
        <w:rFonts w:ascii="Arial" w:hAnsi="Arial"/>
        <w:color w:val="404040"/>
        <w:sz w:val="22"/>
      </w:rPr>
      <w:tcPr>
        <w:tcBorders>
          <w:left w:val="single" w:color="4F81BD" w:themeColor="accent1" w:sz="4" w:space="0"/>
          <w:right w:val="single" w:color="4F81BD" w:themeColor="accent1" w:sz="4" w:space="0"/>
        </w:tcBorders>
      </w:tcPr>
    </w:tblStylePr>
    <w:tblStylePr w:type="firstCol">
      <w:rPr>
        <w:b/>
        <w:color w:val="404040"/>
      </w:rPr>
    </w:tblStylePr>
    <w:tblStylePr w:type="firstRow">
      <w:rPr>
        <w:rFonts w:ascii="Arial" w:hAnsi="Arial"/>
        <w:b/>
        <w:color w:val="ffffff"/>
        <w:sz w:val="22"/>
      </w:rPr>
      <w:tcPr>
        <w:shd w:val="clear" w:color="4f81bd" w:themeColor="accent1" w:fill="4f81bd" w:themeFill="accent1"/>
      </w:tcPr>
    </w:tblStylePr>
    <w:tblStylePr w:type="lastCol">
      <w:rPr>
        <w:b/>
        <w:color w:val="404040"/>
      </w:rPr>
    </w:tblStylePr>
    <w:tblStylePr w:type="lastRow">
      <w:rPr>
        <w:b/>
        <w:color w:val="404040"/>
      </w:rPr>
    </w:tblStylePr>
  </w:style>
  <w:style w:type="table" w:styleId="1159" w:customStyle="1">
    <w:name w:val="List Table 3 - Accent 2"/>
    <w:basedOn w:val="1054"/>
    <w:uiPriority w:val="99"/>
    <w:pPr>
      <w:spacing w:after="0" w:line="240" w:lineRule="auto"/>
    </w:pPr>
    <w:tblPr>
      <w:tblStyleRowBandSize w:val="1"/>
      <w:tblStyleColBandSize w:val="1"/>
      <w:tblInd w:w="0" w:type="dxa"/>
      <w:tblBorders>
        <w:top w:val="single" w:color="D99695" w:themeColor="accent2" w:themeTint="97" w:sz="4" w:space="0"/>
        <w:left w:val="single" w:color="D99695" w:themeColor="accent2" w:themeTint="97" w:sz="4" w:space="0"/>
        <w:bottom w:val="single" w:color="D99695" w:themeColor="accent2" w:themeTint="97" w:sz="4" w:space="0"/>
        <w:right w:val="single" w:color="D99695" w:themeColor="accent2" w:themeTint="97" w:sz="4" w:space="0"/>
      </w:tblBorders>
      <w:tblCellMar>
        <w:left w:w="108" w:type="dxa"/>
        <w:top w:w="0" w:type="dxa"/>
        <w:right w:w="108" w:type="dxa"/>
        <w:bottom w:w="0" w:type="dxa"/>
      </w:tblCellMar>
    </w:tblPr>
    <w:tblStylePr w:type="band1Horz">
      <w:rPr>
        <w:rFonts w:ascii="Arial" w:hAnsi="Arial"/>
        <w:color w:val="404040"/>
        <w:sz w:val="22"/>
      </w:rPr>
      <w:tcPr>
        <w:tcBorders>
          <w:top w:val="single" w:color="D99695" w:themeColor="accent2" w:themeTint="97" w:sz="4" w:space="0"/>
          <w:bottom w:val="single" w:color="D99695" w:themeColor="accent2" w:themeTint="97" w:sz="4" w:space="0"/>
        </w:tcBorders>
      </w:tcPr>
    </w:tblStylePr>
    <w:tblStylePr w:type="band1Vert">
      <w:rPr>
        <w:rFonts w:ascii="Arial" w:hAnsi="Arial"/>
        <w:color w:val="404040"/>
        <w:sz w:val="22"/>
      </w:rPr>
      <w:tcPr>
        <w:tcBorders>
          <w:left w:val="single" w:color="D99695" w:themeColor="accent2" w:themeTint="97" w:sz="4" w:space="0"/>
          <w:right w:val="single" w:color="D99695" w:themeColor="accent2" w:themeTint="97" w:sz="4" w:space="0"/>
        </w:tcBorders>
      </w:tcPr>
    </w:tblStylePr>
    <w:tblStylePr w:type="firstCol">
      <w:rPr>
        <w:b/>
        <w:color w:val="404040"/>
      </w:rPr>
    </w:tblStylePr>
    <w:tblStylePr w:type="firstRow">
      <w:rPr>
        <w:rFonts w:ascii="Arial" w:hAnsi="Arial"/>
        <w:b/>
        <w:color w:val="ffffff"/>
        <w:sz w:val="22"/>
      </w:rPr>
      <w:tcPr>
        <w:shd w:val="clear" w:color="d99695" w:themeColor="accent2" w:themeTint="97" w:fill="d99695" w:themeFill="accent2" w:themeFillTint="97"/>
      </w:tcPr>
    </w:tblStylePr>
    <w:tblStylePr w:type="lastCol">
      <w:rPr>
        <w:b/>
        <w:color w:val="404040"/>
      </w:rPr>
    </w:tblStylePr>
    <w:tblStylePr w:type="lastRow">
      <w:rPr>
        <w:b/>
        <w:color w:val="404040"/>
      </w:rPr>
    </w:tblStylePr>
  </w:style>
  <w:style w:type="table" w:styleId="1160" w:customStyle="1">
    <w:name w:val="List Table 3 - Accent 3"/>
    <w:basedOn w:val="1054"/>
    <w:uiPriority w:val="99"/>
    <w:pPr>
      <w:spacing w:after="0" w:line="240" w:lineRule="auto"/>
    </w:pPr>
    <w:tblPr>
      <w:tblStyleRowBandSize w:val="1"/>
      <w:tblStyleColBandSize w:val="1"/>
      <w:tblInd w:w="0" w:type="dxa"/>
      <w:tblBorders>
        <w:top w:val="single" w:color="C3D69B" w:themeColor="accent3" w:themeTint="98" w:sz="4" w:space="0"/>
        <w:left w:val="single" w:color="C3D69B" w:themeColor="accent3" w:themeTint="98" w:sz="4" w:space="0"/>
        <w:bottom w:val="single" w:color="C3D69B" w:themeColor="accent3" w:themeTint="98" w:sz="4" w:space="0"/>
        <w:right w:val="single" w:color="C3D69B" w:themeColor="accent3" w:themeTint="98" w:sz="4" w:space="0"/>
      </w:tblBorders>
      <w:tblCellMar>
        <w:left w:w="108" w:type="dxa"/>
        <w:top w:w="0" w:type="dxa"/>
        <w:right w:w="108" w:type="dxa"/>
        <w:bottom w:w="0" w:type="dxa"/>
      </w:tblCellMar>
    </w:tblPr>
    <w:tblStylePr w:type="band1Horz">
      <w:rPr>
        <w:rFonts w:ascii="Arial" w:hAnsi="Arial"/>
        <w:color w:val="404040"/>
        <w:sz w:val="22"/>
      </w:rPr>
      <w:tcPr>
        <w:tcBorders>
          <w:top w:val="single" w:color="C3D69B" w:themeColor="accent3" w:themeTint="98" w:sz="4" w:space="0"/>
          <w:bottom w:val="single" w:color="C3D69B" w:themeColor="accent3" w:themeTint="98" w:sz="4" w:space="0"/>
        </w:tcBorders>
      </w:tcPr>
    </w:tblStylePr>
    <w:tblStylePr w:type="band1Vert">
      <w:rPr>
        <w:rFonts w:ascii="Arial" w:hAnsi="Arial"/>
        <w:color w:val="404040"/>
        <w:sz w:val="22"/>
      </w:rPr>
      <w:tcPr>
        <w:tcBorders>
          <w:left w:val="single" w:color="C3D69B" w:themeColor="accent3" w:themeTint="98" w:sz="4" w:space="0"/>
          <w:right w:val="single" w:color="C3D69B" w:themeColor="accent3" w:themeTint="98" w:sz="4" w:space="0"/>
        </w:tcBorders>
      </w:tcPr>
    </w:tblStylePr>
    <w:tblStylePr w:type="firstCol">
      <w:rPr>
        <w:b/>
        <w:color w:val="404040"/>
      </w:rPr>
    </w:tblStylePr>
    <w:tblStylePr w:type="firstRow">
      <w:rPr>
        <w:rFonts w:ascii="Arial" w:hAnsi="Arial"/>
        <w:b/>
        <w:color w:val="ffffff"/>
        <w:sz w:val="22"/>
      </w:rPr>
      <w:tcPr>
        <w:shd w:val="clear" w:color="c3d69b" w:themeColor="accent3" w:themeTint="98" w:fill="c3d69b" w:themeFill="accent3" w:themeFillTint="98"/>
      </w:tcPr>
    </w:tblStylePr>
    <w:tblStylePr w:type="lastCol">
      <w:rPr>
        <w:b/>
        <w:color w:val="404040"/>
      </w:rPr>
    </w:tblStylePr>
    <w:tblStylePr w:type="lastRow">
      <w:rPr>
        <w:b/>
        <w:color w:val="404040"/>
      </w:rPr>
    </w:tblStylePr>
  </w:style>
  <w:style w:type="table" w:styleId="1161" w:customStyle="1">
    <w:name w:val="List Table 3 - Accent 4"/>
    <w:basedOn w:val="1054"/>
    <w:uiPriority w:val="99"/>
    <w:pPr>
      <w:spacing w:after="0" w:line="240" w:lineRule="auto"/>
    </w:pPr>
    <w:tblPr>
      <w:tblStyleRowBandSize w:val="1"/>
      <w:tblStyleColBandSize w:val="1"/>
      <w:tblInd w:w="0" w:type="dxa"/>
      <w:tblBorders>
        <w:top w:val="single" w:color="B2A1C6" w:themeColor="accent4" w:themeTint="9A" w:sz="4" w:space="0"/>
        <w:left w:val="single" w:color="B2A1C6" w:themeColor="accent4" w:themeTint="9A" w:sz="4" w:space="0"/>
        <w:bottom w:val="single" w:color="B2A1C6" w:themeColor="accent4" w:themeTint="9A" w:sz="4" w:space="0"/>
        <w:right w:val="single" w:color="B2A1C6" w:themeColor="accent4" w:themeTint="9A" w:sz="4" w:space="0"/>
      </w:tblBorders>
      <w:tblCellMar>
        <w:left w:w="108" w:type="dxa"/>
        <w:top w:w="0" w:type="dxa"/>
        <w:right w:w="108" w:type="dxa"/>
        <w:bottom w:w="0" w:type="dxa"/>
      </w:tblCellMar>
    </w:tblPr>
    <w:tblStylePr w:type="band1Horz">
      <w:rPr>
        <w:rFonts w:ascii="Arial" w:hAnsi="Arial"/>
        <w:color w:val="404040"/>
        <w:sz w:val="22"/>
      </w:rPr>
      <w:tcPr>
        <w:tcBorders>
          <w:top w:val="single" w:color="B2A1C6" w:themeColor="accent4" w:themeTint="9A" w:sz="4" w:space="0"/>
          <w:bottom w:val="single" w:color="B2A1C6" w:themeColor="accent4" w:themeTint="9A" w:sz="4" w:space="0"/>
        </w:tcBorders>
      </w:tcPr>
    </w:tblStylePr>
    <w:tblStylePr w:type="band1Vert">
      <w:rPr>
        <w:rFonts w:ascii="Arial" w:hAnsi="Arial"/>
        <w:color w:val="404040"/>
        <w:sz w:val="22"/>
      </w:rPr>
      <w:tcPr>
        <w:tcBorders>
          <w:left w:val="single" w:color="B2A1C6" w:themeColor="accent4" w:themeTint="9A" w:sz="4" w:space="0"/>
          <w:right w:val="single" w:color="B2A1C6" w:themeColor="accent4" w:themeTint="9A" w:sz="4" w:space="0"/>
        </w:tcBorders>
      </w:tcPr>
    </w:tblStylePr>
    <w:tblStylePr w:type="firstCol">
      <w:rPr>
        <w:b/>
        <w:color w:val="404040"/>
      </w:rPr>
    </w:tblStylePr>
    <w:tblStylePr w:type="firstRow">
      <w:rPr>
        <w:rFonts w:ascii="Arial" w:hAnsi="Arial"/>
        <w:b/>
        <w:color w:val="ffffff"/>
        <w:sz w:val="22"/>
      </w:rPr>
      <w:tcPr>
        <w:shd w:val="clear" w:color="b2a1c6" w:themeColor="accent4" w:themeTint="9A" w:fill="b2a1c6" w:themeFill="accent4" w:themeFillTint="9A"/>
      </w:tcPr>
    </w:tblStylePr>
    <w:tblStylePr w:type="lastCol">
      <w:rPr>
        <w:b/>
        <w:color w:val="404040"/>
      </w:rPr>
    </w:tblStylePr>
    <w:tblStylePr w:type="lastRow">
      <w:rPr>
        <w:b/>
        <w:color w:val="404040"/>
      </w:rPr>
    </w:tblStylePr>
  </w:style>
  <w:style w:type="table" w:styleId="1162" w:customStyle="1">
    <w:name w:val="List Table 3 - Accent 5"/>
    <w:basedOn w:val="1054"/>
    <w:uiPriority w:val="99"/>
    <w:pPr>
      <w:spacing w:after="0" w:line="240" w:lineRule="auto"/>
    </w:pPr>
    <w:tblPr>
      <w:tblStyleRowBandSize w:val="1"/>
      <w:tblStyleColBandSize w:val="1"/>
      <w:tblInd w:w="0" w:type="dxa"/>
      <w:tblBorders>
        <w:top w:val="single" w:color="92CCDC" w:themeColor="accent5" w:themeTint="9A" w:sz="4" w:space="0"/>
        <w:left w:val="single" w:color="92CCDC" w:themeColor="accent5" w:themeTint="9A" w:sz="4" w:space="0"/>
        <w:bottom w:val="single" w:color="92CCDC" w:themeColor="accent5" w:themeTint="9A" w:sz="4" w:space="0"/>
        <w:right w:val="single" w:color="92CCDC" w:themeColor="accent5" w:themeTint="9A" w:sz="4" w:space="0"/>
      </w:tblBorders>
      <w:tblCellMar>
        <w:left w:w="108" w:type="dxa"/>
        <w:top w:w="0" w:type="dxa"/>
        <w:right w:w="108" w:type="dxa"/>
        <w:bottom w:w="0" w:type="dxa"/>
      </w:tblCellMar>
    </w:tblPr>
    <w:tblStylePr w:type="band1Horz">
      <w:rPr>
        <w:rFonts w:ascii="Arial" w:hAnsi="Arial"/>
        <w:color w:val="404040"/>
        <w:sz w:val="22"/>
      </w:rPr>
      <w:tcPr>
        <w:tcBorders>
          <w:top w:val="single" w:color="92CCDC" w:themeColor="accent5" w:themeTint="9A" w:sz="4" w:space="0"/>
          <w:bottom w:val="single" w:color="92CCDC" w:themeColor="accent5" w:themeTint="9A" w:sz="4" w:space="0"/>
        </w:tcBorders>
      </w:tcPr>
    </w:tblStylePr>
    <w:tblStylePr w:type="band1Vert">
      <w:rPr>
        <w:rFonts w:ascii="Arial" w:hAnsi="Arial"/>
        <w:color w:val="404040"/>
        <w:sz w:val="22"/>
      </w:rPr>
      <w:tcPr>
        <w:tcBorders>
          <w:left w:val="single" w:color="92CCDC" w:themeColor="accent5" w:themeTint="9A" w:sz="4" w:space="0"/>
          <w:right w:val="single" w:color="92CCDC" w:themeColor="accent5" w:themeTint="9A" w:sz="4" w:space="0"/>
        </w:tcBorders>
      </w:tcPr>
    </w:tblStylePr>
    <w:tblStylePr w:type="firstCol">
      <w:rPr>
        <w:b/>
        <w:color w:val="404040"/>
      </w:rPr>
    </w:tblStylePr>
    <w:tblStylePr w:type="firstRow">
      <w:rPr>
        <w:rFonts w:ascii="Arial" w:hAnsi="Arial"/>
        <w:b/>
        <w:color w:val="ffffff"/>
        <w:sz w:val="22"/>
      </w:rPr>
      <w:tcPr>
        <w:shd w:val="clear" w:color="92ccdc" w:themeColor="accent5" w:themeTint="9A" w:fill="92ccdc" w:themeFill="accent5" w:themeFillTint="9A"/>
      </w:tcPr>
    </w:tblStylePr>
    <w:tblStylePr w:type="lastCol">
      <w:rPr>
        <w:b/>
        <w:color w:val="404040"/>
      </w:rPr>
    </w:tblStylePr>
    <w:tblStylePr w:type="lastRow">
      <w:rPr>
        <w:b/>
        <w:color w:val="404040"/>
      </w:rPr>
    </w:tblStylePr>
  </w:style>
  <w:style w:type="table" w:styleId="1163" w:customStyle="1">
    <w:name w:val="List Table 3 - Accent 6"/>
    <w:basedOn w:val="1054"/>
    <w:uiPriority w:val="99"/>
    <w:pPr>
      <w:spacing w:after="0" w:line="240" w:lineRule="auto"/>
    </w:pPr>
    <w:tblPr>
      <w:tblStyleRowBandSize w:val="1"/>
      <w:tblStyleColBandSize w:val="1"/>
      <w:tblInd w:w="0" w:type="dxa"/>
      <w:tblBorders>
        <w:top w:val="single" w:color="FAC090" w:themeColor="accent6" w:themeTint="98" w:sz="4" w:space="0"/>
        <w:left w:val="single" w:color="FAC090" w:themeColor="accent6" w:themeTint="98" w:sz="4" w:space="0"/>
        <w:bottom w:val="single" w:color="FAC090" w:themeColor="accent6" w:themeTint="98" w:sz="4" w:space="0"/>
        <w:right w:val="single" w:color="FAC090" w:themeColor="accent6" w:themeTint="98" w:sz="4" w:space="0"/>
      </w:tblBorders>
      <w:tblCellMar>
        <w:left w:w="108" w:type="dxa"/>
        <w:top w:w="0" w:type="dxa"/>
        <w:right w:w="108" w:type="dxa"/>
        <w:bottom w:w="0" w:type="dxa"/>
      </w:tblCellMar>
    </w:tblPr>
    <w:tblStylePr w:type="band1Horz">
      <w:rPr>
        <w:rFonts w:ascii="Arial" w:hAnsi="Arial"/>
        <w:color w:val="404040"/>
        <w:sz w:val="22"/>
      </w:rPr>
      <w:tcPr>
        <w:tcBorders>
          <w:top w:val="single" w:color="FAC090" w:themeColor="accent6" w:themeTint="98" w:sz="4" w:space="0"/>
          <w:bottom w:val="single" w:color="FAC090" w:themeColor="accent6" w:themeTint="98" w:sz="4" w:space="0"/>
        </w:tcBorders>
      </w:tcPr>
    </w:tblStylePr>
    <w:tblStylePr w:type="band1Vert">
      <w:rPr>
        <w:rFonts w:ascii="Arial" w:hAnsi="Arial"/>
        <w:color w:val="404040"/>
        <w:sz w:val="22"/>
      </w:rPr>
      <w:tcPr>
        <w:tcBorders>
          <w:left w:val="single" w:color="FAC090" w:themeColor="accent6" w:themeTint="98" w:sz="4" w:space="0"/>
          <w:right w:val="single" w:color="FAC090" w:themeColor="accent6" w:themeTint="98" w:sz="4" w:space="0"/>
        </w:tcBorders>
      </w:tcPr>
    </w:tblStylePr>
    <w:tblStylePr w:type="firstCol">
      <w:rPr>
        <w:b/>
        <w:color w:val="404040"/>
      </w:rPr>
    </w:tblStylePr>
    <w:tblStylePr w:type="firstRow">
      <w:rPr>
        <w:rFonts w:ascii="Arial" w:hAnsi="Arial"/>
        <w:b/>
        <w:color w:val="ffffff"/>
        <w:sz w:val="22"/>
      </w:rPr>
      <w:tcPr>
        <w:shd w:val="clear" w:color="fac090" w:themeColor="accent6" w:themeTint="98" w:fill="fac090" w:themeFill="accent6" w:themeFillTint="98"/>
      </w:tcPr>
    </w:tblStylePr>
    <w:tblStylePr w:type="lastCol">
      <w:rPr>
        <w:b/>
        <w:color w:val="404040"/>
      </w:rPr>
    </w:tblStylePr>
    <w:tblStylePr w:type="lastRow">
      <w:rPr>
        <w:b/>
        <w:color w:val="404040"/>
      </w:rPr>
    </w:tblStylePr>
  </w:style>
  <w:style w:type="table" w:styleId="1164" w:customStyle="1">
    <w:name w:val="List Table 4"/>
    <w:basedOn w:val="1054"/>
    <w:uiPriority w:val="99"/>
    <w:pPr>
      <w:spacing w:after="0" w:line="240" w:lineRule="auto"/>
    </w:pPr>
    <w:tblPr>
      <w:tblStyleRowBandSize w:val="1"/>
      <w:tblStyleColBandSize w:val="1"/>
      <w:tblInd w:w="0" w:type="dxa"/>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tblBorders>
      <w:tblCellMar>
        <w:left w:w="108" w:type="dxa"/>
        <w:top w:w="0" w:type="dxa"/>
        <w:right w:w="108" w:type="dxa"/>
        <w:bottom w:w="0" w:type="dxa"/>
      </w:tblCellMar>
    </w:tblPr>
    <w:tblStylePr w:type="band1Horz">
      <w:rPr>
        <w:rFonts w:ascii="Arial" w:hAnsi="Arial"/>
        <w:color w:val="404040"/>
        <w:sz w:val="22"/>
      </w:rPr>
      <w:tcPr>
        <w:shd w:val="clear" w:color="bfbfbf" w:themeColor="text1" w:themeTint="40" w:fill="bfbfbf" w:themeFill="text1" w:themeFillTint="40"/>
      </w:tcPr>
    </w:tblStylePr>
    <w:tblStylePr w:type="band1Vert">
      <w:rPr>
        <w:rFonts w:ascii="Arial" w:hAnsi="Arial"/>
        <w:color w:val="404040"/>
        <w:sz w:val="22"/>
      </w:rPr>
      <w:tcPr>
        <w:shd w:val="clear" w:color="bfbfbf" w:themeColor="text1" w:themeTint="40" w:fill="bfbfbf" w:themeFill="text1" w:themeFillTint="40"/>
      </w:tcPr>
    </w:tblStylePr>
    <w:tblStylePr w:type="firstCol">
      <w:rPr>
        <w:b/>
        <w:color w:val="404040"/>
      </w:rPr>
    </w:tblStylePr>
    <w:tblStylePr w:type="firstRow">
      <w:rPr>
        <w:rFonts w:ascii="Arial" w:hAnsi="Arial"/>
        <w:b/>
        <w:color w:val="ffffff"/>
        <w:sz w:val="22"/>
      </w:rPr>
      <w:tcPr>
        <w:shd w:val="clear" w:color="000000" w:themeColor="text1" w:fill="000000" w:themeFill="text1"/>
      </w:tcPr>
    </w:tblStylePr>
    <w:tblStylePr w:type="lastCol">
      <w:rPr>
        <w:b/>
        <w:color w:val="404040"/>
      </w:rPr>
    </w:tblStylePr>
    <w:tblStylePr w:type="lastRow">
      <w:rPr>
        <w:b/>
        <w:color w:val="404040"/>
      </w:rPr>
    </w:tblStylePr>
  </w:style>
  <w:style w:type="table" w:styleId="1165" w:customStyle="1">
    <w:name w:val="List Table 4 - Accent 1"/>
    <w:basedOn w:val="1054"/>
    <w:uiPriority w:val="99"/>
    <w:pPr>
      <w:spacing w:after="0" w:line="240" w:lineRule="auto"/>
    </w:pPr>
    <w:tblPr>
      <w:tblStyleRowBandSize w:val="1"/>
      <w:tblStyleColBandSize w:val="1"/>
      <w:tblInd w:w="0" w:type="dxa"/>
      <w:tblBorders>
        <w:top w:val="single" w:color="9BB7D9" w:themeColor="accent1" w:themeTint="90" w:sz="4" w:space="0"/>
        <w:left w:val="single" w:color="9BB7D9" w:themeColor="accent1" w:themeTint="90" w:sz="4" w:space="0"/>
        <w:bottom w:val="single" w:color="9BB7D9" w:themeColor="accent1" w:themeTint="90" w:sz="4" w:space="0"/>
        <w:right w:val="single" w:color="9BB7D9" w:themeColor="accent1" w:themeTint="90" w:sz="4" w:space="0"/>
        <w:insideH w:val="single" w:color="9BB7D9" w:themeColor="accent1" w:themeTint="90" w:sz="4" w:space="0"/>
      </w:tblBorders>
      <w:tblCellMar>
        <w:left w:w="108" w:type="dxa"/>
        <w:top w:w="0" w:type="dxa"/>
        <w:right w:w="108" w:type="dxa"/>
        <w:bottom w:w="0" w:type="dxa"/>
      </w:tblCellMar>
    </w:tblPr>
    <w:tblStylePr w:type="band1Horz">
      <w:rPr>
        <w:rFonts w:ascii="Arial" w:hAnsi="Arial"/>
        <w:color w:val="404040"/>
        <w:sz w:val="22"/>
      </w:rPr>
      <w:tcPr>
        <w:shd w:val="clear" w:color="d2dfee" w:themeColor="accent1" w:themeTint="40" w:fill="d2dfee" w:themeFill="accent1" w:themeFillTint="40"/>
      </w:tcPr>
    </w:tblStylePr>
    <w:tblStylePr w:type="band1Vert">
      <w:rPr>
        <w:rFonts w:ascii="Arial" w:hAnsi="Arial"/>
        <w:color w:val="404040"/>
        <w:sz w:val="22"/>
      </w:rPr>
      <w:tcPr>
        <w:shd w:val="clear" w:color="d2dfee" w:themeColor="accent1" w:themeTint="40" w:fill="d2dfee" w:themeFill="accent1" w:themeFillTint="40"/>
      </w:tcPr>
    </w:tblStylePr>
    <w:tblStylePr w:type="firstCol">
      <w:rPr>
        <w:b/>
        <w:color w:val="404040"/>
      </w:rPr>
    </w:tblStylePr>
    <w:tblStylePr w:type="firstRow">
      <w:rPr>
        <w:rFonts w:ascii="Arial" w:hAnsi="Arial"/>
        <w:b/>
        <w:color w:val="ffffff"/>
        <w:sz w:val="22"/>
      </w:rPr>
      <w:tcPr>
        <w:shd w:val="clear" w:color="4f81bd" w:themeColor="accent1" w:fill="4f81bd" w:themeFill="accent1"/>
      </w:tcPr>
    </w:tblStylePr>
    <w:tblStylePr w:type="lastCol">
      <w:rPr>
        <w:b/>
        <w:color w:val="404040"/>
      </w:rPr>
    </w:tblStylePr>
    <w:tblStylePr w:type="lastRow">
      <w:rPr>
        <w:b/>
        <w:color w:val="404040"/>
      </w:rPr>
    </w:tblStylePr>
  </w:style>
  <w:style w:type="table" w:styleId="1166" w:customStyle="1">
    <w:name w:val="List Table 4 - Accent 2"/>
    <w:basedOn w:val="1054"/>
    <w:uiPriority w:val="99"/>
    <w:pPr>
      <w:spacing w:after="0" w:line="240" w:lineRule="auto"/>
    </w:pPr>
    <w:tblPr>
      <w:tblStyleRowBandSize w:val="1"/>
      <w:tblStyleColBandSize w:val="1"/>
      <w:tblInd w:w="0" w:type="dxa"/>
      <w:tblBorders>
        <w:top w:val="single" w:color="DB9B9A" w:themeColor="accent2" w:themeTint="90" w:sz="4" w:space="0"/>
        <w:left w:val="single" w:color="DB9B9A" w:themeColor="accent2" w:themeTint="90" w:sz="4" w:space="0"/>
        <w:bottom w:val="single" w:color="DB9B9A" w:themeColor="accent2" w:themeTint="90" w:sz="4" w:space="0"/>
        <w:right w:val="single" w:color="DB9B9A" w:themeColor="accent2" w:themeTint="90" w:sz="4" w:space="0"/>
        <w:insideH w:val="single" w:color="DB9B9A" w:themeColor="accent2" w:themeTint="90" w:sz="4" w:space="0"/>
      </w:tblBorders>
      <w:tblCellMar>
        <w:left w:w="108" w:type="dxa"/>
        <w:top w:w="0" w:type="dxa"/>
        <w:right w:w="108" w:type="dxa"/>
        <w:bottom w:w="0" w:type="dxa"/>
      </w:tblCellMar>
    </w:tblPr>
    <w:tblStylePr w:type="band1Horz">
      <w:rPr>
        <w:rFonts w:ascii="Arial" w:hAnsi="Arial"/>
        <w:color w:val="404040"/>
        <w:sz w:val="22"/>
      </w:rPr>
      <w:tcPr>
        <w:shd w:val="clear" w:color="efd2d2" w:themeColor="accent2" w:themeTint="40" w:fill="efd2d2" w:themeFill="accent2" w:themeFillTint="40"/>
      </w:tcPr>
    </w:tblStylePr>
    <w:tblStylePr w:type="band1Vert">
      <w:rPr>
        <w:rFonts w:ascii="Arial" w:hAnsi="Arial"/>
        <w:color w:val="404040"/>
        <w:sz w:val="22"/>
      </w:rPr>
      <w:tcPr>
        <w:shd w:val="clear" w:color="efd2d2" w:themeColor="accent2" w:themeTint="40" w:fill="efd2d2" w:themeFill="accent2" w:themeFillTint="40"/>
      </w:tcPr>
    </w:tblStylePr>
    <w:tblStylePr w:type="firstCol">
      <w:rPr>
        <w:b/>
        <w:color w:val="404040"/>
      </w:rPr>
    </w:tblStylePr>
    <w:tblStylePr w:type="firstRow">
      <w:rPr>
        <w:rFonts w:ascii="Arial" w:hAnsi="Arial"/>
        <w:b/>
        <w:color w:val="ffffff"/>
        <w:sz w:val="22"/>
      </w:rPr>
      <w:tcPr>
        <w:shd w:val="clear" w:color="c0504d" w:themeColor="accent2" w:fill="c0504d" w:themeFill="accent2"/>
      </w:tcPr>
    </w:tblStylePr>
    <w:tblStylePr w:type="lastCol">
      <w:rPr>
        <w:b/>
        <w:color w:val="404040"/>
      </w:rPr>
    </w:tblStylePr>
    <w:tblStylePr w:type="lastRow">
      <w:rPr>
        <w:b/>
        <w:color w:val="404040"/>
      </w:rPr>
    </w:tblStylePr>
  </w:style>
  <w:style w:type="table" w:styleId="1167" w:customStyle="1">
    <w:name w:val="List Table 4 - Accent 3"/>
    <w:basedOn w:val="1054"/>
    <w:uiPriority w:val="99"/>
    <w:pPr>
      <w:spacing w:after="0" w:line="240" w:lineRule="auto"/>
    </w:pPr>
    <w:tblPr>
      <w:tblStyleRowBandSize w:val="1"/>
      <w:tblStyleColBandSize w:val="1"/>
      <w:tblInd w:w="0" w:type="dxa"/>
      <w:tblBorders>
        <w:top w:val="single" w:color="C6D8A1" w:themeColor="accent3" w:themeTint="90" w:sz="4" w:space="0"/>
        <w:left w:val="single" w:color="C6D8A1" w:themeColor="accent3" w:themeTint="90" w:sz="4" w:space="0"/>
        <w:bottom w:val="single" w:color="C6D8A1" w:themeColor="accent3" w:themeTint="90" w:sz="4" w:space="0"/>
        <w:right w:val="single" w:color="C6D8A1" w:themeColor="accent3" w:themeTint="90" w:sz="4" w:space="0"/>
        <w:insideH w:val="single" w:color="C6D8A1" w:themeColor="accent3" w:themeTint="90" w:sz="4" w:space="0"/>
      </w:tblBorders>
      <w:tblCellMar>
        <w:left w:w="108" w:type="dxa"/>
        <w:top w:w="0" w:type="dxa"/>
        <w:right w:w="108" w:type="dxa"/>
        <w:bottom w:w="0" w:type="dxa"/>
      </w:tblCellMar>
    </w:tblPr>
    <w:tblStylePr w:type="band1Horz">
      <w:rPr>
        <w:rFonts w:ascii="Arial" w:hAnsi="Arial"/>
        <w:color w:val="404040"/>
        <w:sz w:val="22"/>
      </w:rPr>
      <w:tcPr>
        <w:shd w:val="clear" w:color="e5eed5" w:themeColor="accent3" w:themeTint="40" w:fill="e5eed5" w:themeFill="accent3" w:themeFillTint="40"/>
      </w:tcPr>
    </w:tblStylePr>
    <w:tblStylePr w:type="band1Vert">
      <w:rPr>
        <w:rFonts w:ascii="Arial" w:hAnsi="Arial"/>
        <w:color w:val="404040"/>
        <w:sz w:val="22"/>
      </w:rPr>
      <w:tcPr>
        <w:shd w:val="clear" w:color="e5eed5" w:themeColor="accent3" w:themeTint="40" w:fill="e5eed5" w:themeFill="accent3" w:themeFillTint="40"/>
      </w:tcPr>
    </w:tblStylePr>
    <w:tblStylePr w:type="firstCol">
      <w:rPr>
        <w:b/>
        <w:color w:val="404040"/>
      </w:rPr>
    </w:tblStylePr>
    <w:tblStylePr w:type="firstRow">
      <w:rPr>
        <w:rFonts w:ascii="Arial" w:hAnsi="Arial"/>
        <w:b/>
        <w:color w:val="ffffff"/>
        <w:sz w:val="22"/>
      </w:rPr>
      <w:tcPr>
        <w:shd w:val="clear" w:color="9bbb59" w:themeColor="accent3" w:fill="9bbb59" w:themeFill="accent3"/>
      </w:tcPr>
    </w:tblStylePr>
    <w:tblStylePr w:type="lastCol">
      <w:rPr>
        <w:b/>
        <w:color w:val="404040"/>
      </w:rPr>
    </w:tblStylePr>
    <w:tblStylePr w:type="lastRow">
      <w:rPr>
        <w:b/>
        <w:color w:val="404040"/>
      </w:rPr>
    </w:tblStylePr>
  </w:style>
  <w:style w:type="table" w:styleId="1168" w:customStyle="1">
    <w:name w:val="List Table 4 - Accent 4"/>
    <w:basedOn w:val="1054"/>
    <w:uiPriority w:val="99"/>
    <w:pPr>
      <w:spacing w:after="0" w:line="240" w:lineRule="auto"/>
    </w:pPr>
    <w:tblPr>
      <w:tblStyleRowBandSize w:val="1"/>
      <w:tblStyleColBandSize w:val="1"/>
      <w:tblInd w:w="0" w:type="dxa"/>
      <w:tblBorders>
        <w:top w:val="single" w:color="B7A7CA" w:themeColor="accent4" w:themeTint="90" w:sz="4" w:space="0"/>
        <w:left w:val="single" w:color="B7A7CA" w:themeColor="accent4" w:themeTint="90" w:sz="4" w:space="0"/>
        <w:bottom w:val="single" w:color="B7A7CA" w:themeColor="accent4" w:themeTint="90" w:sz="4" w:space="0"/>
        <w:right w:val="single" w:color="B7A7CA" w:themeColor="accent4" w:themeTint="90" w:sz="4" w:space="0"/>
        <w:insideH w:val="single" w:color="B7A7CA" w:themeColor="accent4" w:themeTint="90" w:sz="4" w:space="0"/>
      </w:tblBorders>
      <w:tblCellMar>
        <w:left w:w="108" w:type="dxa"/>
        <w:top w:w="0" w:type="dxa"/>
        <w:right w:w="108" w:type="dxa"/>
        <w:bottom w:w="0" w:type="dxa"/>
      </w:tblCellMar>
    </w:tblPr>
    <w:tblStylePr w:type="band1Horz">
      <w:rPr>
        <w:rFonts w:ascii="Arial" w:hAnsi="Arial"/>
        <w:color w:val="404040"/>
        <w:sz w:val="22"/>
      </w:rPr>
      <w:tcPr>
        <w:shd w:val="clear" w:color="dfd8e7" w:themeColor="accent4" w:themeTint="40" w:fill="dfd8e7" w:themeFill="accent4" w:themeFillTint="40"/>
      </w:tcPr>
    </w:tblStylePr>
    <w:tblStylePr w:type="band1Vert">
      <w:rPr>
        <w:rFonts w:ascii="Arial" w:hAnsi="Arial"/>
        <w:color w:val="404040"/>
        <w:sz w:val="22"/>
      </w:rPr>
      <w:tcPr>
        <w:shd w:val="clear" w:color="dfd8e7" w:themeColor="accent4" w:themeTint="40" w:fill="dfd8e7" w:themeFill="accent4" w:themeFillTint="40"/>
      </w:tcPr>
    </w:tblStylePr>
    <w:tblStylePr w:type="firstCol">
      <w:rPr>
        <w:b/>
        <w:color w:val="404040"/>
      </w:rPr>
    </w:tblStylePr>
    <w:tblStylePr w:type="firstRow">
      <w:rPr>
        <w:rFonts w:ascii="Arial" w:hAnsi="Arial"/>
        <w:b/>
        <w:color w:val="ffffff"/>
        <w:sz w:val="22"/>
      </w:rPr>
      <w:tcPr>
        <w:shd w:val="clear" w:color="8064a2" w:themeColor="accent4" w:fill="8064a2" w:themeFill="accent4"/>
      </w:tcPr>
    </w:tblStylePr>
    <w:tblStylePr w:type="lastCol">
      <w:rPr>
        <w:b/>
        <w:color w:val="404040"/>
      </w:rPr>
    </w:tblStylePr>
    <w:tblStylePr w:type="lastRow">
      <w:rPr>
        <w:b/>
        <w:color w:val="404040"/>
      </w:rPr>
    </w:tblStylePr>
  </w:style>
  <w:style w:type="table" w:styleId="1169" w:customStyle="1">
    <w:name w:val="List Table 4 - Accent 5"/>
    <w:basedOn w:val="1054"/>
    <w:uiPriority w:val="99"/>
    <w:pPr>
      <w:spacing w:after="0" w:line="240" w:lineRule="auto"/>
    </w:pPr>
    <w:tblPr>
      <w:tblStyleRowBandSize w:val="1"/>
      <w:tblStyleColBandSize w:val="1"/>
      <w:tblInd w:w="0" w:type="dxa"/>
      <w:tblBorders>
        <w:top w:val="single" w:color="99D0DE" w:themeColor="accent5" w:themeTint="90" w:sz="4" w:space="0"/>
        <w:left w:val="single" w:color="99D0DE" w:themeColor="accent5" w:themeTint="90" w:sz="4" w:space="0"/>
        <w:bottom w:val="single" w:color="99D0DE" w:themeColor="accent5" w:themeTint="90" w:sz="4" w:space="0"/>
        <w:right w:val="single" w:color="99D0DE" w:themeColor="accent5" w:themeTint="90" w:sz="4" w:space="0"/>
        <w:insideH w:val="single" w:color="99D0DE" w:themeColor="accent5" w:themeTint="90" w:sz="4" w:space="0"/>
      </w:tblBorders>
      <w:tblCellMar>
        <w:left w:w="108" w:type="dxa"/>
        <w:top w:w="0" w:type="dxa"/>
        <w:right w:w="108" w:type="dxa"/>
        <w:bottom w:w="0" w:type="dxa"/>
      </w:tblCellMar>
    </w:tblPr>
    <w:tblStylePr w:type="band1Horz">
      <w:rPr>
        <w:rFonts w:ascii="Arial" w:hAnsi="Arial"/>
        <w:color w:val="404040"/>
        <w:sz w:val="22"/>
      </w:rPr>
      <w:tcPr>
        <w:shd w:val="clear" w:color="d1eaf0" w:themeColor="accent5" w:themeTint="40" w:fill="d1eaf0" w:themeFill="accent5" w:themeFillTint="40"/>
      </w:tcPr>
    </w:tblStylePr>
    <w:tblStylePr w:type="band1Vert">
      <w:rPr>
        <w:rFonts w:ascii="Arial" w:hAnsi="Arial"/>
        <w:color w:val="404040"/>
        <w:sz w:val="22"/>
      </w:rPr>
      <w:tcPr>
        <w:shd w:val="clear" w:color="d1eaf0" w:themeColor="accent5" w:themeTint="40" w:fill="d1eaf0" w:themeFill="accent5" w:themeFillTint="40"/>
      </w:tcPr>
    </w:tblStylePr>
    <w:tblStylePr w:type="firstCol">
      <w:rPr>
        <w:b/>
        <w:color w:val="404040"/>
      </w:rPr>
    </w:tblStylePr>
    <w:tblStylePr w:type="firstRow">
      <w:rPr>
        <w:rFonts w:ascii="Arial" w:hAnsi="Arial"/>
        <w:b/>
        <w:color w:val="ffffff"/>
        <w:sz w:val="22"/>
      </w:rPr>
      <w:tcPr>
        <w:shd w:val="clear" w:color="4bacc6" w:themeColor="accent5" w:fill="4bacc6" w:themeFill="accent5"/>
      </w:tcPr>
    </w:tblStylePr>
    <w:tblStylePr w:type="lastCol">
      <w:rPr>
        <w:b/>
        <w:color w:val="404040"/>
      </w:rPr>
    </w:tblStylePr>
    <w:tblStylePr w:type="lastRow">
      <w:rPr>
        <w:b/>
        <w:color w:val="404040"/>
      </w:rPr>
    </w:tblStylePr>
  </w:style>
  <w:style w:type="table" w:styleId="1170" w:customStyle="1">
    <w:name w:val="List Table 4 - Accent 6"/>
    <w:basedOn w:val="1054"/>
    <w:uiPriority w:val="99"/>
    <w:pPr>
      <w:spacing w:after="0" w:line="240" w:lineRule="auto"/>
    </w:pPr>
    <w:tblPr>
      <w:tblStyleRowBandSize w:val="1"/>
      <w:tblStyleColBandSize w:val="1"/>
      <w:tblInd w:w="0" w:type="dxa"/>
      <w:tblBorders>
        <w:top w:val="single" w:color="FAC396" w:themeColor="accent6" w:themeTint="90" w:sz="4" w:space="0"/>
        <w:left w:val="single" w:color="FAC396" w:themeColor="accent6" w:themeTint="90" w:sz="4" w:space="0"/>
        <w:bottom w:val="single" w:color="FAC396" w:themeColor="accent6" w:themeTint="90" w:sz="4" w:space="0"/>
        <w:right w:val="single" w:color="FAC396" w:themeColor="accent6" w:themeTint="90" w:sz="4" w:space="0"/>
        <w:insideH w:val="single" w:color="FAC396" w:themeColor="accent6" w:themeTint="90" w:sz="4" w:space="0"/>
      </w:tblBorders>
      <w:tblCellMar>
        <w:left w:w="108" w:type="dxa"/>
        <w:top w:w="0" w:type="dxa"/>
        <w:right w:w="108" w:type="dxa"/>
        <w:bottom w:w="0" w:type="dxa"/>
      </w:tblCellMar>
    </w:tblPr>
    <w:tblStylePr w:type="band1Horz">
      <w:rPr>
        <w:rFonts w:ascii="Arial" w:hAnsi="Arial"/>
        <w:color w:val="404040"/>
        <w:sz w:val="22"/>
      </w:rPr>
      <w:tcPr>
        <w:shd w:val="clear" w:color="fde4d0" w:themeColor="accent6" w:themeTint="40" w:fill="fde4d0" w:themeFill="accent6" w:themeFillTint="40"/>
      </w:tcPr>
    </w:tblStylePr>
    <w:tblStylePr w:type="band1Vert">
      <w:rPr>
        <w:rFonts w:ascii="Arial" w:hAnsi="Arial"/>
        <w:color w:val="404040"/>
        <w:sz w:val="22"/>
      </w:rPr>
      <w:tcPr>
        <w:shd w:val="clear" w:color="fde4d0" w:themeColor="accent6" w:themeTint="40" w:fill="fde4d0" w:themeFill="accent6" w:themeFillTint="40"/>
      </w:tcPr>
    </w:tblStylePr>
    <w:tblStylePr w:type="firstCol">
      <w:rPr>
        <w:b/>
        <w:color w:val="404040"/>
      </w:rPr>
    </w:tblStylePr>
    <w:tblStylePr w:type="firstRow">
      <w:rPr>
        <w:rFonts w:ascii="Arial" w:hAnsi="Arial"/>
        <w:b/>
        <w:color w:val="ffffff"/>
        <w:sz w:val="22"/>
      </w:rPr>
      <w:tcPr>
        <w:shd w:val="clear" w:color="f79646" w:themeColor="accent6" w:fill="f79646" w:themeFill="accent6"/>
      </w:tcPr>
    </w:tblStylePr>
    <w:tblStylePr w:type="lastCol">
      <w:rPr>
        <w:b/>
        <w:color w:val="404040"/>
      </w:rPr>
    </w:tblStylePr>
    <w:tblStylePr w:type="lastRow">
      <w:rPr>
        <w:b/>
        <w:color w:val="404040"/>
      </w:rPr>
    </w:tblStylePr>
  </w:style>
  <w:style w:type="table" w:styleId="1171" w:customStyle="1">
    <w:name w:val="List Table 5 Dark"/>
    <w:basedOn w:val="1054"/>
    <w:uiPriority w:val="99"/>
    <w:pPr>
      <w:spacing w:after="0" w:line="240" w:lineRule="auto"/>
    </w:pPr>
    <w:tblPr>
      <w:tblStyleRowBandSize w:val="1"/>
      <w:tblStyleColBandSize w:val="1"/>
      <w:tblInd w:w="0" w:type="dxa"/>
      <w:tblBorders>
        <w:top w:val="single" w:color="7F7F7F" w:themeColor="text1" w:themeTint="80" w:sz="32" w:space="0"/>
        <w:left w:val="single" w:color="7F7F7F" w:themeColor="text1" w:themeTint="80" w:sz="32" w:space="0"/>
        <w:bottom w:val="single" w:color="7F7F7F" w:themeColor="text1" w:themeTint="80" w:sz="32" w:space="0"/>
        <w:right w:val="single" w:color="7F7F7F" w:themeColor="text1" w:themeTint="80" w:sz="32" w:space="0"/>
      </w:tblBorders>
      <w:shd w:val="clear" w:color="7f7f7f" w:themeColor="text1" w:themeTint="80" w:fill="7f7f7f" w:themeFill="text1" w:themeFillTint="80"/>
      <w:tblCellMar>
        <w:left w:w="108" w:type="dxa"/>
        <w:top w:w="0" w:type="dxa"/>
        <w:right w:w="108" w:type="dxa"/>
        <w:bottom w:w="0" w:type="dxa"/>
      </w:tblCellMar>
    </w:tblPr>
    <w:tblStylePr w:type="band1Horz">
      <w:tcPr>
        <w:shd w:val="clear" w:color="7f7f7f" w:themeColor="text1" w:themeTint="80" w:fill="7f7f7f" w:themeFill="text1" w:themeFillTint="80"/>
        <w:tcBorders>
          <w:top w:val="single" w:color="FFFFFF" w:themeColor="light1" w:sz="4" w:space="0"/>
          <w:bottom w:val="single" w:color="FFFFFF" w:themeColor="light1" w:sz="4" w:space="0"/>
        </w:tcBorders>
      </w:tcPr>
    </w:tblStylePr>
    <w:tblStylePr w:type="band1Vert">
      <w:tcPr>
        <w:shd w:val="clear" w:color="7f7f7f" w:themeColor="text1" w:themeTint="80" w:fill="7f7f7f" w:themeFill="text1" w:themeFillTint="80"/>
        <w:tcBorders>
          <w:left w:val="single" w:color="FFFFFF" w:themeColor="light1" w:sz="4" w:space="0"/>
          <w:right w:val="single" w:color="FFFFFF" w:themeColor="light1" w:sz="4" w:space="0"/>
        </w:tcBorders>
      </w:tcPr>
    </w:tblStylePr>
    <w:tblStylePr w:type="band2Horz">
      <w:tcPr>
        <w:shd w:val="clear" w:color="7f7f7f" w:themeColor="text1" w:themeTint="80" w:fill="7f7f7f" w:themeFill="text1" w:themeFillTint="80"/>
        <w:tcBorders>
          <w:top w:val="single" w:color="FFFFFF" w:themeColor="light1" w:sz="4" w:space="0"/>
          <w:bottom w:val="single" w:color="FFFFFF" w:themeColor="light1" w:sz="4" w:space="0"/>
        </w:tcBorders>
      </w:tcPr>
    </w:tblStylePr>
    <w:tblStylePr w:type="band2Vert">
      <w:tcPr>
        <w:tcBorders>
          <w:left w:val="single" w:color="FFFFFF" w:themeColor="light1" w:sz="4" w:space="0"/>
          <w:right w:val="single" w:color="FFFFFF" w:themeColor="light1" w:sz="4" w:space="0"/>
        </w:tcBorders>
      </w:tcPr>
    </w:tblStylePr>
    <w:tblStylePr w:type="firstCol">
      <w:rPr>
        <w:rFonts w:ascii="Arial" w:hAnsi="Arial"/>
        <w:b/>
        <w:color w:val="ffffff" w:themeColor="light1"/>
        <w:sz w:val="22"/>
      </w:rPr>
      <w:tcPr>
        <w:tcBorders>
          <w:left w:val="single" w:color="7F7F7F" w:themeColor="text1" w:themeTint="80" w:sz="32" w:space="0"/>
          <w:right w:val="single" w:color="FFFFFF" w:themeColor="light1" w:sz="4" w:space="0"/>
        </w:tcBorders>
      </w:tcPr>
    </w:tblStylePr>
    <w:tblStylePr w:type="firstRow">
      <w:rPr>
        <w:rFonts w:ascii="Arial" w:hAnsi="Arial"/>
        <w:b/>
        <w:color w:val="ffffff" w:themeColor="light1"/>
        <w:sz w:val="22"/>
      </w:rPr>
      <w:tcPr>
        <w:shd w:val="clear" w:color="7f7f7f" w:themeColor="text1" w:themeTint="80" w:fill="7f7f7f" w:themeFill="text1" w:themeFillTint="80"/>
        <w:tcBorders>
          <w:top w:val="single" w:color="7F7F7F" w:themeColor="text1" w:themeTint="80" w:sz="32" w:space="0"/>
          <w:bottom w:val="single" w:color="FFFFFF" w:themeColor="light1" w:sz="12" w:space="0"/>
        </w:tcBorders>
      </w:tcPr>
    </w:tblStylePr>
    <w:tblStylePr w:type="lastCol">
      <w:tcPr>
        <w:tcBorders>
          <w:left w:val="single" w:color="FFFFFF" w:themeColor="light1" w:sz="4" w:space="0"/>
          <w:right w:val="single" w:color="7F7F7F" w:themeColor="text1" w:themeTint="80" w:sz="32" w:space="0"/>
        </w:tcBorders>
      </w:tcPr>
    </w:tblStylePr>
    <w:tblStylePr w:type="lastRow">
      <w:rPr>
        <w:rFonts w:ascii="Arial" w:hAnsi="Arial"/>
        <w:b/>
        <w:color w:val="ffffff" w:themeColor="light1"/>
        <w:sz w:val="22"/>
      </w:rPr>
    </w:tblStylePr>
  </w:style>
  <w:style w:type="table" w:styleId="1172" w:customStyle="1">
    <w:name w:val="List Table 5 Dark - Accent 1"/>
    <w:basedOn w:val="1054"/>
    <w:uiPriority w:val="99"/>
    <w:pPr>
      <w:spacing w:after="0" w:line="240" w:lineRule="auto"/>
    </w:pPr>
    <w:tblPr>
      <w:tblStyleRowBandSize w:val="1"/>
      <w:tblStyleColBandSize w:val="1"/>
      <w:tblInd w:w="0" w:type="dxa"/>
      <w:tblBorders>
        <w:top w:val="single" w:color="4F81BD" w:themeColor="accent1" w:sz="32" w:space="0"/>
        <w:left w:val="single" w:color="4F81BD" w:themeColor="accent1" w:sz="32" w:space="0"/>
        <w:bottom w:val="single" w:color="4F81BD" w:themeColor="accent1" w:sz="32" w:space="0"/>
        <w:right w:val="single" w:color="4F81BD" w:themeColor="accent1" w:sz="32" w:space="0"/>
      </w:tblBorders>
      <w:shd w:val="clear" w:color="4f81bd" w:themeColor="accent1" w:fill="4f81bd" w:themeFill="accent1"/>
      <w:tblCellMar>
        <w:left w:w="108" w:type="dxa"/>
        <w:top w:w="0" w:type="dxa"/>
        <w:right w:w="108" w:type="dxa"/>
        <w:bottom w:w="0" w:type="dxa"/>
      </w:tblCellMar>
    </w:tblPr>
    <w:tblStylePr w:type="band1Horz">
      <w:tcPr>
        <w:shd w:val="clear" w:color="4f81bd" w:themeColor="accent1" w:fill="4f81bd" w:themeFill="accent1"/>
        <w:tcBorders>
          <w:top w:val="single" w:color="FFFFFF" w:themeColor="light1" w:sz="4" w:space="0"/>
          <w:bottom w:val="single" w:color="FFFFFF" w:themeColor="light1" w:sz="4" w:space="0"/>
        </w:tcBorders>
      </w:tcPr>
    </w:tblStylePr>
    <w:tblStylePr w:type="band1Vert">
      <w:tcPr>
        <w:shd w:val="clear" w:color="4f81bd" w:themeColor="accent1" w:fill="4f81bd" w:themeFill="accent1"/>
        <w:tcBorders>
          <w:left w:val="single" w:color="FFFFFF" w:themeColor="light1" w:sz="4" w:space="0"/>
          <w:right w:val="single" w:color="FFFFFF" w:themeColor="light1" w:sz="4" w:space="0"/>
        </w:tcBorders>
      </w:tcPr>
    </w:tblStylePr>
    <w:tblStylePr w:type="band2Horz">
      <w:tcPr>
        <w:shd w:val="clear" w:color="4f81bd" w:themeColor="accent1" w:fill="4f81bd" w:themeFill="accent1"/>
        <w:tcBorders>
          <w:top w:val="single" w:color="FFFFFF" w:themeColor="light1" w:sz="4" w:space="0"/>
          <w:bottom w:val="single" w:color="FFFFFF" w:themeColor="light1" w:sz="4" w:space="0"/>
        </w:tcBorders>
      </w:tcPr>
    </w:tblStylePr>
    <w:tblStylePr w:type="band2Vert">
      <w:tcPr>
        <w:tcBorders>
          <w:left w:val="single" w:color="FFFFFF" w:themeColor="light1" w:sz="4" w:space="0"/>
          <w:right w:val="single" w:color="FFFFFF" w:themeColor="light1" w:sz="4" w:space="0"/>
        </w:tcBorders>
      </w:tcPr>
    </w:tblStylePr>
    <w:tblStylePr w:type="firstCol">
      <w:rPr>
        <w:rFonts w:ascii="Arial" w:hAnsi="Arial"/>
        <w:b/>
        <w:color w:val="ffffff" w:themeColor="light1"/>
        <w:sz w:val="22"/>
      </w:rPr>
      <w:tcPr>
        <w:tcBorders>
          <w:left w:val="single" w:color="4F81BD" w:themeColor="accent1" w:sz="32" w:space="0"/>
          <w:right w:val="single" w:color="FFFFFF" w:themeColor="light1" w:sz="4" w:space="0"/>
        </w:tcBorders>
      </w:tcPr>
    </w:tblStylePr>
    <w:tblStylePr w:type="firstRow">
      <w:rPr>
        <w:rFonts w:ascii="Arial" w:hAnsi="Arial"/>
        <w:b/>
        <w:color w:val="ffffff" w:themeColor="light1"/>
        <w:sz w:val="22"/>
      </w:rPr>
      <w:tcPr>
        <w:shd w:val="clear" w:color="4f81bd" w:themeColor="accent1" w:fill="4f81bd" w:themeFill="accent1"/>
        <w:tcBorders>
          <w:top w:val="single" w:color="4F81BD" w:themeColor="accent1" w:sz="32" w:space="0"/>
          <w:bottom w:val="single" w:color="FFFFFF" w:themeColor="light1" w:sz="12" w:space="0"/>
        </w:tcBorders>
      </w:tcPr>
    </w:tblStylePr>
    <w:tblStylePr w:type="lastCol">
      <w:tcPr>
        <w:tcBorders>
          <w:left w:val="single" w:color="FFFFFF" w:themeColor="light1" w:sz="4" w:space="0"/>
          <w:right w:val="single" w:color="4F81BD" w:themeColor="accent1" w:sz="32" w:space="0"/>
        </w:tcBorders>
      </w:tcPr>
    </w:tblStylePr>
    <w:tblStylePr w:type="lastRow">
      <w:rPr>
        <w:rFonts w:ascii="Arial" w:hAnsi="Arial"/>
        <w:b/>
        <w:color w:val="ffffff" w:themeColor="light1"/>
        <w:sz w:val="22"/>
      </w:rPr>
    </w:tblStylePr>
  </w:style>
  <w:style w:type="table" w:styleId="1173" w:customStyle="1">
    <w:name w:val="List Table 5 Dark - Accent 2"/>
    <w:basedOn w:val="1054"/>
    <w:uiPriority w:val="99"/>
    <w:pPr>
      <w:spacing w:after="0" w:line="240" w:lineRule="auto"/>
    </w:pPr>
    <w:tblPr>
      <w:tblStyleRowBandSize w:val="1"/>
      <w:tblStyleColBandSize w:val="1"/>
      <w:tblInd w:w="0" w:type="dxa"/>
      <w:tblBorders>
        <w:top w:val="single" w:color="D99695" w:themeColor="accent2" w:themeTint="97" w:sz="32" w:space="0"/>
        <w:left w:val="single" w:color="D99695" w:themeColor="accent2" w:themeTint="97" w:sz="32" w:space="0"/>
        <w:bottom w:val="single" w:color="D99695" w:themeColor="accent2" w:themeTint="97" w:sz="32" w:space="0"/>
        <w:right w:val="single" w:color="D99695" w:themeColor="accent2" w:themeTint="97" w:sz="32" w:space="0"/>
      </w:tblBorders>
      <w:shd w:val="clear" w:color="d99695" w:themeColor="accent2" w:themeTint="97" w:fill="d99695" w:themeFill="accent2" w:themeFillTint="97"/>
      <w:tblCellMar>
        <w:left w:w="108" w:type="dxa"/>
        <w:top w:w="0" w:type="dxa"/>
        <w:right w:w="108" w:type="dxa"/>
        <w:bottom w:w="0" w:type="dxa"/>
      </w:tblCellMar>
    </w:tblPr>
    <w:tblStylePr w:type="band1Horz">
      <w:tcPr>
        <w:shd w:val="clear" w:color="d99695" w:themeColor="accent2" w:themeTint="97" w:fill="d99695" w:themeFill="accent2" w:themeFillTint="97"/>
        <w:tcBorders>
          <w:top w:val="single" w:color="FFFFFF" w:themeColor="light1" w:sz="4" w:space="0"/>
          <w:bottom w:val="single" w:color="FFFFFF" w:themeColor="light1" w:sz="4" w:space="0"/>
        </w:tcBorders>
      </w:tcPr>
    </w:tblStylePr>
    <w:tblStylePr w:type="band1Vert">
      <w:tcPr>
        <w:shd w:val="clear" w:color="d99695" w:themeColor="accent2" w:themeTint="97" w:fill="d99695" w:themeFill="accent2" w:themeFillTint="97"/>
        <w:tcBorders>
          <w:left w:val="single" w:color="FFFFFF" w:themeColor="light1" w:sz="4" w:space="0"/>
          <w:right w:val="single" w:color="FFFFFF" w:themeColor="light1" w:sz="4" w:space="0"/>
        </w:tcBorders>
      </w:tcPr>
    </w:tblStylePr>
    <w:tblStylePr w:type="band2Horz">
      <w:tcPr>
        <w:shd w:val="clear" w:color="d99695" w:themeColor="accent2" w:themeTint="97" w:fill="d99695" w:themeFill="accent2" w:themeFillTint="97"/>
        <w:tcBorders>
          <w:top w:val="single" w:color="FFFFFF" w:themeColor="light1" w:sz="4" w:space="0"/>
          <w:bottom w:val="single" w:color="FFFFFF" w:themeColor="light1" w:sz="4" w:space="0"/>
        </w:tcBorders>
      </w:tcPr>
    </w:tblStylePr>
    <w:tblStylePr w:type="band2Vert">
      <w:tcPr>
        <w:tcBorders>
          <w:left w:val="single" w:color="FFFFFF" w:themeColor="light1" w:sz="4" w:space="0"/>
          <w:right w:val="single" w:color="FFFFFF" w:themeColor="light1" w:sz="4" w:space="0"/>
        </w:tcBorders>
      </w:tcPr>
    </w:tblStylePr>
    <w:tblStylePr w:type="firstCol">
      <w:rPr>
        <w:rFonts w:ascii="Arial" w:hAnsi="Arial"/>
        <w:b/>
        <w:color w:val="ffffff" w:themeColor="light1"/>
        <w:sz w:val="22"/>
      </w:rPr>
      <w:tcPr>
        <w:tcBorders>
          <w:left w:val="single" w:color="D99695" w:themeColor="accent2" w:themeTint="97" w:sz="32" w:space="0"/>
          <w:right w:val="single" w:color="FFFFFF" w:themeColor="light1" w:sz="4" w:space="0"/>
        </w:tcBorders>
      </w:tcPr>
    </w:tblStylePr>
    <w:tblStylePr w:type="firstRow">
      <w:rPr>
        <w:rFonts w:ascii="Arial" w:hAnsi="Arial"/>
        <w:b/>
        <w:color w:val="ffffff" w:themeColor="light1"/>
        <w:sz w:val="22"/>
      </w:rPr>
      <w:tcPr>
        <w:shd w:val="clear" w:color="d99695" w:themeColor="accent2" w:themeTint="97" w:fill="d99695" w:themeFill="accent2" w:themeFillTint="97"/>
        <w:tcBorders>
          <w:top w:val="single" w:color="D99695" w:themeColor="accent2" w:themeTint="97" w:sz="32" w:space="0"/>
          <w:bottom w:val="single" w:color="FFFFFF" w:themeColor="light1" w:sz="12" w:space="0"/>
        </w:tcBorders>
      </w:tcPr>
    </w:tblStylePr>
    <w:tblStylePr w:type="lastCol">
      <w:tcPr>
        <w:tcBorders>
          <w:left w:val="single" w:color="FFFFFF" w:themeColor="light1" w:sz="4" w:space="0"/>
          <w:right w:val="single" w:color="D99695" w:themeColor="accent2" w:themeTint="97" w:sz="32" w:space="0"/>
        </w:tcBorders>
      </w:tcPr>
    </w:tblStylePr>
    <w:tblStylePr w:type="lastRow">
      <w:rPr>
        <w:rFonts w:ascii="Arial" w:hAnsi="Arial"/>
        <w:b/>
        <w:color w:val="ffffff" w:themeColor="light1"/>
        <w:sz w:val="22"/>
      </w:rPr>
    </w:tblStylePr>
  </w:style>
  <w:style w:type="table" w:styleId="1174" w:customStyle="1">
    <w:name w:val="List Table 5 Dark - Accent 3"/>
    <w:basedOn w:val="1054"/>
    <w:uiPriority w:val="99"/>
    <w:pPr>
      <w:spacing w:after="0" w:line="240" w:lineRule="auto"/>
    </w:pPr>
    <w:tblPr>
      <w:tblStyleRowBandSize w:val="1"/>
      <w:tblStyleColBandSize w:val="1"/>
      <w:tblInd w:w="0" w:type="dxa"/>
      <w:tblBorders>
        <w:top w:val="single" w:color="C3D69B" w:themeColor="accent3" w:themeTint="98" w:sz="32" w:space="0"/>
        <w:left w:val="single" w:color="C3D69B" w:themeColor="accent3" w:themeTint="98" w:sz="32" w:space="0"/>
        <w:bottom w:val="single" w:color="C3D69B" w:themeColor="accent3" w:themeTint="98" w:sz="32" w:space="0"/>
        <w:right w:val="single" w:color="C3D69B" w:themeColor="accent3" w:themeTint="98" w:sz="32" w:space="0"/>
      </w:tblBorders>
      <w:shd w:val="clear" w:color="c3d69b" w:themeColor="accent3" w:themeTint="98" w:fill="c3d69b" w:themeFill="accent3" w:themeFillTint="98"/>
      <w:tblCellMar>
        <w:left w:w="108" w:type="dxa"/>
        <w:top w:w="0" w:type="dxa"/>
        <w:right w:w="108" w:type="dxa"/>
        <w:bottom w:w="0" w:type="dxa"/>
      </w:tblCellMar>
    </w:tblPr>
    <w:tblStylePr w:type="band1Horz">
      <w:tcPr>
        <w:shd w:val="clear" w:color="c3d69b" w:themeColor="accent3" w:themeTint="98" w:fill="c3d69b" w:themeFill="accent3" w:themeFillTint="98"/>
        <w:tcBorders>
          <w:top w:val="single" w:color="FFFFFF" w:themeColor="light1" w:sz="4" w:space="0"/>
          <w:bottom w:val="single" w:color="FFFFFF" w:themeColor="light1" w:sz="4" w:space="0"/>
        </w:tcBorders>
      </w:tcPr>
    </w:tblStylePr>
    <w:tblStylePr w:type="band1Vert">
      <w:tcPr>
        <w:shd w:val="clear" w:color="c3d69b" w:themeColor="accent3" w:themeTint="98" w:fill="c3d69b" w:themeFill="accent3" w:themeFillTint="98"/>
        <w:tcBorders>
          <w:left w:val="single" w:color="FFFFFF" w:themeColor="light1" w:sz="4" w:space="0"/>
          <w:right w:val="single" w:color="FFFFFF" w:themeColor="light1" w:sz="4" w:space="0"/>
        </w:tcBorders>
      </w:tcPr>
    </w:tblStylePr>
    <w:tblStylePr w:type="band2Horz">
      <w:tcPr>
        <w:shd w:val="clear" w:color="c3d69b" w:themeColor="accent3" w:themeTint="98" w:fill="c3d69b" w:themeFill="accent3" w:themeFillTint="98"/>
        <w:tcBorders>
          <w:top w:val="single" w:color="FFFFFF" w:themeColor="light1" w:sz="4" w:space="0"/>
          <w:bottom w:val="single" w:color="FFFFFF" w:themeColor="light1" w:sz="4" w:space="0"/>
        </w:tcBorders>
      </w:tcPr>
    </w:tblStylePr>
    <w:tblStylePr w:type="band2Vert">
      <w:tcPr>
        <w:tcBorders>
          <w:left w:val="single" w:color="FFFFFF" w:themeColor="light1" w:sz="4" w:space="0"/>
          <w:right w:val="single" w:color="FFFFFF" w:themeColor="light1" w:sz="4" w:space="0"/>
        </w:tcBorders>
      </w:tcPr>
    </w:tblStylePr>
    <w:tblStylePr w:type="firstCol">
      <w:rPr>
        <w:rFonts w:ascii="Arial" w:hAnsi="Arial"/>
        <w:b/>
        <w:color w:val="ffffff" w:themeColor="light1"/>
        <w:sz w:val="22"/>
      </w:rPr>
      <w:tcPr>
        <w:tcBorders>
          <w:left w:val="single" w:color="C3D69B" w:themeColor="accent3" w:themeTint="98" w:sz="32" w:space="0"/>
          <w:right w:val="single" w:color="FFFFFF" w:themeColor="light1" w:sz="4" w:space="0"/>
        </w:tcBorders>
      </w:tcPr>
    </w:tblStylePr>
    <w:tblStylePr w:type="firstRow">
      <w:rPr>
        <w:rFonts w:ascii="Arial" w:hAnsi="Arial"/>
        <w:b/>
        <w:color w:val="ffffff" w:themeColor="light1"/>
        <w:sz w:val="22"/>
      </w:rPr>
      <w:tcPr>
        <w:shd w:val="clear" w:color="c3d69b" w:themeColor="accent3" w:themeTint="98" w:fill="c3d69b" w:themeFill="accent3" w:themeFillTint="98"/>
        <w:tcBorders>
          <w:top w:val="single" w:color="C3D69B" w:themeColor="accent3" w:themeTint="98" w:sz="32" w:space="0"/>
          <w:bottom w:val="single" w:color="FFFFFF" w:themeColor="light1" w:sz="12" w:space="0"/>
        </w:tcBorders>
      </w:tcPr>
    </w:tblStylePr>
    <w:tblStylePr w:type="lastCol">
      <w:tcPr>
        <w:tcBorders>
          <w:left w:val="single" w:color="FFFFFF" w:themeColor="light1" w:sz="4" w:space="0"/>
          <w:right w:val="single" w:color="C3D69B" w:themeColor="accent3" w:themeTint="98" w:sz="32" w:space="0"/>
        </w:tcBorders>
      </w:tcPr>
    </w:tblStylePr>
    <w:tblStylePr w:type="lastRow">
      <w:rPr>
        <w:rFonts w:ascii="Arial" w:hAnsi="Arial"/>
        <w:b/>
        <w:color w:val="ffffff" w:themeColor="light1"/>
        <w:sz w:val="22"/>
      </w:rPr>
    </w:tblStylePr>
  </w:style>
  <w:style w:type="table" w:styleId="1175" w:customStyle="1">
    <w:name w:val="List Table 5 Dark - Accent 4"/>
    <w:basedOn w:val="1054"/>
    <w:uiPriority w:val="99"/>
    <w:pPr>
      <w:spacing w:after="0" w:line="240" w:lineRule="auto"/>
    </w:pPr>
    <w:tblPr>
      <w:tblStyleRowBandSize w:val="1"/>
      <w:tblStyleColBandSize w:val="1"/>
      <w:tblInd w:w="0" w:type="dxa"/>
      <w:tblBorders>
        <w:top w:val="single" w:color="B2A1C6" w:themeColor="accent4" w:themeTint="9A" w:sz="32" w:space="0"/>
        <w:left w:val="single" w:color="B2A1C6" w:themeColor="accent4" w:themeTint="9A" w:sz="32" w:space="0"/>
        <w:bottom w:val="single" w:color="B2A1C6" w:themeColor="accent4" w:themeTint="9A" w:sz="32" w:space="0"/>
        <w:right w:val="single" w:color="B2A1C6" w:themeColor="accent4" w:themeTint="9A" w:sz="32" w:space="0"/>
      </w:tblBorders>
      <w:shd w:val="clear" w:color="b2a1c6" w:themeColor="accent4" w:themeTint="9A" w:fill="b2a1c6" w:themeFill="accent4" w:themeFillTint="9A"/>
      <w:tblCellMar>
        <w:left w:w="108" w:type="dxa"/>
        <w:top w:w="0" w:type="dxa"/>
        <w:right w:w="108" w:type="dxa"/>
        <w:bottom w:w="0" w:type="dxa"/>
      </w:tblCellMar>
    </w:tblPr>
    <w:tblStylePr w:type="band1Horz">
      <w:tcPr>
        <w:shd w:val="clear" w:color="b2a1c6" w:themeColor="accent4" w:themeTint="9A" w:fill="b2a1c6" w:themeFill="accent4" w:themeFillTint="9A"/>
        <w:tcBorders>
          <w:top w:val="single" w:color="FFFFFF" w:themeColor="light1" w:sz="4" w:space="0"/>
          <w:bottom w:val="single" w:color="FFFFFF" w:themeColor="light1" w:sz="4" w:space="0"/>
        </w:tcBorders>
      </w:tcPr>
    </w:tblStylePr>
    <w:tblStylePr w:type="band1Vert">
      <w:tcPr>
        <w:shd w:val="clear" w:color="b2a1c6" w:themeColor="accent4" w:themeTint="9A" w:fill="b2a1c6" w:themeFill="accent4" w:themeFillTint="9A"/>
        <w:tcBorders>
          <w:left w:val="single" w:color="FFFFFF" w:themeColor="light1" w:sz="4" w:space="0"/>
          <w:right w:val="single" w:color="FFFFFF" w:themeColor="light1" w:sz="4" w:space="0"/>
        </w:tcBorders>
      </w:tcPr>
    </w:tblStylePr>
    <w:tblStylePr w:type="band2Horz">
      <w:tcPr>
        <w:shd w:val="clear" w:color="b2a1c6" w:themeColor="accent4" w:themeTint="9A" w:fill="b2a1c6" w:themeFill="accent4" w:themeFillTint="9A"/>
        <w:tcBorders>
          <w:top w:val="single" w:color="FFFFFF" w:themeColor="light1" w:sz="4" w:space="0"/>
          <w:bottom w:val="single" w:color="FFFFFF" w:themeColor="light1" w:sz="4" w:space="0"/>
        </w:tcBorders>
      </w:tcPr>
    </w:tblStylePr>
    <w:tblStylePr w:type="band2Vert">
      <w:tcPr>
        <w:tcBorders>
          <w:left w:val="single" w:color="FFFFFF" w:themeColor="light1" w:sz="4" w:space="0"/>
          <w:right w:val="single" w:color="FFFFFF" w:themeColor="light1" w:sz="4" w:space="0"/>
        </w:tcBorders>
      </w:tcPr>
    </w:tblStylePr>
    <w:tblStylePr w:type="firstCol">
      <w:rPr>
        <w:rFonts w:ascii="Arial" w:hAnsi="Arial"/>
        <w:b/>
        <w:color w:val="ffffff" w:themeColor="light1"/>
        <w:sz w:val="22"/>
      </w:rPr>
      <w:tcPr>
        <w:tcBorders>
          <w:left w:val="single" w:color="B2A1C6" w:themeColor="accent4" w:themeTint="9A" w:sz="32" w:space="0"/>
          <w:right w:val="single" w:color="FFFFFF" w:themeColor="light1" w:sz="4" w:space="0"/>
        </w:tcBorders>
      </w:tcPr>
    </w:tblStylePr>
    <w:tblStylePr w:type="firstRow">
      <w:rPr>
        <w:rFonts w:ascii="Arial" w:hAnsi="Arial"/>
        <w:b/>
        <w:color w:val="ffffff" w:themeColor="light1"/>
        <w:sz w:val="22"/>
      </w:rPr>
      <w:tcPr>
        <w:shd w:val="clear" w:color="b2a1c6" w:themeColor="accent4" w:themeTint="9A" w:fill="b2a1c6" w:themeFill="accent4" w:themeFillTint="9A"/>
        <w:tcBorders>
          <w:top w:val="single" w:color="B2A1C6" w:themeColor="accent4" w:themeTint="9A" w:sz="32" w:space="0"/>
          <w:bottom w:val="single" w:color="FFFFFF" w:themeColor="light1" w:sz="12" w:space="0"/>
        </w:tcBorders>
      </w:tcPr>
    </w:tblStylePr>
    <w:tblStylePr w:type="lastCol">
      <w:tcPr>
        <w:tcBorders>
          <w:left w:val="single" w:color="FFFFFF" w:themeColor="light1" w:sz="4" w:space="0"/>
          <w:right w:val="single" w:color="B2A1C6" w:themeColor="accent4" w:themeTint="9A" w:sz="32" w:space="0"/>
        </w:tcBorders>
      </w:tcPr>
    </w:tblStylePr>
    <w:tblStylePr w:type="lastRow">
      <w:rPr>
        <w:rFonts w:ascii="Arial" w:hAnsi="Arial"/>
        <w:b/>
        <w:color w:val="ffffff" w:themeColor="light1"/>
        <w:sz w:val="22"/>
      </w:rPr>
    </w:tblStylePr>
  </w:style>
  <w:style w:type="table" w:styleId="1176" w:customStyle="1">
    <w:name w:val="List Table 5 Dark - Accent 5"/>
    <w:basedOn w:val="1054"/>
    <w:uiPriority w:val="99"/>
    <w:pPr>
      <w:spacing w:after="0" w:line="240" w:lineRule="auto"/>
    </w:pPr>
    <w:tblPr>
      <w:tblStyleRowBandSize w:val="1"/>
      <w:tblStyleColBandSize w:val="1"/>
      <w:tblInd w:w="0" w:type="dxa"/>
      <w:tblBorders>
        <w:top w:val="single" w:color="92CCDC" w:themeColor="accent5" w:themeTint="9A" w:sz="32" w:space="0"/>
        <w:left w:val="single" w:color="92CCDC" w:themeColor="accent5" w:themeTint="9A" w:sz="32" w:space="0"/>
        <w:bottom w:val="single" w:color="92CCDC" w:themeColor="accent5" w:themeTint="9A" w:sz="32" w:space="0"/>
        <w:right w:val="single" w:color="92CCDC" w:themeColor="accent5" w:themeTint="9A" w:sz="32" w:space="0"/>
      </w:tblBorders>
      <w:shd w:val="clear" w:color="92ccdc" w:themeColor="accent5" w:themeTint="9A" w:fill="92ccdc" w:themeFill="accent5" w:themeFillTint="9A"/>
      <w:tblCellMar>
        <w:left w:w="108" w:type="dxa"/>
        <w:top w:w="0" w:type="dxa"/>
        <w:right w:w="108" w:type="dxa"/>
        <w:bottom w:w="0" w:type="dxa"/>
      </w:tblCellMar>
    </w:tblPr>
    <w:tblStylePr w:type="band1Horz">
      <w:tcPr>
        <w:shd w:val="clear" w:color="92ccdc" w:themeColor="accent5" w:themeTint="9A" w:fill="92ccdc" w:themeFill="accent5" w:themeFillTint="9A"/>
        <w:tcBorders>
          <w:top w:val="single" w:color="FFFFFF" w:themeColor="light1" w:sz="4" w:space="0"/>
          <w:bottom w:val="single" w:color="FFFFFF" w:themeColor="light1" w:sz="4" w:space="0"/>
        </w:tcBorders>
      </w:tcPr>
    </w:tblStylePr>
    <w:tblStylePr w:type="band1Vert">
      <w:tcPr>
        <w:shd w:val="clear" w:color="92ccdc" w:themeColor="accent5" w:themeTint="9A" w:fill="92ccdc" w:themeFill="accent5" w:themeFillTint="9A"/>
        <w:tcBorders>
          <w:left w:val="single" w:color="FFFFFF" w:themeColor="light1" w:sz="4" w:space="0"/>
          <w:right w:val="single" w:color="FFFFFF" w:themeColor="light1" w:sz="4" w:space="0"/>
        </w:tcBorders>
      </w:tcPr>
    </w:tblStylePr>
    <w:tblStylePr w:type="band2Horz">
      <w:tcPr>
        <w:shd w:val="clear" w:color="92ccdc" w:themeColor="accent5" w:themeTint="9A" w:fill="92ccdc" w:themeFill="accent5" w:themeFillTint="9A"/>
        <w:tcBorders>
          <w:top w:val="single" w:color="FFFFFF" w:themeColor="light1" w:sz="4" w:space="0"/>
          <w:bottom w:val="single" w:color="FFFFFF" w:themeColor="light1" w:sz="4" w:space="0"/>
        </w:tcBorders>
      </w:tcPr>
    </w:tblStylePr>
    <w:tblStylePr w:type="band2Vert">
      <w:tcPr>
        <w:tcBorders>
          <w:left w:val="single" w:color="FFFFFF" w:themeColor="light1" w:sz="4" w:space="0"/>
          <w:right w:val="single" w:color="FFFFFF" w:themeColor="light1" w:sz="4" w:space="0"/>
        </w:tcBorders>
      </w:tcPr>
    </w:tblStylePr>
    <w:tblStylePr w:type="firstCol">
      <w:rPr>
        <w:rFonts w:ascii="Arial" w:hAnsi="Arial"/>
        <w:b/>
        <w:color w:val="ffffff" w:themeColor="light1"/>
        <w:sz w:val="22"/>
      </w:rPr>
      <w:tcPr>
        <w:tcBorders>
          <w:left w:val="single" w:color="92CCDC" w:themeColor="accent5" w:themeTint="9A" w:sz="32" w:space="0"/>
          <w:right w:val="single" w:color="FFFFFF" w:themeColor="light1" w:sz="4" w:space="0"/>
        </w:tcBorders>
      </w:tcPr>
    </w:tblStylePr>
    <w:tblStylePr w:type="firstRow">
      <w:rPr>
        <w:rFonts w:ascii="Arial" w:hAnsi="Arial"/>
        <w:b/>
        <w:color w:val="ffffff" w:themeColor="light1"/>
        <w:sz w:val="22"/>
      </w:rPr>
      <w:tcPr>
        <w:shd w:val="clear" w:color="92ccdc" w:themeColor="accent5" w:themeTint="9A" w:fill="92ccdc" w:themeFill="accent5" w:themeFillTint="9A"/>
        <w:tcBorders>
          <w:top w:val="single" w:color="92CCDC" w:themeColor="accent5" w:themeTint="9A" w:sz="32" w:space="0"/>
          <w:bottom w:val="single" w:color="FFFFFF" w:themeColor="light1" w:sz="12" w:space="0"/>
        </w:tcBorders>
      </w:tcPr>
    </w:tblStylePr>
    <w:tblStylePr w:type="lastCol">
      <w:tcPr>
        <w:tcBorders>
          <w:left w:val="single" w:color="FFFFFF" w:themeColor="light1" w:sz="4" w:space="0"/>
          <w:right w:val="single" w:color="92CCDC" w:themeColor="accent5" w:themeTint="9A" w:sz="32" w:space="0"/>
        </w:tcBorders>
      </w:tcPr>
    </w:tblStylePr>
    <w:tblStylePr w:type="lastRow">
      <w:rPr>
        <w:rFonts w:ascii="Arial" w:hAnsi="Arial"/>
        <w:b/>
        <w:color w:val="ffffff" w:themeColor="light1"/>
        <w:sz w:val="22"/>
      </w:rPr>
    </w:tblStylePr>
  </w:style>
  <w:style w:type="table" w:styleId="1177" w:customStyle="1">
    <w:name w:val="List Table 5 Dark - Accent 6"/>
    <w:basedOn w:val="1054"/>
    <w:uiPriority w:val="99"/>
    <w:pPr>
      <w:spacing w:after="0" w:line="240" w:lineRule="auto"/>
    </w:pPr>
    <w:tblPr>
      <w:tblStyleRowBandSize w:val="1"/>
      <w:tblStyleColBandSize w:val="1"/>
      <w:tblInd w:w="0" w:type="dxa"/>
      <w:tblBorders>
        <w:top w:val="single" w:color="FAC090" w:themeColor="accent6" w:themeTint="98" w:sz="32" w:space="0"/>
        <w:left w:val="single" w:color="FAC090" w:themeColor="accent6" w:themeTint="98" w:sz="32" w:space="0"/>
        <w:bottom w:val="single" w:color="FAC090" w:themeColor="accent6" w:themeTint="98" w:sz="32" w:space="0"/>
        <w:right w:val="single" w:color="FAC090" w:themeColor="accent6" w:themeTint="98" w:sz="32" w:space="0"/>
      </w:tblBorders>
      <w:shd w:val="clear" w:color="fac090" w:themeColor="accent6" w:themeTint="98" w:fill="fac090" w:themeFill="accent6" w:themeFillTint="98"/>
      <w:tblCellMar>
        <w:left w:w="108" w:type="dxa"/>
        <w:top w:w="0" w:type="dxa"/>
        <w:right w:w="108" w:type="dxa"/>
        <w:bottom w:w="0" w:type="dxa"/>
      </w:tblCellMar>
    </w:tblPr>
    <w:tblStylePr w:type="band1Horz">
      <w:tcPr>
        <w:shd w:val="clear" w:color="fac090" w:themeColor="accent6" w:themeTint="98" w:fill="fac090" w:themeFill="accent6" w:themeFillTint="98"/>
        <w:tcBorders>
          <w:top w:val="single" w:color="FFFFFF" w:themeColor="light1" w:sz="4" w:space="0"/>
          <w:bottom w:val="single" w:color="FFFFFF" w:themeColor="light1" w:sz="4" w:space="0"/>
        </w:tcBorders>
      </w:tcPr>
    </w:tblStylePr>
    <w:tblStylePr w:type="band1Vert">
      <w:tcPr>
        <w:shd w:val="clear" w:color="fac090" w:themeColor="accent6" w:themeTint="98" w:fill="fac090" w:themeFill="accent6" w:themeFillTint="98"/>
        <w:tcBorders>
          <w:left w:val="single" w:color="FFFFFF" w:themeColor="light1" w:sz="4" w:space="0"/>
          <w:right w:val="single" w:color="FFFFFF" w:themeColor="light1" w:sz="4" w:space="0"/>
        </w:tcBorders>
      </w:tcPr>
    </w:tblStylePr>
    <w:tblStylePr w:type="band2Horz">
      <w:tcPr>
        <w:shd w:val="clear" w:color="fac090" w:themeColor="accent6" w:themeTint="98" w:fill="fac090" w:themeFill="accent6" w:themeFillTint="98"/>
        <w:tcBorders>
          <w:top w:val="single" w:color="FFFFFF" w:themeColor="light1" w:sz="4" w:space="0"/>
          <w:bottom w:val="single" w:color="FFFFFF" w:themeColor="light1" w:sz="4" w:space="0"/>
        </w:tcBorders>
      </w:tcPr>
    </w:tblStylePr>
    <w:tblStylePr w:type="band2Vert">
      <w:tcPr>
        <w:tcBorders>
          <w:left w:val="single" w:color="FFFFFF" w:themeColor="light1" w:sz="4" w:space="0"/>
          <w:right w:val="single" w:color="FFFFFF" w:themeColor="light1" w:sz="4" w:space="0"/>
        </w:tcBorders>
      </w:tcPr>
    </w:tblStylePr>
    <w:tblStylePr w:type="firstCol">
      <w:rPr>
        <w:rFonts w:ascii="Arial" w:hAnsi="Arial"/>
        <w:b/>
        <w:color w:val="ffffff" w:themeColor="light1"/>
        <w:sz w:val="22"/>
      </w:rPr>
      <w:tcPr>
        <w:tcBorders>
          <w:left w:val="single" w:color="FAC090" w:themeColor="accent6" w:themeTint="98" w:sz="32" w:space="0"/>
          <w:right w:val="single" w:color="FFFFFF" w:themeColor="light1" w:sz="4" w:space="0"/>
        </w:tcBorders>
      </w:tcPr>
    </w:tblStylePr>
    <w:tblStylePr w:type="firstRow">
      <w:rPr>
        <w:rFonts w:ascii="Arial" w:hAnsi="Arial"/>
        <w:b/>
        <w:color w:val="ffffff" w:themeColor="light1"/>
        <w:sz w:val="22"/>
      </w:rPr>
      <w:tcPr>
        <w:shd w:val="clear" w:color="fac090" w:themeColor="accent6" w:themeTint="98" w:fill="fac090" w:themeFill="accent6" w:themeFillTint="98"/>
        <w:tcBorders>
          <w:top w:val="single" w:color="FAC090" w:themeColor="accent6" w:themeTint="98" w:sz="32" w:space="0"/>
          <w:bottom w:val="single" w:color="FFFFFF" w:themeColor="light1" w:sz="12" w:space="0"/>
        </w:tcBorders>
      </w:tcPr>
    </w:tblStylePr>
    <w:tblStylePr w:type="lastCol">
      <w:tcPr>
        <w:tcBorders>
          <w:left w:val="single" w:color="FFFFFF" w:themeColor="light1" w:sz="4" w:space="0"/>
          <w:right w:val="single" w:color="FAC090" w:themeColor="accent6" w:themeTint="98" w:sz="32" w:space="0"/>
        </w:tcBorders>
      </w:tcPr>
    </w:tblStylePr>
    <w:tblStylePr w:type="lastRow">
      <w:rPr>
        <w:rFonts w:ascii="Arial" w:hAnsi="Arial"/>
        <w:b/>
        <w:color w:val="ffffff" w:themeColor="light1"/>
        <w:sz w:val="22"/>
      </w:rPr>
    </w:tblStylePr>
  </w:style>
  <w:style w:type="table" w:styleId="1178" w:customStyle="1">
    <w:name w:val="List Table 6 Colorful"/>
    <w:basedOn w:val="1054"/>
    <w:uiPriority w:val="99"/>
    <w:pPr>
      <w:spacing w:after="0" w:line="240" w:lineRule="auto"/>
    </w:pPr>
    <w:tblPr>
      <w:tblStyleRowBandSize w:val="1"/>
      <w:tblStyleColBandSize w:val="1"/>
      <w:tblInd w:w="0" w:type="dxa"/>
      <w:tblBorders>
        <w:top w:val="single" w:color="7F7F7F" w:themeColor="text1" w:themeTint="80" w:sz="4" w:space="0"/>
        <w:bottom w:val="single" w:color="7F7F7F" w:themeColor="text1" w:themeTint="80" w:sz="4" w:space="0"/>
      </w:tblBorders>
      <w:tblCellMar>
        <w:left w:w="108" w:type="dxa"/>
        <w:top w:w="0" w:type="dxa"/>
        <w:right w:w="108" w:type="dxa"/>
        <w:bottom w:w="0" w:type="dxa"/>
      </w:tblCellMar>
    </w:tblPr>
    <w:tblStylePr w:type="band1Horz">
      <w:rPr>
        <w:rFonts w:ascii="Arial" w:hAnsi="Arial"/>
        <w:color w:val="000000" w:themeColor="text1"/>
        <w:sz w:val="22"/>
      </w:rPr>
      <w:tcPr>
        <w:shd w:val="clear" w:color="bfbfbf" w:themeColor="text1" w:themeTint="40" w:fill="bfbfbf" w:themeFill="text1" w:themeFillTint="40"/>
      </w:tcPr>
    </w:tblStylePr>
    <w:tblStylePr w:type="band1Vert">
      <w:tcPr>
        <w:shd w:val="clear" w:color="bfbfbf" w:themeColor="text1" w:themeTint="40" w:fill="bfbfbf" w:themeFill="text1" w:themeFillTint="40"/>
      </w:tcPr>
    </w:tblStylePr>
    <w:tblStylePr w:type="band2Horz">
      <w:rPr>
        <w:rFonts w:ascii="Arial" w:hAnsi="Arial"/>
        <w:color w:val="000000" w:themeColor="text1"/>
        <w:sz w:val="22"/>
      </w:rPr>
    </w:tblStylePr>
    <w:tblStylePr w:type="firstCol">
      <w:rPr>
        <w:b/>
        <w:color w:val="000000" w:themeColor="text1"/>
      </w:rPr>
    </w:tblStylePr>
    <w:tblStylePr w:type="firstRow">
      <w:rPr>
        <w:b/>
        <w:color w:val="000000" w:themeColor="text1"/>
      </w:rPr>
      <w:tcPr>
        <w:tcBorders>
          <w:bottom w:val="single" w:color="7F7F7F" w:themeColor="text1" w:themeTint="80" w:sz="4" w:space="0"/>
        </w:tcBorders>
      </w:tcPr>
    </w:tblStylePr>
    <w:tblStylePr w:type="lastCol">
      <w:rPr>
        <w:b/>
        <w:color w:val="000000" w:themeColor="text1"/>
      </w:rPr>
    </w:tblStylePr>
    <w:tblStylePr w:type="lastRow">
      <w:rPr>
        <w:b/>
        <w:color w:val="000000" w:themeColor="text1"/>
      </w:rPr>
      <w:tcPr>
        <w:tcBorders>
          <w:top w:val="single" w:color="7F7F7F" w:themeColor="text1" w:themeTint="80" w:sz="4" w:space="0"/>
        </w:tcBorders>
      </w:tcPr>
    </w:tblStylePr>
  </w:style>
  <w:style w:type="table" w:styleId="1179" w:customStyle="1">
    <w:name w:val="List Table 6 Colorful - Accent 1"/>
    <w:basedOn w:val="1054"/>
    <w:uiPriority w:val="99"/>
    <w:pPr>
      <w:spacing w:after="0" w:line="240" w:lineRule="auto"/>
    </w:pPr>
    <w:tblPr>
      <w:tblStyleRowBandSize w:val="1"/>
      <w:tblStyleColBandSize w:val="1"/>
      <w:tblInd w:w="0" w:type="dxa"/>
      <w:tblBorders>
        <w:top w:val="single" w:color="4F81BD" w:themeColor="accent1" w:sz="4" w:space="0"/>
        <w:bottom w:val="single" w:color="4F81BD" w:themeColor="accent1" w:sz="4" w:space="0"/>
      </w:tblBorders>
      <w:tblCellMar>
        <w:left w:w="108" w:type="dxa"/>
        <w:top w:w="0" w:type="dxa"/>
        <w:right w:w="108" w:type="dxa"/>
        <w:bottom w:w="0" w:type="dxa"/>
      </w:tblCellMar>
    </w:tblPr>
    <w:tblStylePr w:type="band1Horz">
      <w:rPr>
        <w:rFonts w:ascii="Arial" w:hAnsi="Arial"/>
        <w:color w:val="2a4a71" w:themeColor="accent1" w:themeShade="95"/>
        <w:sz w:val="22"/>
      </w:rPr>
      <w:tcPr>
        <w:shd w:val="clear" w:color="d2dfee" w:themeColor="accent1" w:themeTint="40" w:fill="d2dfee" w:themeFill="accent1" w:themeFillTint="40"/>
      </w:tcPr>
    </w:tblStylePr>
    <w:tblStylePr w:type="band1Vert">
      <w:tcPr>
        <w:shd w:val="clear" w:color="d2dfee" w:themeColor="accent1" w:themeTint="40" w:fill="d2dfee" w:themeFill="accent1" w:themeFillTint="40"/>
      </w:tcPr>
    </w:tblStylePr>
    <w:tblStylePr w:type="band2Horz">
      <w:rPr>
        <w:rFonts w:ascii="Arial" w:hAnsi="Arial"/>
        <w:color w:val="2a4a71" w:themeColor="accent1" w:themeShade="95"/>
        <w:sz w:val="22"/>
      </w:rPr>
    </w:tblStylePr>
    <w:tblStylePr w:type="firstCol">
      <w:rPr>
        <w:b/>
        <w:color w:val="2a4a71" w:themeColor="accent1" w:themeShade="95"/>
      </w:rPr>
    </w:tblStylePr>
    <w:tblStylePr w:type="firstRow">
      <w:rPr>
        <w:b/>
        <w:color w:val="2a4a71" w:themeColor="accent1" w:themeShade="95"/>
      </w:rPr>
      <w:tcPr>
        <w:tcBorders>
          <w:bottom w:val="single" w:color="4F81BD" w:themeColor="accent1" w:sz="4" w:space="0"/>
        </w:tcBorders>
      </w:tcPr>
    </w:tblStylePr>
    <w:tblStylePr w:type="lastCol">
      <w:rPr>
        <w:b/>
        <w:color w:val="2a4a71" w:themeColor="accent1" w:themeShade="95"/>
      </w:rPr>
    </w:tblStylePr>
    <w:tblStylePr w:type="lastRow">
      <w:rPr>
        <w:b/>
        <w:color w:val="2a4a71" w:themeColor="accent1" w:themeShade="95"/>
      </w:rPr>
      <w:tcPr>
        <w:tcBorders>
          <w:top w:val="single" w:color="4F81BD" w:themeColor="accent1" w:sz="4" w:space="0"/>
        </w:tcBorders>
      </w:tcPr>
    </w:tblStylePr>
  </w:style>
  <w:style w:type="table" w:styleId="1180" w:customStyle="1">
    <w:name w:val="List Table 6 Colorful - Accent 2"/>
    <w:basedOn w:val="1054"/>
    <w:uiPriority w:val="99"/>
    <w:pPr>
      <w:spacing w:after="0" w:line="240" w:lineRule="auto"/>
    </w:pPr>
    <w:tblPr>
      <w:tblStyleRowBandSize w:val="1"/>
      <w:tblStyleColBandSize w:val="1"/>
      <w:tblInd w:w="0" w:type="dxa"/>
      <w:tblBorders>
        <w:top w:val="single" w:color="D99695" w:themeColor="accent2" w:themeTint="97" w:sz="4" w:space="0"/>
        <w:bottom w:val="single" w:color="D99695" w:themeColor="accent2" w:themeTint="97" w:sz="4" w:space="0"/>
      </w:tblBorders>
      <w:tblCellMar>
        <w:left w:w="108" w:type="dxa"/>
        <w:top w:w="0" w:type="dxa"/>
        <w:right w:w="108" w:type="dxa"/>
        <w:bottom w:w="0" w:type="dxa"/>
      </w:tblCellMar>
    </w:tblPr>
    <w:tblStylePr w:type="band1Horz">
      <w:rPr>
        <w:rFonts w:ascii="Arial" w:hAnsi="Arial"/>
        <w:color w:val="d99695" w:themeColor="accent2" w:themeTint="97" w:themeShade="95"/>
        <w:sz w:val="22"/>
      </w:rPr>
      <w:tcPr>
        <w:shd w:val="clear" w:color="efd2d2" w:themeColor="accent2" w:themeTint="40" w:fill="efd2d2" w:themeFill="accent2" w:themeFillTint="40"/>
      </w:tcPr>
    </w:tblStylePr>
    <w:tblStylePr w:type="band1Vert">
      <w:tcPr>
        <w:shd w:val="clear" w:color="efd2d2" w:themeColor="accent2" w:themeTint="40" w:fill="efd2d2" w:themeFill="accent2" w:themeFillTint="40"/>
      </w:tcPr>
    </w:tblStylePr>
    <w:tblStylePr w:type="band2Horz">
      <w:rPr>
        <w:rFonts w:ascii="Arial" w:hAnsi="Arial"/>
        <w:color w:val="d99695" w:themeColor="accent2" w:themeTint="97" w:themeShade="95"/>
        <w:sz w:val="22"/>
      </w:rPr>
    </w:tblStylePr>
    <w:tblStylePr w:type="firstCol">
      <w:rPr>
        <w:b/>
        <w:color w:val="d99695" w:themeColor="accent2" w:themeTint="97" w:themeShade="95"/>
      </w:rPr>
    </w:tblStylePr>
    <w:tblStylePr w:type="firstRow">
      <w:rPr>
        <w:b/>
        <w:color w:val="d99695" w:themeColor="accent2" w:themeTint="97" w:themeShade="95"/>
      </w:rPr>
      <w:tcPr>
        <w:tcBorders>
          <w:bottom w:val="single" w:color="D99695" w:themeColor="accent2" w:themeTint="97" w:sz="4" w:space="0"/>
        </w:tcBorders>
      </w:tcPr>
    </w:tblStylePr>
    <w:tblStylePr w:type="lastCol">
      <w:rPr>
        <w:b/>
        <w:color w:val="d99695" w:themeColor="accent2" w:themeTint="97" w:themeShade="95"/>
      </w:rPr>
    </w:tblStylePr>
    <w:tblStylePr w:type="lastRow">
      <w:rPr>
        <w:b/>
        <w:color w:val="d99695" w:themeColor="accent2" w:themeTint="97" w:themeShade="95"/>
      </w:rPr>
      <w:tcPr>
        <w:tcBorders>
          <w:top w:val="single" w:color="D99695" w:themeColor="accent2" w:themeTint="97" w:sz="4" w:space="0"/>
        </w:tcBorders>
      </w:tcPr>
    </w:tblStylePr>
  </w:style>
  <w:style w:type="table" w:styleId="1181" w:customStyle="1">
    <w:name w:val="List Table 6 Colorful - Accent 3"/>
    <w:basedOn w:val="1054"/>
    <w:uiPriority w:val="99"/>
    <w:pPr>
      <w:spacing w:after="0" w:line="240" w:lineRule="auto"/>
    </w:pPr>
    <w:tblPr>
      <w:tblStyleRowBandSize w:val="1"/>
      <w:tblStyleColBandSize w:val="1"/>
      <w:tblInd w:w="0" w:type="dxa"/>
      <w:tblBorders>
        <w:top w:val="single" w:color="C3D69B" w:themeColor="accent3" w:themeTint="98" w:sz="4" w:space="0"/>
        <w:bottom w:val="single" w:color="C3D69B" w:themeColor="accent3" w:themeTint="98" w:sz="4" w:space="0"/>
      </w:tblBorders>
      <w:tblCellMar>
        <w:left w:w="108" w:type="dxa"/>
        <w:top w:w="0" w:type="dxa"/>
        <w:right w:w="108" w:type="dxa"/>
        <w:bottom w:w="0" w:type="dxa"/>
      </w:tblCellMar>
    </w:tblPr>
    <w:tblStylePr w:type="band1Horz">
      <w:rPr>
        <w:rFonts w:ascii="Arial" w:hAnsi="Arial"/>
        <w:color w:val="c3d69b" w:themeColor="accent3" w:themeTint="98" w:themeShade="95"/>
        <w:sz w:val="22"/>
      </w:rPr>
      <w:tcPr>
        <w:shd w:val="clear" w:color="e5eed5" w:themeColor="accent3" w:themeTint="40" w:fill="e5eed5" w:themeFill="accent3" w:themeFillTint="40"/>
      </w:tcPr>
    </w:tblStylePr>
    <w:tblStylePr w:type="band1Vert">
      <w:tcPr>
        <w:shd w:val="clear" w:color="e5eed5" w:themeColor="accent3" w:themeTint="40" w:fill="e5eed5" w:themeFill="accent3" w:themeFillTint="40"/>
      </w:tcPr>
    </w:tblStylePr>
    <w:tblStylePr w:type="band2Horz">
      <w:rPr>
        <w:rFonts w:ascii="Arial" w:hAnsi="Arial"/>
        <w:color w:val="c3d69b" w:themeColor="accent3" w:themeTint="98" w:themeShade="95"/>
        <w:sz w:val="22"/>
      </w:rPr>
    </w:tblStylePr>
    <w:tblStylePr w:type="firstCol">
      <w:rPr>
        <w:b/>
        <w:color w:val="c3d69b" w:themeColor="accent3" w:themeTint="98" w:themeShade="95"/>
      </w:rPr>
    </w:tblStylePr>
    <w:tblStylePr w:type="firstRow">
      <w:rPr>
        <w:b/>
        <w:color w:val="c3d69b" w:themeColor="accent3" w:themeTint="98" w:themeShade="95"/>
      </w:rPr>
      <w:tcPr>
        <w:tcBorders>
          <w:bottom w:val="single" w:color="C3D69B" w:themeColor="accent3" w:themeTint="98" w:sz="4" w:space="0"/>
        </w:tcBorders>
      </w:tcPr>
    </w:tblStylePr>
    <w:tblStylePr w:type="lastCol">
      <w:rPr>
        <w:b/>
        <w:color w:val="c3d69b" w:themeColor="accent3" w:themeTint="98" w:themeShade="95"/>
      </w:rPr>
    </w:tblStylePr>
    <w:tblStylePr w:type="lastRow">
      <w:rPr>
        <w:b/>
        <w:color w:val="c3d69b" w:themeColor="accent3" w:themeTint="98" w:themeShade="95"/>
      </w:rPr>
      <w:tcPr>
        <w:tcBorders>
          <w:top w:val="single" w:color="C3D69B" w:themeColor="accent3" w:themeTint="98" w:sz="4" w:space="0"/>
        </w:tcBorders>
      </w:tcPr>
    </w:tblStylePr>
  </w:style>
  <w:style w:type="table" w:styleId="1182" w:customStyle="1">
    <w:name w:val="List Table 6 Colorful - Accent 4"/>
    <w:basedOn w:val="1054"/>
    <w:uiPriority w:val="99"/>
    <w:pPr>
      <w:spacing w:after="0" w:line="240" w:lineRule="auto"/>
    </w:pPr>
    <w:tblPr>
      <w:tblStyleRowBandSize w:val="1"/>
      <w:tblStyleColBandSize w:val="1"/>
      <w:tblInd w:w="0" w:type="dxa"/>
      <w:tblBorders>
        <w:top w:val="single" w:color="B2A1C6" w:themeColor="accent4" w:themeTint="9A" w:sz="4" w:space="0"/>
        <w:bottom w:val="single" w:color="B2A1C6" w:themeColor="accent4" w:themeTint="9A" w:sz="4" w:space="0"/>
      </w:tblBorders>
      <w:tblCellMar>
        <w:left w:w="108" w:type="dxa"/>
        <w:top w:w="0" w:type="dxa"/>
        <w:right w:w="108" w:type="dxa"/>
        <w:bottom w:w="0" w:type="dxa"/>
      </w:tblCellMar>
    </w:tblPr>
    <w:tblStylePr w:type="band1Horz">
      <w:rPr>
        <w:rFonts w:ascii="Arial" w:hAnsi="Arial"/>
        <w:color w:val="b2a1c6" w:themeColor="accent4" w:themeTint="9A" w:themeShade="95"/>
        <w:sz w:val="22"/>
      </w:rPr>
      <w:tcPr>
        <w:shd w:val="clear" w:color="dfd8e7" w:themeColor="accent4" w:themeTint="40" w:fill="dfd8e7" w:themeFill="accent4" w:themeFillTint="40"/>
      </w:tcPr>
    </w:tblStylePr>
    <w:tblStylePr w:type="band1Vert">
      <w:tcPr>
        <w:shd w:val="clear" w:color="dfd8e7" w:themeColor="accent4" w:themeTint="40" w:fill="dfd8e7" w:themeFill="accent4" w:themeFillTint="40"/>
      </w:tcPr>
    </w:tblStylePr>
    <w:tblStylePr w:type="band2Horz">
      <w:rPr>
        <w:rFonts w:ascii="Arial" w:hAnsi="Arial"/>
        <w:color w:val="b2a1c6" w:themeColor="accent4" w:themeTint="9A" w:themeShade="95"/>
        <w:sz w:val="22"/>
      </w:rPr>
    </w:tblStylePr>
    <w:tblStylePr w:type="firstCol">
      <w:rPr>
        <w:b/>
        <w:color w:val="b2a1c6" w:themeColor="accent4" w:themeTint="9A" w:themeShade="95"/>
      </w:rPr>
    </w:tblStylePr>
    <w:tblStylePr w:type="firstRow">
      <w:rPr>
        <w:b/>
        <w:color w:val="b2a1c6" w:themeColor="accent4" w:themeTint="9A" w:themeShade="95"/>
      </w:rPr>
      <w:tcPr>
        <w:tcBorders>
          <w:bottom w:val="single" w:color="B2A1C6" w:themeColor="accent4" w:themeTint="9A" w:sz="4" w:space="0"/>
        </w:tcBorders>
      </w:tcPr>
    </w:tblStylePr>
    <w:tblStylePr w:type="lastCol">
      <w:rPr>
        <w:b/>
        <w:color w:val="b2a1c6" w:themeColor="accent4" w:themeTint="9A" w:themeShade="95"/>
      </w:rPr>
    </w:tblStylePr>
    <w:tblStylePr w:type="lastRow">
      <w:rPr>
        <w:b/>
        <w:color w:val="b2a1c6" w:themeColor="accent4" w:themeTint="9A" w:themeShade="95"/>
      </w:rPr>
      <w:tcPr>
        <w:tcBorders>
          <w:top w:val="single" w:color="B2A1C6" w:themeColor="accent4" w:themeTint="9A" w:sz="4" w:space="0"/>
        </w:tcBorders>
      </w:tcPr>
    </w:tblStylePr>
  </w:style>
  <w:style w:type="table" w:styleId="1183" w:customStyle="1">
    <w:name w:val="List Table 6 Colorful - Accent 5"/>
    <w:basedOn w:val="1054"/>
    <w:uiPriority w:val="99"/>
    <w:pPr>
      <w:spacing w:after="0" w:line="240" w:lineRule="auto"/>
    </w:pPr>
    <w:tblPr>
      <w:tblStyleRowBandSize w:val="1"/>
      <w:tblStyleColBandSize w:val="1"/>
      <w:tblInd w:w="0" w:type="dxa"/>
      <w:tblBorders>
        <w:top w:val="single" w:color="92CCDC" w:themeColor="accent5" w:themeTint="9A" w:sz="4" w:space="0"/>
        <w:bottom w:val="single" w:color="92CCDC" w:themeColor="accent5" w:themeTint="9A" w:sz="4" w:space="0"/>
      </w:tblBorders>
      <w:tblCellMar>
        <w:left w:w="108" w:type="dxa"/>
        <w:top w:w="0" w:type="dxa"/>
        <w:right w:w="108" w:type="dxa"/>
        <w:bottom w:w="0" w:type="dxa"/>
      </w:tblCellMar>
    </w:tblPr>
    <w:tblStylePr w:type="band1Horz">
      <w:rPr>
        <w:rFonts w:ascii="Arial" w:hAnsi="Arial"/>
        <w:color w:val="92ccdc" w:themeColor="accent5" w:themeTint="9A" w:themeShade="95"/>
        <w:sz w:val="22"/>
      </w:rPr>
      <w:tcPr>
        <w:shd w:val="clear" w:color="d1eaf0" w:themeColor="accent5" w:themeTint="40" w:fill="d1eaf0" w:themeFill="accent5" w:themeFillTint="40"/>
      </w:tcPr>
    </w:tblStylePr>
    <w:tblStylePr w:type="band1Vert">
      <w:tcPr>
        <w:shd w:val="clear" w:color="d1eaf0" w:themeColor="accent5" w:themeTint="40" w:fill="d1eaf0" w:themeFill="accent5" w:themeFillTint="40"/>
      </w:tcPr>
    </w:tblStylePr>
    <w:tblStylePr w:type="band2Horz">
      <w:rPr>
        <w:rFonts w:ascii="Arial" w:hAnsi="Arial"/>
        <w:color w:val="92ccdc" w:themeColor="accent5" w:themeTint="9A" w:themeShade="95"/>
        <w:sz w:val="22"/>
      </w:rPr>
    </w:tblStylePr>
    <w:tblStylePr w:type="firstCol">
      <w:rPr>
        <w:b/>
        <w:color w:val="92ccdc" w:themeColor="accent5" w:themeTint="9A" w:themeShade="95"/>
      </w:rPr>
    </w:tblStylePr>
    <w:tblStylePr w:type="firstRow">
      <w:rPr>
        <w:b/>
        <w:color w:val="92ccdc" w:themeColor="accent5" w:themeTint="9A" w:themeShade="95"/>
      </w:rPr>
      <w:tcPr>
        <w:tcBorders>
          <w:bottom w:val="single" w:color="92CCDC" w:themeColor="accent5" w:themeTint="9A" w:sz="4" w:space="0"/>
        </w:tcBorders>
      </w:tcPr>
    </w:tblStylePr>
    <w:tblStylePr w:type="lastCol">
      <w:rPr>
        <w:b/>
        <w:color w:val="92ccdc" w:themeColor="accent5" w:themeTint="9A" w:themeShade="95"/>
      </w:rPr>
    </w:tblStylePr>
    <w:tblStylePr w:type="lastRow">
      <w:rPr>
        <w:b/>
        <w:color w:val="92ccdc" w:themeColor="accent5" w:themeTint="9A" w:themeShade="95"/>
      </w:rPr>
      <w:tcPr>
        <w:tcBorders>
          <w:top w:val="single" w:color="92CCDC" w:themeColor="accent5" w:themeTint="9A" w:sz="4" w:space="0"/>
        </w:tcBorders>
      </w:tcPr>
    </w:tblStylePr>
  </w:style>
  <w:style w:type="table" w:styleId="1184" w:customStyle="1">
    <w:name w:val="List Table 6 Colorful - Accent 6"/>
    <w:basedOn w:val="1054"/>
    <w:uiPriority w:val="99"/>
    <w:pPr>
      <w:spacing w:after="0" w:line="240" w:lineRule="auto"/>
    </w:pPr>
    <w:tblPr>
      <w:tblStyleRowBandSize w:val="1"/>
      <w:tblStyleColBandSize w:val="1"/>
      <w:tblInd w:w="0" w:type="dxa"/>
      <w:tblBorders>
        <w:top w:val="single" w:color="FAC090" w:themeColor="accent6" w:themeTint="98" w:sz="4" w:space="0"/>
        <w:bottom w:val="single" w:color="FAC090" w:themeColor="accent6" w:themeTint="98" w:sz="4" w:space="0"/>
      </w:tblBorders>
      <w:tblCellMar>
        <w:left w:w="108" w:type="dxa"/>
        <w:top w:w="0" w:type="dxa"/>
        <w:right w:w="108" w:type="dxa"/>
        <w:bottom w:w="0" w:type="dxa"/>
      </w:tblCellMar>
    </w:tblPr>
    <w:tblStylePr w:type="band1Horz">
      <w:rPr>
        <w:rFonts w:ascii="Arial" w:hAnsi="Arial"/>
        <w:color w:val="fac090" w:themeColor="accent6" w:themeTint="98" w:themeShade="95"/>
        <w:sz w:val="22"/>
      </w:rPr>
      <w:tcPr>
        <w:shd w:val="clear" w:color="fde4d0" w:themeColor="accent6" w:themeTint="40" w:fill="fde4d0" w:themeFill="accent6" w:themeFillTint="40"/>
      </w:tcPr>
    </w:tblStylePr>
    <w:tblStylePr w:type="band1Vert">
      <w:tcPr>
        <w:shd w:val="clear" w:color="fde4d0" w:themeColor="accent6" w:themeTint="40" w:fill="fde4d0" w:themeFill="accent6" w:themeFillTint="40"/>
      </w:tcPr>
    </w:tblStylePr>
    <w:tblStylePr w:type="band2Horz">
      <w:rPr>
        <w:rFonts w:ascii="Arial" w:hAnsi="Arial"/>
        <w:color w:val="fac090" w:themeColor="accent6" w:themeTint="98" w:themeShade="95"/>
        <w:sz w:val="22"/>
      </w:rPr>
    </w:tblStylePr>
    <w:tblStylePr w:type="firstCol">
      <w:rPr>
        <w:b/>
        <w:color w:val="fac090" w:themeColor="accent6" w:themeTint="98" w:themeShade="95"/>
      </w:rPr>
    </w:tblStylePr>
    <w:tblStylePr w:type="firstRow">
      <w:rPr>
        <w:b/>
        <w:color w:val="fac090" w:themeColor="accent6" w:themeTint="98" w:themeShade="95"/>
      </w:rPr>
      <w:tcPr>
        <w:tcBorders>
          <w:bottom w:val="single" w:color="FAC090" w:themeColor="accent6" w:themeTint="98" w:sz="4" w:space="0"/>
        </w:tcBorders>
      </w:tcPr>
    </w:tblStylePr>
    <w:tblStylePr w:type="lastCol">
      <w:rPr>
        <w:b/>
        <w:color w:val="fac090" w:themeColor="accent6" w:themeTint="98" w:themeShade="95"/>
      </w:rPr>
    </w:tblStylePr>
    <w:tblStylePr w:type="lastRow">
      <w:rPr>
        <w:b/>
        <w:color w:val="fac090" w:themeColor="accent6" w:themeTint="98" w:themeShade="95"/>
      </w:rPr>
      <w:tcPr>
        <w:tcBorders>
          <w:top w:val="single" w:color="FAC090" w:themeColor="accent6" w:themeTint="98" w:sz="4" w:space="0"/>
        </w:tcBorders>
      </w:tcPr>
    </w:tblStylePr>
  </w:style>
  <w:style w:type="table" w:styleId="1185" w:customStyle="1">
    <w:name w:val="List Table 7 Colorful"/>
    <w:basedOn w:val="1054"/>
    <w:uiPriority w:val="99"/>
    <w:pPr>
      <w:spacing w:after="0" w:line="240" w:lineRule="auto"/>
    </w:pPr>
    <w:tblPr>
      <w:tblStyleRowBandSize w:val="1"/>
      <w:tblStyleColBandSize w:val="1"/>
      <w:tblInd w:w="0" w:type="dxa"/>
      <w:tblBorders>
        <w:right w:val="single" w:color="7F7F7F" w:themeColor="text1" w:themeTint="80" w:sz="4" w:space="0"/>
      </w:tblBorders>
      <w:tblCellMar>
        <w:left w:w="108" w:type="dxa"/>
        <w:top w:w="0" w:type="dxa"/>
        <w:right w:w="108" w:type="dxa"/>
        <w:bottom w:w="0" w:type="dxa"/>
      </w:tblCellMar>
    </w:tblPr>
    <w:tblStylePr w:type="band1Horz">
      <w:rPr>
        <w:rFonts w:ascii="Arial" w:hAnsi="Arial"/>
        <w:color w:val="7f7f7f" w:themeColor="text1" w:themeTint="80" w:themeShade="95"/>
        <w:sz w:val="22"/>
      </w:rPr>
      <w:tcPr>
        <w:shd w:val="clear" w:color="bfbfbf" w:themeColor="text1" w:themeTint="40" w:fill="bfbfbf" w:themeFill="text1" w:themeFillTint="40"/>
      </w:tcPr>
    </w:tblStylePr>
    <w:tblStylePr w:type="band1Vert">
      <w:tcPr>
        <w:shd w:val="clear" w:color="bfbfbf" w:themeColor="text1" w:themeTint="40" w:fill="bfbfbf" w:themeFill="text1" w:themeFillTint="40"/>
      </w:tcPr>
    </w:tblStylePr>
    <w:tblStylePr w:type="band2Horz">
      <w:rPr>
        <w:rFonts w:ascii="Arial" w:hAnsi="Arial"/>
        <w:color w:val="7f7f7f" w:themeColor="text1" w:themeTint="80" w:themeShade="95"/>
        <w:sz w:val="22"/>
      </w:rPr>
    </w:tblStylePr>
    <w:tblStylePr w:type="firstCol">
      <w:rPr>
        <w:rFonts w:ascii="Arial" w:hAnsi="Arial"/>
        <w:i/>
        <w:color w:val="7f7f7f" w:themeColor="text1" w:themeTint="80" w:themeShade="95"/>
        <w:sz w:val="22"/>
      </w:rPr>
      <w:pPr>
        <w:jc w:val="right"/>
      </w:pPr>
      <w:tcPr>
        <w:shd w:val="clear" w:color="ffffff" w:fill="auto"/>
        <w:tcBorders>
          <w:top w:val="none" w:color="000000" w:sz="4" w:space="0"/>
          <w:left w:val="none" w:color="000000" w:sz="4" w:space="0"/>
          <w:bottom w:val="none" w:color="000000" w:sz="4" w:space="0"/>
          <w:right w:val="single" w:color="7F7F7F" w:themeColor="text1" w:themeTint="80" w:sz="4" w:space="0"/>
        </w:tcBorders>
      </w:tcPr>
    </w:tblStylePr>
    <w:tblStylePr w:type="firstRow">
      <w:rPr>
        <w:rFonts w:ascii="Arial" w:hAnsi="Arial"/>
        <w:i/>
        <w:color w:val="7f7f7f" w:themeColor="text1" w:themeTint="80" w:themeShade="95"/>
        <w:sz w:val="22"/>
      </w:rPr>
      <w:tcPr>
        <w:shd w:val="clear" w:color="ffffff" w:themeColor="light1" w:fill="ffffff" w:themeFill="light1"/>
        <w:tcBorders>
          <w:top w:val="none" w:color="000000" w:sz="4" w:space="0"/>
          <w:left w:val="none" w:color="000000" w:sz="4" w:space="0"/>
          <w:bottom w:val="single" w:color="7F7F7F" w:themeColor="text1" w:themeTint="80" w:sz="4" w:space="0"/>
          <w:right w:val="none" w:color="000000" w:sz="4" w:space="0"/>
        </w:tcBorders>
      </w:tcPr>
    </w:tblStylePr>
    <w:tblStylePr w:type="lastCol">
      <w:rPr>
        <w:rFonts w:ascii="Arial" w:hAnsi="Arial"/>
        <w:i/>
        <w:color w:val="7f7f7f" w:themeColor="text1" w:themeTint="80" w:themeShade="95"/>
        <w:sz w:val="22"/>
      </w:rPr>
      <w:tcPr>
        <w:shd w:val="clear" w:color="ffffff" w:fill="auto"/>
        <w:tcBorders>
          <w:top w:val="none" w:color="000000" w:sz="4" w:space="0"/>
          <w:left w:val="single" w:color="7F7F7F" w:themeColor="text1" w:themeTint="80" w:sz="4" w:space="0"/>
          <w:bottom w:val="none" w:color="000000" w:sz="4" w:space="0"/>
          <w:right w:val="none" w:color="000000" w:sz="4" w:space="0"/>
        </w:tcBorders>
      </w:tcPr>
    </w:tblStylePr>
    <w:tblStylePr w:type="lastRow">
      <w:rPr>
        <w:rFonts w:ascii="Arial" w:hAnsi="Arial"/>
        <w:i/>
        <w:color w:val="7f7f7f" w:themeColor="text1" w:themeTint="80" w:themeShade="95"/>
        <w:sz w:val="22"/>
      </w:rPr>
      <w:tcPr>
        <w:shd w:val="clear" w:color="ffffff" w:themeColor="light1" w:fill="ffffff" w:themeFill="light1"/>
        <w:tcBorders>
          <w:top w:val="single" w:color="7F7F7F" w:themeColor="text1" w:themeTint="80" w:sz="4" w:space="0"/>
          <w:left w:val="none" w:color="000000" w:sz="4" w:space="0"/>
          <w:bottom w:val="none" w:color="000000" w:sz="4" w:space="0"/>
          <w:right w:val="none" w:color="000000" w:sz="4" w:space="0"/>
        </w:tcBorders>
      </w:tcPr>
    </w:tblStylePr>
  </w:style>
  <w:style w:type="table" w:styleId="1186" w:customStyle="1">
    <w:name w:val="List Table 7 Colorful - Accent 1"/>
    <w:basedOn w:val="1054"/>
    <w:uiPriority w:val="99"/>
    <w:pPr>
      <w:spacing w:after="0" w:line="240" w:lineRule="auto"/>
    </w:pPr>
    <w:tblPr>
      <w:tblStyleRowBandSize w:val="1"/>
      <w:tblStyleColBandSize w:val="1"/>
      <w:tblInd w:w="0" w:type="dxa"/>
      <w:tblBorders>
        <w:right w:val="single" w:color="4F81BD" w:themeColor="accent1" w:sz="4" w:space="0"/>
      </w:tblBorders>
      <w:tblCellMar>
        <w:left w:w="108" w:type="dxa"/>
        <w:top w:w="0" w:type="dxa"/>
        <w:right w:w="108" w:type="dxa"/>
        <w:bottom w:w="0" w:type="dxa"/>
      </w:tblCellMar>
    </w:tblPr>
    <w:tblStylePr w:type="band1Horz">
      <w:rPr>
        <w:rFonts w:ascii="Arial" w:hAnsi="Arial"/>
        <w:color w:val="2a4a71" w:themeColor="accent1" w:themeShade="95"/>
        <w:sz w:val="22"/>
      </w:rPr>
      <w:tcPr>
        <w:shd w:val="clear" w:color="d2dfee" w:themeColor="accent1" w:themeTint="40" w:fill="d2dfee" w:themeFill="accent1" w:themeFillTint="40"/>
      </w:tcPr>
    </w:tblStylePr>
    <w:tblStylePr w:type="band1Vert">
      <w:tcPr>
        <w:shd w:val="clear" w:color="d2dfee" w:themeColor="accent1" w:themeTint="40" w:fill="d2dfee" w:themeFill="accent1" w:themeFillTint="40"/>
      </w:tcPr>
    </w:tblStylePr>
    <w:tblStylePr w:type="band2Horz">
      <w:rPr>
        <w:rFonts w:ascii="Arial" w:hAnsi="Arial"/>
        <w:color w:val="2a4a71" w:themeColor="accent1" w:themeShade="95"/>
        <w:sz w:val="22"/>
      </w:rPr>
    </w:tblStylePr>
    <w:tblStylePr w:type="firstCol">
      <w:rPr>
        <w:rFonts w:ascii="Arial" w:hAnsi="Arial"/>
        <w:i/>
        <w:color w:val="2a4a71" w:themeColor="accent1" w:themeShade="95"/>
        <w:sz w:val="22"/>
      </w:rPr>
      <w:pPr>
        <w:jc w:val="right"/>
      </w:pPr>
      <w:tcPr>
        <w:shd w:val="clear" w:color="ffffff" w:fill="auto"/>
        <w:tcBorders>
          <w:top w:val="none" w:color="000000" w:sz="4" w:space="0"/>
          <w:left w:val="none" w:color="000000" w:sz="4" w:space="0"/>
          <w:bottom w:val="none" w:color="000000" w:sz="4" w:space="0"/>
          <w:right w:val="single" w:color="4F81BD" w:themeColor="accent1" w:sz="4" w:space="0"/>
        </w:tcBorders>
      </w:tcPr>
    </w:tblStylePr>
    <w:tblStylePr w:type="firstRow">
      <w:rPr>
        <w:rFonts w:ascii="Arial" w:hAnsi="Arial"/>
        <w:i/>
        <w:color w:val="2a4a71" w:themeColor="accent1" w:themeShade="95"/>
        <w:sz w:val="22"/>
      </w:rPr>
      <w:tcPr>
        <w:shd w:val="clear" w:color="ffffff" w:themeColor="light1" w:fill="ffffff" w:themeFill="light1"/>
        <w:tcBorders>
          <w:top w:val="none" w:color="000000" w:sz="4" w:space="0"/>
          <w:left w:val="none" w:color="000000" w:sz="4" w:space="0"/>
          <w:bottom w:val="single" w:color="4F81BD" w:themeColor="accent1" w:sz="4" w:space="0"/>
          <w:right w:val="none" w:color="000000" w:sz="4" w:space="0"/>
        </w:tcBorders>
      </w:tcPr>
    </w:tblStylePr>
    <w:tblStylePr w:type="lastCol">
      <w:rPr>
        <w:rFonts w:ascii="Arial" w:hAnsi="Arial"/>
        <w:i/>
        <w:color w:val="2a4a71" w:themeColor="accent1" w:themeShade="95"/>
        <w:sz w:val="22"/>
      </w:rPr>
      <w:tcPr>
        <w:shd w:val="clear" w:color="ffffff" w:fill="auto"/>
        <w:tcBorders>
          <w:top w:val="none" w:color="000000" w:sz="4" w:space="0"/>
          <w:left w:val="single" w:color="4F81BD" w:themeColor="accent1" w:sz="4" w:space="0"/>
          <w:bottom w:val="none" w:color="000000" w:sz="4" w:space="0"/>
          <w:right w:val="none" w:color="000000" w:sz="4" w:space="0"/>
        </w:tcBorders>
      </w:tcPr>
    </w:tblStylePr>
    <w:tblStylePr w:type="lastRow">
      <w:rPr>
        <w:rFonts w:ascii="Arial" w:hAnsi="Arial"/>
        <w:i/>
        <w:color w:val="2a4a71" w:themeColor="accent1" w:themeShade="95"/>
        <w:sz w:val="22"/>
      </w:rPr>
      <w:tcPr>
        <w:shd w:val="clear" w:color="ffffff" w:themeColor="light1" w:fill="ffffff" w:themeFill="light1"/>
        <w:tcBorders>
          <w:top w:val="single" w:color="4F81BD" w:themeColor="accent1" w:sz="4" w:space="0"/>
          <w:left w:val="none" w:color="000000" w:sz="4" w:space="0"/>
          <w:bottom w:val="none" w:color="000000" w:sz="4" w:space="0"/>
          <w:right w:val="none" w:color="000000" w:sz="4" w:space="0"/>
        </w:tcBorders>
      </w:tcPr>
    </w:tblStylePr>
  </w:style>
  <w:style w:type="table" w:styleId="1187" w:customStyle="1">
    <w:name w:val="List Table 7 Colorful - Accent 2"/>
    <w:basedOn w:val="1054"/>
    <w:uiPriority w:val="99"/>
    <w:pPr>
      <w:spacing w:after="0" w:line="240" w:lineRule="auto"/>
    </w:pPr>
    <w:tblPr>
      <w:tblStyleRowBandSize w:val="1"/>
      <w:tblStyleColBandSize w:val="1"/>
      <w:tblInd w:w="0" w:type="dxa"/>
      <w:tblBorders>
        <w:right w:val="single" w:color="D99695" w:themeColor="accent2" w:themeTint="97" w:sz="4" w:space="0"/>
      </w:tblBorders>
      <w:tblCellMar>
        <w:left w:w="108" w:type="dxa"/>
        <w:top w:w="0" w:type="dxa"/>
        <w:right w:w="108" w:type="dxa"/>
        <w:bottom w:w="0" w:type="dxa"/>
      </w:tblCellMar>
    </w:tblPr>
    <w:tblStylePr w:type="band1Horz">
      <w:rPr>
        <w:rFonts w:ascii="Arial" w:hAnsi="Arial"/>
        <w:color w:val="d99695" w:themeColor="accent2" w:themeTint="97" w:themeShade="95"/>
        <w:sz w:val="22"/>
      </w:rPr>
      <w:tcPr>
        <w:shd w:val="clear" w:color="efd2d2" w:themeColor="accent2" w:themeTint="40" w:fill="efd2d2" w:themeFill="accent2" w:themeFillTint="40"/>
      </w:tcPr>
    </w:tblStylePr>
    <w:tblStylePr w:type="band1Vert">
      <w:tcPr>
        <w:shd w:val="clear" w:color="efd2d2" w:themeColor="accent2" w:themeTint="40" w:fill="efd2d2" w:themeFill="accent2" w:themeFillTint="40"/>
      </w:tcPr>
    </w:tblStylePr>
    <w:tblStylePr w:type="band2Horz">
      <w:rPr>
        <w:rFonts w:ascii="Arial" w:hAnsi="Arial"/>
        <w:color w:val="d99695" w:themeColor="accent2" w:themeTint="97" w:themeShade="95"/>
        <w:sz w:val="22"/>
      </w:rPr>
    </w:tblStylePr>
    <w:tblStylePr w:type="firstCol">
      <w:rPr>
        <w:rFonts w:ascii="Arial" w:hAnsi="Arial"/>
        <w:i/>
        <w:color w:val="d99695" w:themeColor="accent2" w:themeTint="97" w:themeShade="95"/>
        <w:sz w:val="22"/>
      </w:rPr>
      <w:pPr>
        <w:jc w:val="right"/>
      </w:pPr>
      <w:tcPr>
        <w:shd w:val="clear" w:color="ffffff" w:fill="auto"/>
        <w:tcBorders>
          <w:top w:val="none" w:color="000000" w:sz="4" w:space="0"/>
          <w:left w:val="none" w:color="000000" w:sz="4" w:space="0"/>
          <w:bottom w:val="none" w:color="000000" w:sz="4" w:space="0"/>
          <w:right w:val="single" w:color="D99695" w:themeColor="accent2" w:themeTint="97" w:sz="4" w:space="0"/>
        </w:tcBorders>
      </w:tcPr>
    </w:tblStylePr>
    <w:tblStylePr w:type="firstRow">
      <w:rPr>
        <w:rFonts w:ascii="Arial" w:hAnsi="Arial"/>
        <w:i/>
        <w:color w:val="d99695" w:themeColor="accent2" w:themeTint="97" w:themeShade="95"/>
        <w:sz w:val="22"/>
      </w:rPr>
      <w:tcPr>
        <w:shd w:val="clear" w:color="ffffff" w:themeColor="light1" w:fill="ffffff" w:themeFill="light1"/>
        <w:tcBorders>
          <w:top w:val="none" w:color="000000" w:sz="4" w:space="0"/>
          <w:left w:val="none" w:color="000000" w:sz="4" w:space="0"/>
          <w:bottom w:val="single" w:color="D99695" w:themeColor="accent2" w:themeTint="97" w:sz="4" w:space="0"/>
          <w:right w:val="none" w:color="000000" w:sz="4" w:space="0"/>
        </w:tcBorders>
      </w:tcPr>
    </w:tblStylePr>
    <w:tblStylePr w:type="lastCol">
      <w:rPr>
        <w:rFonts w:ascii="Arial" w:hAnsi="Arial"/>
        <w:i/>
        <w:color w:val="d99695" w:themeColor="accent2" w:themeTint="97" w:themeShade="95"/>
        <w:sz w:val="22"/>
      </w:rPr>
      <w:tcPr>
        <w:shd w:val="clear" w:color="ffffff" w:fill="auto"/>
        <w:tcBorders>
          <w:top w:val="none" w:color="000000" w:sz="4" w:space="0"/>
          <w:left w:val="single" w:color="D99695" w:themeColor="accent2" w:themeTint="97" w:sz="4" w:space="0"/>
          <w:bottom w:val="none" w:color="000000" w:sz="4" w:space="0"/>
          <w:right w:val="none" w:color="000000" w:sz="4" w:space="0"/>
        </w:tcBorders>
      </w:tcPr>
    </w:tblStylePr>
    <w:tblStylePr w:type="lastRow">
      <w:rPr>
        <w:rFonts w:ascii="Arial" w:hAnsi="Arial"/>
        <w:i/>
        <w:color w:val="d99695" w:themeColor="accent2" w:themeTint="97" w:themeShade="95"/>
        <w:sz w:val="22"/>
      </w:rPr>
      <w:tcPr>
        <w:shd w:val="clear" w:color="ffffff" w:themeColor="light1" w:fill="ffffff" w:themeFill="light1"/>
        <w:tcBorders>
          <w:top w:val="single" w:color="D99695" w:themeColor="accent2" w:themeTint="97" w:sz="4" w:space="0"/>
          <w:left w:val="none" w:color="000000" w:sz="4" w:space="0"/>
          <w:bottom w:val="none" w:color="000000" w:sz="4" w:space="0"/>
          <w:right w:val="none" w:color="000000" w:sz="4" w:space="0"/>
        </w:tcBorders>
      </w:tcPr>
    </w:tblStylePr>
  </w:style>
  <w:style w:type="table" w:styleId="1188" w:customStyle="1">
    <w:name w:val="List Table 7 Colorful - Accent 3"/>
    <w:basedOn w:val="1054"/>
    <w:uiPriority w:val="99"/>
    <w:pPr>
      <w:spacing w:after="0" w:line="240" w:lineRule="auto"/>
    </w:pPr>
    <w:tblPr>
      <w:tblStyleRowBandSize w:val="1"/>
      <w:tblStyleColBandSize w:val="1"/>
      <w:tblInd w:w="0" w:type="dxa"/>
      <w:tblBorders>
        <w:right w:val="single" w:color="C3D69B" w:themeColor="accent3" w:themeTint="98" w:sz="4" w:space="0"/>
      </w:tblBorders>
      <w:tblCellMar>
        <w:left w:w="108" w:type="dxa"/>
        <w:top w:w="0" w:type="dxa"/>
        <w:right w:w="108" w:type="dxa"/>
        <w:bottom w:w="0" w:type="dxa"/>
      </w:tblCellMar>
    </w:tblPr>
    <w:tblStylePr w:type="band1Horz">
      <w:rPr>
        <w:rFonts w:ascii="Arial" w:hAnsi="Arial"/>
        <w:color w:val="c3d69b" w:themeColor="accent3" w:themeTint="98" w:themeShade="95"/>
        <w:sz w:val="22"/>
      </w:rPr>
      <w:tcPr>
        <w:shd w:val="clear" w:color="e5eed5" w:themeColor="accent3" w:themeTint="40" w:fill="e5eed5" w:themeFill="accent3" w:themeFillTint="40"/>
      </w:tcPr>
    </w:tblStylePr>
    <w:tblStylePr w:type="band1Vert">
      <w:tcPr>
        <w:shd w:val="clear" w:color="e5eed5" w:themeColor="accent3" w:themeTint="40" w:fill="e5eed5" w:themeFill="accent3" w:themeFillTint="40"/>
      </w:tcPr>
    </w:tblStylePr>
    <w:tblStylePr w:type="band2Horz">
      <w:rPr>
        <w:rFonts w:ascii="Arial" w:hAnsi="Arial"/>
        <w:color w:val="c3d69b" w:themeColor="accent3" w:themeTint="98" w:themeShade="95"/>
        <w:sz w:val="22"/>
      </w:rPr>
    </w:tblStylePr>
    <w:tblStylePr w:type="firstCol">
      <w:rPr>
        <w:rFonts w:ascii="Arial" w:hAnsi="Arial"/>
        <w:i/>
        <w:color w:val="c3d69b" w:themeColor="accent3" w:themeTint="98" w:themeShade="95"/>
        <w:sz w:val="22"/>
      </w:rPr>
      <w:pPr>
        <w:jc w:val="right"/>
      </w:pPr>
      <w:tcPr>
        <w:shd w:val="clear" w:color="ffffff" w:fill="auto"/>
        <w:tcBorders>
          <w:top w:val="none" w:color="000000" w:sz="4" w:space="0"/>
          <w:left w:val="none" w:color="000000" w:sz="4" w:space="0"/>
          <w:bottom w:val="none" w:color="000000" w:sz="4" w:space="0"/>
          <w:right w:val="single" w:color="C3D69B" w:themeColor="accent3" w:themeTint="98" w:sz="4" w:space="0"/>
        </w:tcBorders>
      </w:tcPr>
    </w:tblStylePr>
    <w:tblStylePr w:type="firstRow">
      <w:rPr>
        <w:rFonts w:ascii="Arial" w:hAnsi="Arial"/>
        <w:i/>
        <w:color w:val="c3d69b" w:themeColor="accent3" w:themeTint="98" w:themeShade="95"/>
        <w:sz w:val="22"/>
      </w:rPr>
      <w:tcPr>
        <w:shd w:val="clear" w:color="ffffff" w:themeColor="light1" w:fill="ffffff" w:themeFill="light1"/>
        <w:tcBorders>
          <w:top w:val="none" w:color="000000" w:sz="4" w:space="0"/>
          <w:left w:val="none" w:color="000000" w:sz="4" w:space="0"/>
          <w:bottom w:val="single" w:color="C3D69B" w:themeColor="accent3" w:themeTint="98" w:sz="4" w:space="0"/>
          <w:right w:val="none" w:color="000000" w:sz="4" w:space="0"/>
        </w:tcBorders>
      </w:tcPr>
    </w:tblStylePr>
    <w:tblStylePr w:type="lastCol">
      <w:rPr>
        <w:rFonts w:ascii="Arial" w:hAnsi="Arial"/>
        <w:i/>
        <w:color w:val="c3d69b" w:themeColor="accent3" w:themeTint="98" w:themeShade="95"/>
        <w:sz w:val="22"/>
      </w:rPr>
      <w:tcPr>
        <w:shd w:val="clear" w:color="ffffff" w:fill="auto"/>
        <w:tcBorders>
          <w:top w:val="none" w:color="000000" w:sz="4" w:space="0"/>
          <w:left w:val="single" w:color="C3D69B" w:themeColor="accent3" w:themeTint="98" w:sz="4" w:space="0"/>
          <w:bottom w:val="none" w:color="000000" w:sz="4" w:space="0"/>
          <w:right w:val="none" w:color="000000" w:sz="4" w:space="0"/>
        </w:tcBorders>
      </w:tcPr>
    </w:tblStylePr>
    <w:tblStylePr w:type="lastRow">
      <w:rPr>
        <w:rFonts w:ascii="Arial" w:hAnsi="Arial"/>
        <w:i/>
        <w:color w:val="c3d69b" w:themeColor="accent3" w:themeTint="98" w:themeShade="95"/>
        <w:sz w:val="22"/>
      </w:rPr>
      <w:tcPr>
        <w:shd w:val="clear" w:color="ffffff" w:themeColor="light1" w:fill="ffffff" w:themeFill="light1"/>
        <w:tcBorders>
          <w:top w:val="single" w:color="C3D69B" w:themeColor="accent3" w:themeTint="98" w:sz="4" w:space="0"/>
          <w:left w:val="none" w:color="000000" w:sz="4" w:space="0"/>
          <w:bottom w:val="none" w:color="000000" w:sz="4" w:space="0"/>
          <w:right w:val="none" w:color="000000" w:sz="4" w:space="0"/>
        </w:tcBorders>
      </w:tcPr>
    </w:tblStylePr>
  </w:style>
  <w:style w:type="table" w:styleId="1189" w:customStyle="1">
    <w:name w:val="List Table 7 Colorful - Accent 4"/>
    <w:basedOn w:val="1054"/>
    <w:uiPriority w:val="99"/>
    <w:pPr>
      <w:spacing w:after="0" w:line="240" w:lineRule="auto"/>
    </w:pPr>
    <w:tblPr>
      <w:tblStyleRowBandSize w:val="1"/>
      <w:tblStyleColBandSize w:val="1"/>
      <w:tblInd w:w="0" w:type="dxa"/>
      <w:tblBorders>
        <w:right w:val="single" w:color="B2A1C6" w:themeColor="accent4" w:themeTint="9A" w:sz="4" w:space="0"/>
      </w:tblBorders>
      <w:tblCellMar>
        <w:left w:w="108" w:type="dxa"/>
        <w:top w:w="0" w:type="dxa"/>
        <w:right w:w="108" w:type="dxa"/>
        <w:bottom w:w="0" w:type="dxa"/>
      </w:tblCellMar>
    </w:tblPr>
    <w:tblStylePr w:type="band1Horz">
      <w:rPr>
        <w:rFonts w:ascii="Arial" w:hAnsi="Arial"/>
        <w:color w:val="b2a1c6" w:themeColor="accent4" w:themeTint="9A" w:themeShade="95"/>
        <w:sz w:val="22"/>
      </w:rPr>
      <w:tcPr>
        <w:shd w:val="clear" w:color="dfd8e7" w:themeColor="accent4" w:themeTint="40" w:fill="dfd8e7" w:themeFill="accent4" w:themeFillTint="40"/>
      </w:tcPr>
    </w:tblStylePr>
    <w:tblStylePr w:type="band1Vert">
      <w:tcPr>
        <w:shd w:val="clear" w:color="dfd8e7" w:themeColor="accent4" w:themeTint="40" w:fill="dfd8e7" w:themeFill="accent4" w:themeFillTint="40"/>
      </w:tcPr>
    </w:tblStylePr>
    <w:tblStylePr w:type="band2Horz">
      <w:rPr>
        <w:rFonts w:ascii="Arial" w:hAnsi="Arial"/>
        <w:color w:val="b2a1c6" w:themeColor="accent4" w:themeTint="9A" w:themeShade="95"/>
        <w:sz w:val="22"/>
      </w:rPr>
    </w:tblStylePr>
    <w:tblStylePr w:type="firstCol">
      <w:rPr>
        <w:rFonts w:ascii="Arial" w:hAnsi="Arial"/>
        <w:i/>
        <w:color w:val="b2a1c6" w:themeColor="accent4" w:themeTint="9A" w:themeShade="95"/>
        <w:sz w:val="22"/>
      </w:rPr>
      <w:pPr>
        <w:jc w:val="right"/>
      </w:pPr>
      <w:tcPr>
        <w:shd w:val="clear" w:color="ffffff" w:fill="auto"/>
        <w:tcBorders>
          <w:top w:val="none" w:color="000000" w:sz="4" w:space="0"/>
          <w:left w:val="none" w:color="000000" w:sz="4" w:space="0"/>
          <w:bottom w:val="none" w:color="000000" w:sz="4" w:space="0"/>
          <w:right w:val="single" w:color="B2A1C6" w:themeColor="accent4" w:themeTint="9A" w:sz="4" w:space="0"/>
        </w:tcBorders>
      </w:tcPr>
    </w:tblStylePr>
    <w:tblStylePr w:type="firstRow">
      <w:rPr>
        <w:rFonts w:ascii="Arial" w:hAnsi="Arial"/>
        <w:i/>
        <w:color w:val="b2a1c6" w:themeColor="accent4" w:themeTint="9A" w:themeShade="95"/>
        <w:sz w:val="22"/>
      </w:rPr>
      <w:tcPr>
        <w:shd w:val="clear" w:color="ffffff" w:themeColor="light1" w:fill="ffffff" w:themeFill="light1"/>
        <w:tcBorders>
          <w:top w:val="none" w:color="000000" w:sz="4" w:space="0"/>
          <w:left w:val="none" w:color="000000" w:sz="4" w:space="0"/>
          <w:bottom w:val="single" w:color="B2A1C6" w:themeColor="accent4" w:themeTint="9A" w:sz="4" w:space="0"/>
          <w:right w:val="none" w:color="000000" w:sz="4" w:space="0"/>
        </w:tcBorders>
      </w:tcPr>
    </w:tblStylePr>
    <w:tblStylePr w:type="lastCol">
      <w:rPr>
        <w:rFonts w:ascii="Arial" w:hAnsi="Arial"/>
        <w:i/>
        <w:color w:val="b2a1c6" w:themeColor="accent4" w:themeTint="9A" w:themeShade="95"/>
        <w:sz w:val="22"/>
      </w:rPr>
      <w:tcPr>
        <w:shd w:val="clear" w:color="ffffff" w:fill="auto"/>
        <w:tcBorders>
          <w:top w:val="none" w:color="000000" w:sz="4" w:space="0"/>
          <w:left w:val="single" w:color="B2A1C6" w:themeColor="accent4" w:themeTint="9A" w:sz="4" w:space="0"/>
          <w:bottom w:val="none" w:color="000000" w:sz="4" w:space="0"/>
          <w:right w:val="none" w:color="000000" w:sz="4" w:space="0"/>
        </w:tcBorders>
      </w:tcPr>
    </w:tblStylePr>
    <w:tblStylePr w:type="lastRow">
      <w:rPr>
        <w:rFonts w:ascii="Arial" w:hAnsi="Arial"/>
        <w:i/>
        <w:color w:val="b2a1c6" w:themeColor="accent4" w:themeTint="9A" w:themeShade="95"/>
        <w:sz w:val="22"/>
      </w:rPr>
      <w:tcPr>
        <w:shd w:val="clear" w:color="ffffff" w:themeColor="light1" w:fill="ffffff" w:themeFill="light1"/>
        <w:tcBorders>
          <w:top w:val="single" w:color="B2A1C6" w:themeColor="accent4" w:themeTint="9A" w:sz="4" w:space="0"/>
          <w:left w:val="none" w:color="000000" w:sz="4" w:space="0"/>
          <w:bottom w:val="none" w:color="000000" w:sz="4" w:space="0"/>
          <w:right w:val="none" w:color="000000" w:sz="4" w:space="0"/>
        </w:tcBorders>
      </w:tcPr>
    </w:tblStylePr>
  </w:style>
  <w:style w:type="table" w:styleId="1190" w:customStyle="1">
    <w:name w:val="List Table 7 Colorful - Accent 5"/>
    <w:basedOn w:val="1054"/>
    <w:uiPriority w:val="99"/>
    <w:pPr>
      <w:spacing w:after="0" w:line="240" w:lineRule="auto"/>
    </w:pPr>
    <w:tblPr>
      <w:tblStyleRowBandSize w:val="1"/>
      <w:tblStyleColBandSize w:val="1"/>
      <w:tblInd w:w="0" w:type="dxa"/>
      <w:tblBorders>
        <w:right w:val="single" w:color="92CCDC" w:themeColor="accent5" w:themeTint="9A" w:sz="4" w:space="0"/>
      </w:tblBorders>
      <w:tblCellMar>
        <w:left w:w="108" w:type="dxa"/>
        <w:top w:w="0" w:type="dxa"/>
        <w:right w:w="108" w:type="dxa"/>
        <w:bottom w:w="0" w:type="dxa"/>
      </w:tblCellMar>
    </w:tblPr>
    <w:tblStylePr w:type="band1Horz">
      <w:rPr>
        <w:rFonts w:ascii="Arial" w:hAnsi="Arial"/>
        <w:color w:val="92ccdc" w:themeColor="accent5" w:themeTint="9A" w:themeShade="95"/>
        <w:sz w:val="22"/>
      </w:rPr>
      <w:tcPr>
        <w:shd w:val="clear" w:color="d1eaf0" w:themeColor="accent5" w:themeTint="40" w:fill="d1eaf0" w:themeFill="accent5" w:themeFillTint="40"/>
      </w:tcPr>
    </w:tblStylePr>
    <w:tblStylePr w:type="band1Vert">
      <w:tcPr>
        <w:shd w:val="clear" w:color="d1eaf0" w:themeColor="accent5" w:themeTint="40" w:fill="d1eaf0" w:themeFill="accent5" w:themeFillTint="40"/>
      </w:tcPr>
    </w:tblStylePr>
    <w:tblStylePr w:type="band2Horz">
      <w:rPr>
        <w:rFonts w:ascii="Arial" w:hAnsi="Arial"/>
        <w:color w:val="92ccdc" w:themeColor="accent5" w:themeTint="9A" w:themeShade="95"/>
        <w:sz w:val="22"/>
      </w:rPr>
    </w:tblStylePr>
    <w:tblStylePr w:type="firstCol">
      <w:rPr>
        <w:rFonts w:ascii="Arial" w:hAnsi="Arial"/>
        <w:i/>
        <w:color w:val="92ccdc" w:themeColor="accent5" w:themeTint="9A" w:themeShade="95"/>
        <w:sz w:val="22"/>
      </w:rPr>
      <w:pPr>
        <w:jc w:val="right"/>
      </w:pPr>
      <w:tcPr>
        <w:shd w:val="clear" w:color="ffffff" w:fill="auto"/>
        <w:tcBorders>
          <w:top w:val="none" w:color="000000" w:sz="4" w:space="0"/>
          <w:left w:val="none" w:color="000000" w:sz="4" w:space="0"/>
          <w:bottom w:val="none" w:color="000000" w:sz="4" w:space="0"/>
          <w:right w:val="single" w:color="92CCDC" w:themeColor="accent5" w:themeTint="9A" w:sz="4" w:space="0"/>
        </w:tcBorders>
      </w:tcPr>
    </w:tblStylePr>
    <w:tblStylePr w:type="firstRow">
      <w:rPr>
        <w:rFonts w:ascii="Arial" w:hAnsi="Arial"/>
        <w:i/>
        <w:color w:val="92ccdc" w:themeColor="accent5" w:themeTint="9A" w:themeShade="95"/>
        <w:sz w:val="22"/>
      </w:rPr>
      <w:tcPr>
        <w:shd w:val="clear" w:color="ffffff" w:themeColor="light1" w:fill="ffffff" w:themeFill="light1"/>
        <w:tcBorders>
          <w:top w:val="none" w:color="000000" w:sz="4" w:space="0"/>
          <w:left w:val="none" w:color="000000" w:sz="4" w:space="0"/>
          <w:bottom w:val="single" w:color="92CCDC" w:themeColor="accent5" w:themeTint="9A" w:sz="4" w:space="0"/>
          <w:right w:val="none" w:color="000000" w:sz="4" w:space="0"/>
        </w:tcBorders>
      </w:tcPr>
    </w:tblStylePr>
    <w:tblStylePr w:type="lastCol">
      <w:rPr>
        <w:rFonts w:ascii="Arial" w:hAnsi="Arial"/>
        <w:i/>
        <w:color w:val="92ccdc" w:themeColor="accent5" w:themeTint="9A" w:themeShade="95"/>
        <w:sz w:val="22"/>
      </w:rPr>
      <w:tcPr>
        <w:shd w:val="clear" w:color="ffffff" w:fill="auto"/>
        <w:tcBorders>
          <w:top w:val="none" w:color="000000" w:sz="4" w:space="0"/>
          <w:left w:val="single" w:color="92CCDC" w:themeColor="accent5" w:themeTint="9A" w:sz="4" w:space="0"/>
          <w:bottom w:val="none" w:color="000000" w:sz="4" w:space="0"/>
          <w:right w:val="none" w:color="000000" w:sz="4" w:space="0"/>
        </w:tcBorders>
      </w:tcPr>
    </w:tblStylePr>
    <w:tblStylePr w:type="lastRow">
      <w:rPr>
        <w:rFonts w:ascii="Arial" w:hAnsi="Arial"/>
        <w:i/>
        <w:color w:val="92ccdc" w:themeColor="accent5" w:themeTint="9A" w:themeShade="95"/>
        <w:sz w:val="22"/>
      </w:rPr>
      <w:tcPr>
        <w:shd w:val="clear" w:color="ffffff" w:themeColor="light1" w:fill="ffffff" w:themeFill="light1"/>
        <w:tcBorders>
          <w:top w:val="single" w:color="92CCDC" w:themeColor="accent5" w:themeTint="9A" w:sz="4" w:space="0"/>
          <w:left w:val="none" w:color="000000" w:sz="4" w:space="0"/>
          <w:bottom w:val="none" w:color="000000" w:sz="4" w:space="0"/>
          <w:right w:val="none" w:color="000000" w:sz="4" w:space="0"/>
        </w:tcBorders>
      </w:tcPr>
    </w:tblStylePr>
  </w:style>
  <w:style w:type="table" w:styleId="1191" w:customStyle="1">
    <w:name w:val="List Table 7 Colorful - Accent 6"/>
    <w:basedOn w:val="1054"/>
    <w:uiPriority w:val="99"/>
    <w:pPr>
      <w:spacing w:after="0" w:line="240" w:lineRule="auto"/>
    </w:pPr>
    <w:tblPr>
      <w:tblStyleRowBandSize w:val="1"/>
      <w:tblStyleColBandSize w:val="1"/>
      <w:tblInd w:w="0" w:type="dxa"/>
      <w:tblBorders>
        <w:right w:val="single" w:color="FAC090" w:themeColor="accent6" w:themeTint="98" w:sz="4" w:space="0"/>
      </w:tblBorders>
      <w:tblCellMar>
        <w:left w:w="108" w:type="dxa"/>
        <w:top w:w="0" w:type="dxa"/>
        <w:right w:w="108" w:type="dxa"/>
        <w:bottom w:w="0" w:type="dxa"/>
      </w:tblCellMar>
    </w:tblPr>
    <w:tblStylePr w:type="band1Horz">
      <w:rPr>
        <w:rFonts w:ascii="Arial" w:hAnsi="Arial"/>
        <w:color w:val="fac090" w:themeColor="accent6" w:themeTint="98" w:themeShade="95"/>
        <w:sz w:val="22"/>
      </w:rPr>
      <w:tcPr>
        <w:shd w:val="clear" w:color="fde4d0" w:themeColor="accent6" w:themeTint="40" w:fill="fde4d0" w:themeFill="accent6" w:themeFillTint="40"/>
      </w:tcPr>
    </w:tblStylePr>
    <w:tblStylePr w:type="band1Vert">
      <w:tcPr>
        <w:shd w:val="clear" w:color="fde4d0" w:themeColor="accent6" w:themeTint="40" w:fill="fde4d0" w:themeFill="accent6" w:themeFillTint="40"/>
      </w:tcPr>
    </w:tblStylePr>
    <w:tblStylePr w:type="band2Horz">
      <w:rPr>
        <w:rFonts w:ascii="Arial" w:hAnsi="Arial"/>
        <w:color w:val="fac090" w:themeColor="accent6" w:themeTint="98" w:themeShade="95"/>
        <w:sz w:val="22"/>
      </w:rPr>
    </w:tblStylePr>
    <w:tblStylePr w:type="firstCol">
      <w:rPr>
        <w:rFonts w:ascii="Arial" w:hAnsi="Arial"/>
        <w:i/>
        <w:color w:val="fac090" w:themeColor="accent6" w:themeTint="98" w:themeShade="95"/>
        <w:sz w:val="22"/>
      </w:rPr>
      <w:pPr>
        <w:jc w:val="right"/>
      </w:pPr>
      <w:tcPr>
        <w:shd w:val="clear" w:color="ffffff" w:fill="auto"/>
        <w:tcBorders>
          <w:top w:val="none" w:color="000000" w:sz="4" w:space="0"/>
          <w:left w:val="none" w:color="000000" w:sz="4" w:space="0"/>
          <w:bottom w:val="none" w:color="000000" w:sz="4" w:space="0"/>
          <w:right w:val="single" w:color="FAC090" w:themeColor="accent6" w:themeTint="98" w:sz="4" w:space="0"/>
        </w:tcBorders>
      </w:tcPr>
    </w:tblStylePr>
    <w:tblStylePr w:type="firstRow">
      <w:rPr>
        <w:rFonts w:ascii="Arial" w:hAnsi="Arial"/>
        <w:i/>
        <w:color w:val="fac090" w:themeColor="accent6" w:themeTint="98" w:themeShade="95"/>
        <w:sz w:val="22"/>
      </w:rPr>
      <w:tcPr>
        <w:shd w:val="clear" w:color="ffffff" w:themeColor="light1" w:fill="ffffff" w:themeFill="light1"/>
        <w:tcBorders>
          <w:top w:val="none" w:color="000000" w:sz="4" w:space="0"/>
          <w:left w:val="none" w:color="000000" w:sz="4" w:space="0"/>
          <w:bottom w:val="single" w:color="FAC090" w:themeColor="accent6" w:themeTint="98" w:sz="4" w:space="0"/>
          <w:right w:val="none" w:color="000000" w:sz="4" w:space="0"/>
        </w:tcBorders>
      </w:tcPr>
    </w:tblStylePr>
    <w:tblStylePr w:type="lastCol">
      <w:rPr>
        <w:rFonts w:ascii="Arial" w:hAnsi="Arial"/>
        <w:i/>
        <w:color w:val="fac090" w:themeColor="accent6" w:themeTint="98" w:themeShade="95"/>
        <w:sz w:val="22"/>
      </w:rPr>
      <w:tcPr>
        <w:shd w:val="clear" w:color="ffffff" w:fill="auto"/>
        <w:tcBorders>
          <w:top w:val="none" w:color="000000" w:sz="4" w:space="0"/>
          <w:left w:val="single" w:color="FAC090" w:themeColor="accent6" w:themeTint="98" w:sz="4" w:space="0"/>
          <w:bottom w:val="none" w:color="000000" w:sz="4" w:space="0"/>
          <w:right w:val="none" w:color="000000" w:sz="4" w:space="0"/>
        </w:tcBorders>
      </w:tcPr>
    </w:tblStylePr>
    <w:tblStylePr w:type="lastRow">
      <w:rPr>
        <w:rFonts w:ascii="Arial" w:hAnsi="Arial"/>
        <w:i/>
        <w:color w:val="fac090" w:themeColor="accent6" w:themeTint="98" w:themeShade="95"/>
        <w:sz w:val="22"/>
      </w:rPr>
      <w:tcPr>
        <w:shd w:val="clear" w:color="ffffff" w:themeColor="light1" w:fill="ffffff" w:themeFill="light1"/>
        <w:tcBorders>
          <w:top w:val="single" w:color="FAC090" w:themeColor="accent6" w:themeTint="98" w:sz="4" w:space="0"/>
          <w:left w:val="none" w:color="000000" w:sz="4" w:space="0"/>
          <w:bottom w:val="none" w:color="000000" w:sz="4" w:space="0"/>
          <w:right w:val="none" w:color="000000" w:sz="4" w:space="0"/>
        </w:tcBorders>
      </w:tcPr>
    </w:tblStylePr>
  </w:style>
  <w:style w:type="table" w:styleId="1192" w:customStyle="1">
    <w:name w:val="Lined - Accent"/>
    <w:basedOn w:val="1054"/>
    <w:uiPriority w:val="99"/>
    <w:pPr>
      <w:spacing w:after="0" w:line="240" w:lineRule="auto"/>
    </w:pPr>
    <w:rPr>
      <w:color w:val="404040"/>
      <w:sz w:val="20"/>
      <w:szCs w:val="20"/>
      <w:lang w:eastAsia="ru-RU"/>
    </w:rPr>
    <w:tblPr>
      <w:tblStyleRowBandSize w:val="1"/>
      <w:tblStyleColBandSize w:val="1"/>
      <w:tblInd w:w="0" w:type="dxa"/>
      <w:tblCellMar>
        <w:left w:w="108" w:type="dxa"/>
        <w:top w:w="0" w:type="dxa"/>
        <w:right w:w="108" w:type="dxa"/>
        <w:bottom w:w="0" w:type="dxa"/>
      </w:tblCellMar>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text1" w:themeTint="00" w:fill="ffffff" w:themeFill="text1" w:themeFillTint="00"/>
      </w:tcPr>
    </w:tblStylePr>
    <w:tblStylePr w:type="band2Vert">
      <w:rPr>
        <w:rFonts w:ascii="Arial" w:hAnsi="Arial"/>
        <w:color w:val="404040"/>
        <w:sz w:val="22"/>
      </w:rPr>
      <w:tcPr>
        <w:shd w:val="clear" w:color="ffffff" w:themeColor="text1" w:themeTint="00" w:fill="ffffff" w:themeFill="text1" w:themeFillTint="00"/>
      </w:tcPr>
    </w:tblStylePr>
    <w:tblStylePr w:type="firstCol">
      <w:rPr>
        <w:rFonts w:ascii="Arial" w:hAnsi="Arial"/>
        <w:color w:val="f2f2f2"/>
        <w:sz w:val="22"/>
      </w:rPr>
      <w:tcPr>
        <w:shd w:val="clear" w:color="7f7f7f" w:themeColor="text1" w:themeTint="80" w:fill="7f7f7f" w:themeFill="text1" w:themeFillTint="80"/>
      </w:tcPr>
    </w:tblStylePr>
    <w:tblStylePr w:type="firstRow">
      <w:rPr>
        <w:rFonts w:ascii="Arial" w:hAnsi="Arial"/>
        <w:color w:val="f2f2f2"/>
        <w:sz w:val="22"/>
      </w:rPr>
      <w:tcPr>
        <w:shd w:val="clear" w:color="7f7f7f" w:themeColor="text1" w:themeTint="80" w:fill="7f7f7f" w:themeFill="text1" w:themeFillTint="80"/>
      </w:tcPr>
    </w:tblStylePr>
    <w:tblStylePr w:type="lastCol">
      <w:rPr>
        <w:rFonts w:ascii="Arial" w:hAnsi="Arial"/>
        <w:color w:val="f2f2f2"/>
        <w:sz w:val="22"/>
      </w:rPr>
      <w:tcPr>
        <w:shd w:val="clear" w:color="7f7f7f" w:themeColor="text1" w:themeTint="80" w:fill="7f7f7f" w:themeFill="text1" w:themeFillTint="80"/>
      </w:tcPr>
    </w:tblStylePr>
    <w:tblStylePr w:type="lastRow">
      <w:rPr>
        <w:rFonts w:ascii="Arial" w:hAnsi="Arial"/>
        <w:color w:val="f2f2f2"/>
        <w:sz w:val="22"/>
      </w:rPr>
      <w:tcPr>
        <w:shd w:val="clear" w:color="7f7f7f" w:themeColor="text1" w:themeTint="80" w:fill="7f7f7f" w:themeFill="text1" w:themeFillTint="80"/>
      </w:tcPr>
    </w:tblStylePr>
  </w:style>
  <w:style w:type="table" w:styleId="1193" w:customStyle="1">
    <w:name w:val="Lined - Accent 1"/>
    <w:basedOn w:val="1054"/>
    <w:uiPriority w:val="99"/>
    <w:pPr>
      <w:spacing w:after="0" w:line="240" w:lineRule="auto"/>
    </w:pPr>
    <w:rPr>
      <w:color w:val="404040"/>
      <w:sz w:val="20"/>
      <w:szCs w:val="20"/>
      <w:lang w:eastAsia="ru-RU"/>
    </w:rPr>
    <w:tblPr>
      <w:tblStyleRowBandSize w:val="1"/>
      <w:tblStyleColBandSize w:val="1"/>
      <w:tblInd w:w="0" w:type="dxa"/>
      <w:tblCellMar>
        <w:left w:w="108" w:type="dxa"/>
        <w:top w:w="0" w:type="dxa"/>
        <w:right w:w="108" w:type="dxa"/>
        <w:bottom w:w="0" w:type="dxa"/>
      </w:tblCellMar>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c7d7ea" w:themeColor="accent1" w:themeTint="50" w:fill="c7d7ea" w:themeFill="accent1" w:themeFillTint="50"/>
      </w:tcPr>
    </w:tblStylePr>
    <w:tblStylePr w:type="band2Vert">
      <w:rPr>
        <w:rFonts w:ascii="Arial" w:hAnsi="Arial"/>
        <w:color w:val="404040"/>
        <w:sz w:val="22"/>
      </w:rPr>
      <w:tcPr>
        <w:shd w:val="clear" w:color="c7d7ea" w:themeColor="accent1" w:themeTint="50" w:fill="c7d7ea" w:themeFill="accent1" w:themeFillTint="50"/>
      </w:tcPr>
    </w:tblStylePr>
    <w:tblStylePr w:type="firstCol">
      <w:rPr>
        <w:rFonts w:ascii="Arial" w:hAnsi="Arial"/>
        <w:color w:val="f2f2f2"/>
        <w:sz w:val="22"/>
      </w:rPr>
      <w:tcPr>
        <w:shd w:val="clear" w:color="5d8ac2" w:themeColor="accent1" w:themeTint="EA" w:fill="5d8ac2" w:themeFill="accent1" w:themeFillTint="EA"/>
      </w:tcPr>
    </w:tblStylePr>
    <w:tblStylePr w:type="firstRow">
      <w:rPr>
        <w:rFonts w:ascii="Arial" w:hAnsi="Arial"/>
        <w:color w:val="f2f2f2"/>
        <w:sz w:val="22"/>
      </w:rPr>
      <w:tcPr>
        <w:shd w:val="clear" w:color="5d8ac2" w:themeColor="accent1" w:themeTint="EA" w:fill="5d8ac2" w:themeFill="accent1" w:themeFillTint="EA"/>
      </w:tcPr>
    </w:tblStylePr>
    <w:tblStylePr w:type="lastCol">
      <w:rPr>
        <w:rFonts w:ascii="Arial" w:hAnsi="Arial"/>
        <w:color w:val="f2f2f2"/>
        <w:sz w:val="22"/>
      </w:rPr>
      <w:tcPr>
        <w:shd w:val="clear" w:color="5d8ac2" w:themeColor="accent1" w:themeTint="EA" w:fill="5d8ac2" w:themeFill="accent1" w:themeFillTint="EA"/>
      </w:tcPr>
    </w:tblStylePr>
    <w:tblStylePr w:type="lastRow">
      <w:rPr>
        <w:rFonts w:ascii="Arial" w:hAnsi="Arial"/>
        <w:color w:val="f2f2f2"/>
        <w:sz w:val="22"/>
      </w:rPr>
      <w:tcPr>
        <w:shd w:val="clear" w:color="5d8ac2" w:themeColor="accent1" w:themeTint="EA" w:fill="5d8ac2" w:themeFill="accent1" w:themeFillTint="EA"/>
      </w:tcPr>
    </w:tblStylePr>
  </w:style>
  <w:style w:type="table" w:styleId="1194" w:customStyle="1">
    <w:name w:val="Lined - Accent 2"/>
    <w:basedOn w:val="1054"/>
    <w:uiPriority w:val="99"/>
    <w:pPr>
      <w:spacing w:after="0" w:line="240" w:lineRule="auto"/>
    </w:pPr>
    <w:rPr>
      <w:color w:val="404040"/>
      <w:sz w:val="20"/>
      <w:szCs w:val="20"/>
      <w:lang w:eastAsia="ru-RU"/>
    </w:rPr>
    <w:tblPr>
      <w:tblStyleRowBandSize w:val="1"/>
      <w:tblStyleColBandSize w:val="1"/>
      <w:tblInd w:w="0" w:type="dxa"/>
      <w:tblCellMar>
        <w:left w:w="108" w:type="dxa"/>
        <w:top w:w="0" w:type="dxa"/>
        <w:right w:w="108" w:type="dxa"/>
        <w:bottom w:w="0" w:type="dxa"/>
      </w:tblCellMar>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2dcdc" w:themeColor="accent2" w:themeTint="32" w:fill="f2dcdc" w:themeFill="accent2" w:themeFillTint="32"/>
      </w:tcPr>
    </w:tblStylePr>
    <w:tblStylePr w:type="band2Vert">
      <w:rPr>
        <w:rFonts w:ascii="Arial" w:hAnsi="Arial"/>
        <w:color w:val="404040"/>
        <w:sz w:val="22"/>
      </w:rPr>
      <w:tcPr>
        <w:shd w:val="clear" w:color="f2dcdc" w:themeColor="accent2" w:themeTint="32" w:fill="f2dcdc" w:themeFill="accent2" w:themeFillTint="32"/>
      </w:tcPr>
    </w:tblStylePr>
    <w:tblStylePr w:type="firstCol">
      <w:rPr>
        <w:rFonts w:ascii="Arial" w:hAnsi="Arial"/>
        <w:color w:val="f2f2f2"/>
        <w:sz w:val="22"/>
      </w:rPr>
      <w:tcPr>
        <w:shd w:val="clear" w:color="d99695" w:themeColor="accent2" w:themeTint="97" w:fill="d99695" w:themeFill="accent2" w:themeFillTint="97"/>
      </w:tcPr>
    </w:tblStylePr>
    <w:tblStylePr w:type="firstRow">
      <w:rPr>
        <w:rFonts w:ascii="Arial" w:hAnsi="Arial"/>
        <w:color w:val="f2f2f2"/>
        <w:sz w:val="22"/>
      </w:rPr>
      <w:tcPr>
        <w:shd w:val="clear" w:color="d99695" w:themeColor="accent2" w:themeTint="97" w:fill="d99695" w:themeFill="accent2" w:themeFillTint="97"/>
      </w:tcPr>
    </w:tblStylePr>
    <w:tblStylePr w:type="lastCol">
      <w:rPr>
        <w:rFonts w:ascii="Arial" w:hAnsi="Arial"/>
        <w:color w:val="f2f2f2"/>
        <w:sz w:val="22"/>
      </w:rPr>
      <w:tcPr>
        <w:shd w:val="clear" w:color="d99695" w:themeColor="accent2" w:themeTint="97" w:fill="d99695" w:themeFill="accent2" w:themeFillTint="97"/>
      </w:tcPr>
    </w:tblStylePr>
    <w:tblStylePr w:type="lastRow">
      <w:rPr>
        <w:rFonts w:ascii="Arial" w:hAnsi="Arial"/>
        <w:color w:val="f2f2f2"/>
        <w:sz w:val="22"/>
      </w:rPr>
      <w:tcPr>
        <w:shd w:val="clear" w:color="d99695" w:themeColor="accent2" w:themeTint="97" w:fill="d99695" w:themeFill="accent2" w:themeFillTint="97"/>
      </w:tcPr>
    </w:tblStylePr>
  </w:style>
  <w:style w:type="table" w:styleId="1195" w:customStyle="1">
    <w:name w:val="Lined - Accent 3"/>
    <w:basedOn w:val="1054"/>
    <w:uiPriority w:val="99"/>
    <w:pPr>
      <w:spacing w:after="0" w:line="240" w:lineRule="auto"/>
    </w:pPr>
    <w:rPr>
      <w:color w:val="404040"/>
      <w:sz w:val="20"/>
      <w:szCs w:val="20"/>
      <w:lang w:eastAsia="ru-RU"/>
    </w:rPr>
    <w:tblPr>
      <w:tblStyleRowBandSize w:val="1"/>
      <w:tblStyleColBandSize w:val="1"/>
      <w:tblInd w:w="0" w:type="dxa"/>
      <w:tblCellMar>
        <w:left w:w="108" w:type="dxa"/>
        <w:top w:w="0" w:type="dxa"/>
        <w:right w:w="108" w:type="dxa"/>
        <w:bottom w:w="0" w:type="dxa"/>
      </w:tblCellMar>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eaf1dc" w:themeColor="accent3" w:themeTint="34" w:fill="eaf1dc" w:themeFill="accent3" w:themeFillTint="34"/>
      </w:tcPr>
    </w:tblStylePr>
    <w:tblStylePr w:type="band2Vert">
      <w:rPr>
        <w:rFonts w:ascii="Arial" w:hAnsi="Arial"/>
        <w:color w:val="404040"/>
        <w:sz w:val="22"/>
      </w:rPr>
      <w:tcPr>
        <w:shd w:val="clear" w:color="eaf1dc" w:themeColor="accent3" w:themeTint="34" w:fill="eaf1dc" w:themeFill="accent3" w:themeFillTint="34"/>
      </w:tcPr>
    </w:tblStylePr>
    <w:tblStylePr w:type="firstCol">
      <w:rPr>
        <w:rFonts w:ascii="Arial" w:hAnsi="Arial"/>
        <w:color w:val="f2f2f2"/>
        <w:sz w:val="22"/>
      </w:rPr>
      <w:tcPr>
        <w:shd w:val="clear" w:color="9abb59" w:themeColor="accent3" w:themeTint="FE" w:fill="9abb59" w:themeFill="accent3" w:themeFillTint="FE"/>
      </w:tcPr>
    </w:tblStylePr>
    <w:tblStylePr w:type="firstRow">
      <w:rPr>
        <w:rFonts w:ascii="Arial" w:hAnsi="Arial"/>
        <w:color w:val="f2f2f2"/>
        <w:sz w:val="22"/>
      </w:rPr>
      <w:tcPr>
        <w:shd w:val="clear" w:color="9abb59" w:themeColor="accent3" w:themeTint="FE" w:fill="9abb59" w:themeFill="accent3" w:themeFillTint="FE"/>
      </w:tcPr>
    </w:tblStylePr>
    <w:tblStylePr w:type="lastCol">
      <w:rPr>
        <w:rFonts w:ascii="Arial" w:hAnsi="Arial"/>
        <w:color w:val="f2f2f2"/>
        <w:sz w:val="22"/>
      </w:rPr>
      <w:tcPr>
        <w:shd w:val="clear" w:color="9abb59" w:themeColor="accent3" w:themeTint="FE" w:fill="9abb59" w:themeFill="accent3" w:themeFillTint="FE"/>
      </w:tcPr>
    </w:tblStylePr>
    <w:tblStylePr w:type="lastRow">
      <w:rPr>
        <w:rFonts w:ascii="Arial" w:hAnsi="Arial"/>
        <w:color w:val="f2f2f2"/>
        <w:sz w:val="22"/>
      </w:rPr>
      <w:tcPr>
        <w:shd w:val="clear" w:color="9abb59" w:themeColor="accent3" w:themeTint="FE" w:fill="9abb59" w:themeFill="accent3" w:themeFillTint="FE"/>
      </w:tcPr>
    </w:tblStylePr>
  </w:style>
  <w:style w:type="table" w:styleId="1196" w:customStyle="1">
    <w:name w:val="Lined - Accent 4"/>
    <w:basedOn w:val="1054"/>
    <w:uiPriority w:val="99"/>
    <w:pPr>
      <w:spacing w:after="0" w:line="240" w:lineRule="auto"/>
    </w:pPr>
    <w:rPr>
      <w:color w:val="404040"/>
      <w:sz w:val="20"/>
      <w:szCs w:val="20"/>
      <w:lang w:eastAsia="ru-RU"/>
    </w:rPr>
    <w:tblPr>
      <w:tblStyleRowBandSize w:val="1"/>
      <w:tblStyleColBandSize w:val="1"/>
      <w:tblInd w:w="0" w:type="dxa"/>
      <w:tblCellMar>
        <w:left w:w="108" w:type="dxa"/>
        <w:top w:w="0" w:type="dxa"/>
        <w:right w:w="108" w:type="dxa"/>
        <w:bottom w:w="0" w:type="dxa"/>
      </w:tblCellMar>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e5dfec" w:themeColor="accent4" w:themeTint="34" w:fill="e5dfec" w:themeFill="accent4" w:themeFillTint="34"/>
      </w:tcPr>
    </w:tblStylePr>
    <w:tblStylePr w:type="band2Vert">
      <w:rPr>
        <w:rFonts w:ascii="Arial" w:hAnsi="Arial"/>
        <w:color w:val="404040"/>
        <w:sz w:val="22"/>
      </w:rPr>
      <w:tcPr>
        <w:shd w:val="clear" w:color="e5dfec" w:themeColor="accent4" w:themeTint="34" w:fill="e5dfec" w:themeFill="accent4" w:themeFillTint="34"/>
      </w:tcPr>
    </w:tblStylePr>
    <w:tblStylePr w:type="firstCol">
      <w:rPr>
        <w:rFonts w:ascii="Arial" w:hAnsi="Arial"/>
        <w:color w:val="f2f2f2"/>
        <w:sz w:val="22"/>
      </w:rPr>
      <w:tcPr>
        <w:shd w:val="clear" w:color="b2a1c6" w:themeColor="accent4" w:themeTint="9A" w:fill="b2a1c6" w:themeFill="accent4" w:themeFillTint="9A"/>
      </w:tcPr>
    </w:tblStylePr>
    <w:tblStylePr w:type="firstRow">
      <w:rPr>
        <w:rFonts w:ascii="Arial" w:hAnsi="Arial"/>
        <w:color w:val="f2f2f2"/>
        <w:sz w:val="22"/>
      </w:rPr>
      <w:tcPr>
        <w:shd w:val="clear" w:color="b2a1c6" w:themeColor="accent4" w:themeTint="9A" w:fill="b2a1c6" w:themeFill="accent4" w:themeFillTint="9A"/>
      </w:tcPr>
    </w:tblStylePr>
    <w:tblStylePr w:type="lastCol">
      <w:rPr>
        <w:rFonts w:ascii="Arial" w:hAnsi="Arial"/>
        <w:color w:val="f2f2f2"/>
        <w:sz w:val="22"/>
      </w:rPr>
      <w:tcPr>
        <w:shd w:val="clear" w:color="b2a1c6" w:themeColor="accent4" w:themeTint="9A" w:fill="b2a1c6" w:themeFill="accent4" w:themeFillTint="9A"/>
      </w:tcPr>
    </w:tblStylePr>
    <w:tblStylePr w:type="lastRow">
      <w:rPr>
        <w:rFonts w:ascii="Arial" w:hAnsi="Arial"/>
        <w:color w:val="f2f2f2"/>
        <w:sz w:val="22"/>
      </w:rPr>
      <w:tcPr>
        <w:shd w:val="clear" w:color="b2a1c6" w:themeColor="accent4" w:themeTint="9A" w:fill="b2a1c6" w:themeFill="accent4" w:themeFillTint="9A"/>
      </w:tcPr>
    </w:tblStylePr>
  </w:style>
  <w:style w:type="table" w:styleId="1197" w:customStyle="1">
    <w:name w:val="Lined - Accent 5"/>
    <w:basedOn w:val="1054"/>
    <w:uiPriority w:val="99"/>
    <w:pPr>
      <w:spacing w:after="0" w:line="240" w:lineRule="auto"/>
    </w:pPr>
    <w:rPr>
      <w:color w:val="404040"/>
      <w:sz w:val="20"/>
      <w:szCs w:val="20"/>
      <w:lang w:eastAsia="ru-RU"/>
    </w:rPr>
    <w:tblPr>
      <w:tblStyleRowBandSize w:val="1"/>
      <w:tblStyleColBandSize w:val="1"/>
      <w:tblInd w:w="0" w:type="dxa"/>
      <w:tblCellMar>
        <w:left w:w="108" w:type="dxa"/>
        <w:top w:w="0" w:type="dxa"/>
        <w:right w:w="108" w:type="dxa"/>
        <w:bottom w:w="0" w:type="dxa"/>
      </w:tblCellMar>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daeef3" w:themeColor="accent5" w:themeTint="34" w:fill="daeef3" w:themeFill="accent5" w:themeFillTint="34"/>
      </w:tcPr>
    </w:tblStylePr>
    <w:tblStylePr w:type="band2Vert">
      <w:rPr>
        <w:rFonts w:ascii="Arial" w:hAnsi="Arial"/>
        <w:color w:val="404040"/>
        <w:sz w:val="22"/>
      </w:rPr>
      <w:tcPr>
        <w:shd w:val="clear" w:color="daeef3" w:themeColor="accent5" w:themeTint="34" w:fill="daeef3" w:themeFill="accent5" w:themeFillTint="34"/>
      </w:tcPr>
    </w:tblStylePr>
    <w:tblStylePr w:type="firstCol">
      <w:rPr>
        <w:rFonts w:ascii="Arial" w:hAnsi="Arial"/>
        <w:color w:val="f2f2f2"/>
        <w:sz w:val="22"/>
      </w:rPr>
      <w:tcPr>
        <w:shd w:val="clear" w:color="4bacc6" w:themeColor="accent5" w:fill="4bacc6" w:themeFill="accent5"/>
      </w:tcPr>
    </w:tblStylePr>
    <w:tblStylePr w:type="firstRow">
      <w:rPr>
        <w:rFonts w:ascii="Arial" w:hAnsi="Arial"/>
        <w:color w:val="f2f2f2"/>
        <w:sz w:val="22"/>
      </w:rPr>
      <w:tcPr>
        <w:shd w:val="clear" w:color="4bacc6" w:themeColor="accent5" w:fill="4bacc6" w:themeFill="accent5"/>
      </w:tcPr>
    </w:tblStylePr>
    <w:tblStylePr w:type="lastCol">
      <w:rPr>
        <w:rFonts w:ascii="Arial" w:hAnsi="Arial"/>
        <w:color w:val="f2f2f2"/>
        <w:sz w:val="22"/>
      </w:rPr>
      <w:tcPr>
        <w:shd w:val="clear" w:color="4bacc6" w:themeColor="accent5" w:fill="4bacc6" w:themeFill="accent5"/>
      </w:tcPr>
    </w:tblStylePr>
    <w:tblStylePr w:type="lastRow">
      <w:rPr>
        <w:rFonts w:ascii="Arial" w:hAnsi="Arial"/>
        <w:color w:val="f2f2f2"/>
        <w:sz w:val="22"/>
      </w:rPr>
      <w:tcPr>
        <w:shd w:val="clear" w:color="4bacc6" w:themeColor="accent5" w:fill="4bacc6" w:themeFill="accent5"/>
      </w:tcPr>
    </w:tblStylePr>
  </w:style>
  <w:style w:type="table" w:styleId="1198" w:customStyle="1">
    <w:name w:val="Lined - Accent 6"/>
    <w:basedOn w:val="1054"/>
    <w:uiPriority w:val="99"/>
    <w:pPr>
      <w:spacing w:after="0" w:line="240" w:lineRule="auto"/>
    </w:pPr>
    <w:rPr>
      <w:color w:val="404040"/>
      <w:sz w:val="20"/>
      <w:szCs w:val="20"/>
      <w:lang w:eastAsia="ru-RU"/>
    </w:rPr>
    <w:tblPr>
      <w:tblStyleRowBandSize w:val="1"/>
      <w:tblStyleColBandSize w:val="1"/>
      <w:tblInd w:w="0" w:type="dxa"/>
      <w:tblCellMar>
        <w:left w:w="108" w:type="dxa"/>
        <w:top w:w="0" w:type="dxa"/>
        <w:right w:w="108" w:type="dxa"/>
        <w:bottom w:w="0" w:type="dxa"/>
      </w:tblCellMar>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de9d8" w:themeColor="accent6" w:themeTint="34" w:fill="fde9d8" w:themeFill="accent6" w:themeFillTint="34"/>
      </w:tcPr>
    </w:tblStylePr>
    <w:tblStylePr w:type="band2Vert">
      <w:rPr>
        <w:rFonts w:ascii="Arial" w:hAnsi="Arial"/>
        <w:color w:val="404040"/>
        <w:sz w:val="22"/>
      </w:rPr>
      <w:tcPr>
        <w:shd w:val="clear" w:color="fde9d8" w:themeColor="accent6" w:themeTint="34" w:fill="fde9d8" w:themeFill="accent6" w:themeFillTint="34"/>
      </w:tcPr>
    </w:tblStylePr>
    <w:tblStylePr w:type="firstCol">
      <w:rPr>
        <w:rFonts w:ascii="Arial" w:hAnsi="Arial"/>
        <w:color w:val="f2f2f2"/>
        <w:sz w:val="22"/>
      </w:rPr>
      <w:tcPr>
        <w:shd w:val="clear" w:color="f79646" w:themeColor="accent6" w:fill="f79646" w:themeFill="accent6"/>
      </w:tcPr>
    </w:tblStylePr>
    <w:tblStylePr w:type="firstRow">
      <w:rPr>
        <w:rFonts w:ascii="Arial" w:hAnsi="Arial"/>
        <w:color w:val="f2f2f2"/>
        <w:sz w:val="22"/>
      </w:rPr>
      <w:tcPr>
        <w:shd w:val="clear" w:color="f79646" w:themeColor="accent6" w:fill="f79646" w:themeFill="accent6"/>
      </w:tcPr>
    </w:tblStylePr>
    <w:tblStylePr w:type="lastCol">
      <w:rPr>
        <w:rFonts w:ascii="Arial" w:hAnsi="Arial"/>
        <w:color w:val="f2f2f2"/>
        <w:sz w:val="22"/>
      </w:rPr>
      <w:tcPr>
        <w:shd w:val="clear" w:color="f79646" w:themeColor="accent6" w:fill="f79646" w:themeFill="accent6"/>
      </w:tcPr>
    </w:tblStylePr>
    <w:tblStylePr w:type="lastRow">
      <w:rPr>
        <w:rFonts w:ascii="Arial" w:hAnsi="Arial"/>
        <w:color w:val="f2f2f2"/>
        <w:sz w:val="22"/>
      </w:rPr>
      <w:tcPr>
        <w:shd w:val="clear" w:color="f79646" w:themeColor="accent6" w:fill="f79646" w:themeFill="accent6"/>
      </w:tcPr>
    </w:tblStylePr>
  </w:style>
  <w:style w:type="table" w:styleId="1199" w:customStyle="1">
    <w:name w:val="Bordered &amp; Lined - Accent"/>
    <w:basedOn w:val="1054"/>
    <w:uiPriority w:val="99"/>
    <w:pPr>
      <w:spacing w:after="0" w:line="240" w:lineRule="auto"/>
    </w:pPr>
    <w:rPr>
      <w:color w:val="404040"/>
      <w:sz w:val="20"/>
      <w:szCs w:val="20"/>
      <w:lang w:eastAsia="ru-RU"/>
    </w:rPr>
    <w:tblPr>
      <w:tblStyleRowBandSize w:val="1"/>
      <w:tblStyleColBandSize w:val="1"/>
      <w:tblInd w:w="0" w:type="dxa"/>
      <w:tblBorders>
        <w:top w:val="single" w:color="595959" w:themeColor="text1" w:themeTint="A6" w:sz="4" w:space="0"/>
        <w:left w:val="single" w:color="595959" w:themeColor="text1" w:themeTint="A6" w:sz="4" w:space="0"/>
        <w:bottom w:val="single" w:color="595959" w:themeColor="text1" w:themeTint="A6" w:sz="4" w:space="0"/>
        <w:right w:val="single" w:color="595959" w:themeColor="text1" w:themeTint="A6" w:sz="4" w:space="0"/>
        <w:insideH w:val="single" w:color="595959" w:themeColor="text1" w:themeTint="A6" w:sz="4" w:space="0"/>
        <w:insideV w:val="single" w:color="595959" w:themeColor="text1" w:themeTint="A6" w:sz="4" w:space="0"/>
      </w:tblBorders>
      <w:tblCellMar>
        <w:left w:w="108" w:type="dxa"/>
        <w:top w:w="0" w:type="dxa"/>
        <w:right w:w="108" w:type="dxa"/>
        <w:bottom w:w="0" w:type="dxa"/>
      </w:tblCellMar>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text1" w:themeTint="00" w:fill="ffffff" w:themeFill="text1" w:themeFillTint="00"/>
      </w:tcPr>
    </w:tblStylePr>
    <w:tblStylePr w:type="band2Vert">
      <w:rPr>
        <w:rFonts w:ascii="Arial" w:hAnsi="Arial"/>
        <w:color w:val="404040"/>
        <w:sz w:val="22"/>
      </w:rPr>
      <w:tcPr>
        <w:shd w:val="clear" w:color="ffffff" w:themeColor="text1" w:themeTint="00" w:fill="ffffff" w:themeFill="text1" w:themeFillTint="00"/>
      </w:tcPr>
    </w:tblStylePr>
    <w:tblStylePr w:type="firstCol">
      <w:rPr>
        <w:rFonts w:ascii="Arial" w:hAnsi="Arial"/>
        <w:color w:val="f2f2f2"/>
        <w:sz w:val="22"/>
      </w:rPr>
      <w:tcPr>
        <w:shd w:val="clear" w:color="7f7f7f" w:themeColor="text1" w:themeTint="80" w:fill="7f7f7f" w:themeFill="text1" w:themeFillTint="80"/>
      </w:tcPr>
    </w:tblStylePr>
    <w:tblStylePr w:type="firstRow">
      <w:rPr>
        <w:rFonts w:ascii="Arial" w:hAnsi="Arial"/>
        <w:color w:val="f2f2f2"/>
        <w:sz w:val="22"/>
      </w:rPr>
      <w:tcPr>
        <w:shd w:val="clear" w:color="7f7f7f" w:themeColor="text1" w:themeTint="80" w:fill="7f7f7f" w:themeFill="text1" w:themeFillTint="80"/>
      </w:tcPr>
    </w:tblStylePr>
    <w:tblStylePr w:type="lastCol">
      <w:rPr>
        <w:rFonts w:ascii="Arial" w:hAnsi="Arial"/>
        <w:color w:val="f2f2f2"/>
        <w:sz w:val="22"/>
      </w:rPr>
      <w:tcPr>
        <w:shd w:val="clear" w:color="7f7f7f" w:themeColor="text1" w:themeTint="80" w:fill="7f7f7f" w:themeFill="text1" w:themeFillTint="80"/>
      </w:tcPr>
    </w:tblStylePr>
    <w:tblStylePr w:type="lastRow">
      <w:rPr>
        <w:rFonts w:ascii="Arial" w:hAnsi="Arial"/>
        <w:color w:val="f2f2f2"/>
        <w:sz w:val="22"/>
      </w:rPr>
      <w:tcPr>
        <w:shd w:val="clear" w:color="7f7f7f" w:themeColor="text1" w:themeTint="80" w:fill="7f7f7f" w:themeFill="text1" w:themeFillTint="80"/>
      </w:tcPr>
    </w:tblStylePr>
  </w:style>
  <w:style w:type="table" w:styleId="1200" w:customStyle="1">
    <w:name w:val="Bordered &amp; Lined - Accent 1"/>
    <w:basedOn w:val="1054"/>
    <w:uiPriority w:val="99"/>
    <w:pPr>
      <w:spacing w:after="0" w:line="240" w:lineRule="auto"/>
    </w:pPr>
    <w:rPr>
      <w:color w:val="404040"/>
      <w:sz w:val="20"/>
      <w:szCs w:val="20"/>
      <w:lang w:eastAsia="ru-RU"/>
    </w:rPr>
    <w:tblPr>
      <w:tblStyleRowBandSize w:val="1"/>
      <w:tblStyleColBandSize w:val="1"/>
      <w:tblInd w:w="0" w:type="dxa"/>
      <w:tblBorders>
        <w:top w:val="single" w:color="2A4A71" w:themeColor="accent1" w:themeShade="95" w:sz="4" w:space="0"/>
        <w:left w:val="single" w:color="2A4A71" w:themeColor="accent1" w:themeShade="95" w:sz="4" w:space="0"/>
        <w:bottom w:val="single" w:color="2A4A71" w:themeColor="accent1" w:themeShade="95" w:sz="4" w:space="0"/>
        <w:right w:val="single" w:color="2A4A71" w:themeColor="accent1" w:themeShade="95" w:sz="4" w:space="0"/>
        <w:insideH w:val="single" w:color="2A4A71" w:themeColor="accent1" w:themeShade="95" w:sz="4" w:space="0"/>
        <w:insideV w:val="single" w:color="2A4A71" w:themeColor="accent1" w:themeShade="95" w:sz="4" w:space="0"/>
      </w:tblBorders>
      <w:tblCellMar>
        <w:left w:w="108" w:type="dxa"/>
        <w:top w:w="0" w:type="dxa"/>
        <w:right w:w="108" w:type="dxa"/>
        <w:bottom w:w="0" w:type="dxa"/>
      </w:tblCellMar>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c7d7ea" w:themeColor="accent1" w:themeTint="50" w:fill="c7d7ea" w:themeFill="accent1" w:themeFillTint="50"/>
      </w:tcPr>
    </w:tblStylePr>
    <w:tblStylePr w:type="band2Vert">
      <w:rPr>
        <w:rFonts w:ascii="Arial" w:hAnsi="Arial"/>
        <w:color w:val="404040"/>
        <w:sz w:val="22"/>
      </w:rPr>
      <w:tcPr>
        <w:shd w:val="clear" w:color="c7d7ea" w:themeColor="accent1" w:themeTint="50" w:fill="c7d7ea" w:themeFill="accent1" w:themeFillTint="50"/>
      </w:tcPr>
    </w:tblStylePr>
    <w:tblStylePr w:type="firstCol">
      <w:rPr>
        <w:rFonts w:ascii="Arial" w:hAnsi="Arial"/>
        <w:color w:val="f2f2f2"/>
        <w:sz w:val="22"/>
      </w:rPr>
      <w:tcPr>
        <w:shd w:val="clear" w:color="5d8ac2" w:themeColor="accent1" w:themeTint="EA" w:fill="5d8ac2" w:themeFill="accent1" w:themeFillTint="EA"/>
      </w:tcPr>
    </w:tblStylePr>
    <w:tblStylePr w:type="firstRow">
      <w:rPr>
        <w:rFonts w:ascii="Arial" w:hAnsi="Arial"/>
        <w:color w:val="f2f2f2"/>
        <w:sz w:val="22"/>
      </w:rPr>
      <w:tcPr>
        <w:shd w:val="clear" w:color="5d8ac2" w:themeColor="accent1" w:themeTint="EA" w:fill="5d8ac2" w:themeFill="accent1" w:themeFillTint="EA"/>
      </w:tcPr>
    </w:tblStylePr>
    <w:tblStylePr w:type="lastCol">
      <w:rPr>
        <w:rFonts w:ascii="Arial" w:hAnsi="Arial"/>
        <w:color w:val="f2f2f2"/>
        <w:sz w:val="22"/>
      </w:rPr>
      <w:tcPr>
        <w:shd w:val="clear" w:color="5d8ac2" w:themeColor="accent1" w:themeTint="EA" w:fill="5d8ac2" w:themeFill="accent1" w:themeFillTint="EA"/>
      </w:tcPr>
    </w:tblStylePr>
    <w:tblStylePr w:type="lastRow">
      <w:rPr>
        <w:rFonts w:ascii="Arial" w:hAnsi="Arial"/>
        <w:color w:val="f2f2f2"/>
        <w:sz w:val="22"/>
      </w:rPr>
      <w:tcPr>
        <w:shd w:val="clear" w:color="5d8ac2" w:themeColor="accent1" w:themeTint="EA" w:fill="5d8ac2" w:themeFill="accent1" w:themeFillTint="EA"/>
      </w:tcPr>
    </w:tblStylePr>
  </w:style>
  <w:style w:type="table" w:styleId="1201" w:customStyle="1">
    <w:name w:val="Bordered &amp; Lined - Accent 2"/>
    <w:basedOn w:val="1054"/>
    <w:uiPriority w:val="99"/>
    <w:pPr>
      <w:spacing w:after="0" w:line="240" w:lineRule="auto"/>
    </w:pPr>
    <w:rPr>
      <w:color w:val="404040"/>
      <w:sz w:val="20"/>
      <w:szCs w:val="20"/>
      <w:lang w:eastAsia="ru-RU"/>
    </w:rPr>
    <w:tblPr>
      <w:tblStyleRowBandSize w:val="1"/>
      <w:tblStyleColBandSize w:val="1"/>
      <w:tblInd w:w="0" w:type="dxa"/>
      <w:tblBorders>
        <w:top w:val="single" w:color="732A29" w:themeColor="accent2" w:themeShade="95" w:sz="4" w:space="0"/>
        <w:left w:val="single" w:color="732A29" w:themeColor="accent2" w:themeShade="95" w:sz="4" w:space="0"/>
        <w:bottom w:val="single" w:color="732A29" w:themeColor="accent2" w:themeShade="95" w:sz="4" w:space="0"/>
        <w:right w:val="single" w:color="732A29" w:themeColor="accent2" w:themeShade="95" w:sz="4" w:space="0"/>
        <w:insideH w:val="single" w:color="732A29" w:themeColor="accent2" w:themeShade="95" w:sz="4" w:space="0"/>
        <w:insideV w:val="single" w:color="732A29" w:themeColor="accent2" w:themeShade="95" w:sz="4" w:space="0"/>
      </w:tblBorders>
      <w:tblCellMar>
        <w:left w:w="108" w:type="dxa"/>
        <w:top w:w="0" w:type="dxa"/>
        <w:right w:w="108" w:type="dxa"/>
        <w:bottom w:w="0" w:type="dxa"/>
      </w:tblCellMar>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2dcdc" w:themeColor="accent2" w:themeTint="32" w:fill="f2dcdc" w:themeFill="accent2" w:themeFillTint="32"/>
      </w:tcPr>
    </w:tblStylePr>
    <w:tblStylePr w:type="band2Vert">
      <w:rPr>
        <w:rFonts w:ascii="Arial" w:hAnsi="Arial"/>
        <w:color w:val="404040"/>
        <w:sz w:val="22"/>
      </w:rPr>
      <w:tcPr>
        <w:shd w:val="clear" w:color="f2dcdc" w:themeColor="accent2" w:themeTint="32" w:fill="f2dcdc" w:themeFill="accent2" w:themeFillTint="32"/>
      </w:tcPr>
    </w:tblStylePr>
    <w:tblStylePr w:type="firstCol">
      <w:rPr>
        <w:rFonts w:ascii="Arial" w:hAnsi="Arial"/>
        <w:color w:val="f2f2f2"/>
        <w:sz w:val="22"/>
      </w:rPr>
      <w:tcPr>
        <w:shd w:val="clear" w:color="d99695" w:themeColor="accent2" w:themeTint="97" w:fill="d99695" w:themeFill="accent2" w:themeFillTint="97"/>
      </w:tcPr>
    </w:tblStylePr>
    <w:tblStylePr w:type="firstRow">
      <w:rPr>
        <w:rFonts w:ascii="Arial" w:hAnsi="Arial"/>
        <w:color w:val="f2f2f2"/>
        <w:sz w:val="22"/>
      </w:rPr>
      <w:tcPr>
        <w:shd w:val="clear" w:color="d99695" w:themeColor="accent2" w:themeTint="97" w:fill="d99695" w:themeFill="accent2" w:themeFillTint="97"/>
      </w:tcPr>
    </w:tblStylePr>
    <w:tblStylePr w:type="lastCol">
      <w:rPr>
        <w:rFonts w:ascii="Arial" w:hAnsi="Arial"/>
        <w:color w:val="f2f2f2"/>
        <w:sz w:val="22"/>
      </w:rPr>
      <w:tcPr>
        <w:shd w:val="clear" w:color="d99695" w:themeColor="accent2" w:themeTint="97" w:fill="d99695" w:themeFill="accent2" w:themeFillTint="97"/>
      </w:tcPr>
    </w:tblStylePr>
    <w:tblStylePr w:type="lastRow">
      <w:rPr>
        <w:rFonts w:ascii="Arial" w:hAnsi="Arial"/>
        <w:color w:val="f2f2f2"/>
        <w:sz w:val="22"/>
      </w:rPr>
      <w:tcPr>
        <w:shd w:val="clear" w:color="d99695" w:themeColor="accent2" w:themeTint="97" w:fill="d99695" w:themeFill="accent2" w:themeFillTint="97"/>
      </w:tcPr>
    </w:tblStylePr>
  </w:style>
  <w:style w:type="table" w:styleId="1202" w:customStyle="1">
    <w:name w:val="Bordered &amp; Lined - Accent 3"/>
    <w:basedOn w:val="1054"/>
    <w:uiPriority w:val="99"/>
    <w:pPr>
      <w:spacing w:after="0" w:line="240" w:lineRule="auto"/>
    </w:pPr>
    <w:rPr>
      <w:color w:val="404040"/>
      <w:sz w:val="20"/>
      <w:szCs w:val="20"/>
      <w:lang w:eastAsia="ru-RU"/>
    </w:rPr>
    <w:tblPr>
      <w:tblStyleRowBandSize w:val="1"/>
      <w:tblStyleColBandSize w:val="1"/>
      <w:tblInd w:w="0" w:type="dxa"/>
      <w:tblBorders>
        <w:top w:val="single" w:color="5B722E" w:themeColor="accent3" w:themeShade="95" w:sz="4" w:space="0"/>
        <w:left w:val="single" w:color="5B722E" w:themeColor="accent3" w:themeShade="95" w:sz="4" w:space="0"/>
        <w:bottom w:val="single" w:color="5B722E" w:themeColor="accent3" w:themeShade="95" w:sz="4" w:space="0"/>
        <w:right w:val="single" w:color="5B722E" w:themeColor="accent3" w:themeShade="95" w:sz="4" w:space="0"/>
        <w:insideH w:val="single" w:color="5B722E" w:themeColor="accent3" w:themeShade="95" w:sz="4" w:space="0"/>
        <w:insideV w:val="single" w:color="5B722E" w:themeColor="accent3" w:themeShade="95" w:sz="4" w:space="0"/>
      </w:tblBorders>
      <w:tblCellMar>
        <w:left w:w="108" w:type="dxa"/>
        <w:top w:w="0" w:type="dxa"/>
        <w:right w:w="108" w:type="dxa"/>
        <w:bottom w:w="0" w:type="dxa"/>
      </w:tblCellMar>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eaf1dc" w:themeColor="accent3" w:themeTint="34" w:fill="eaf1dc" w:themeFill="accent3" w:themeFillTint="34"/>
      </w:tcPr>
    </w:tblStylePr>
    <w:tblStylePr w:type="band2Vert">
      <w:rPr>
        <w:rFonts w:ascii="Arial" w:hAnsi="Arial"/>
        <w:color w:val="404040"/>
        <w:sz w:val="22"/>
      </w:rPr>
      <w:tcPr>
        <w:shd w:val="clear" w:color="eaf1dc" w:themeColor="accent3" w:themeTint="34" w:fill="eaf1dc" w:themeFill="accent3" w:themeFillTint="34"/>
      </w:tcPr>
    </w:tblStylePr>
    <w:tblStylePr w:type="firstCol">
      <w:rPr>
        <w:rFonts w:ascii="Arial" w:hAnsi="Arial"/>
        <w:color w:val="f2f2f2"/>
        <w:sz w:val="22"/>
      </w:rPr>
      <w:tcPr>
        <w:shd w:val="clear" w:color="9abb59" w:themeColor="accent3" w:themeTint="FE" w:fill="9abb59" w:themeFill="accent3" w:themeFillTint="FE"/>
      </w:tcPr>
    </w:tblStylePr>
    <w:tblStylePr w:type="firstRow">
      <w:rPr>
        <w:rFonts w:ascii="Arial" w:hAnsi="Arial"/>
        <w:color w:val="f2f2f2"/>
        <w:sz w:val="22"/>
      </w:rPr>
      <w:tcPr>
        <w:shd w:val="clear" w:color="9abb59" w:themeColor="accent3" w:themeTint="FE" w:fill="9abb59" w:themeFill="accent3" w:themeFillTint="FE"/>
      </w:tcPr>
    </w:tblStylePr>
    <w:tblStylePr w:type="lastCol">
      <w:rPr>
        <w:rFonts w:ascii="Arial" w:hAnsi="Arial"/>
        <w:color w:val="f2f2f2"/>
        <w:sz w:val="22"/>
      </w:rPr>
      <w:tcPr>
        <w:shd w:val="clear" w:color="9abb59" w:themeColor="accent3" w:themeTint="FE" w:fill="9abb59" w:themeFill="accent3" w:themeFillTint="FE"/>
      </w:tcPr>
    </w:tblStylePr>
    <w:tblStylePr w:type="lastRow">
      <w:rPr>
        <w:rFonts w:ascii="Arial" w:hAnsi="Arial"/>
        <w:color w:val="f2f2f2"/>
        <w:sz w:val="22"/>
      </w:rPr>
      <w:tcPr>
        <w:shd w:val="clear" w:color="9abb59" w:themeColor="accent3" w:themeTint="FE" w:fill="9abb59" w:themeFill="accent3" w:themeFillTint="FE"/>
      </w:tcPr>
    </w:tblStylePr>
  </w:style>
  <w:style w:type="table" w:styleId="1203" w:customStyle="1">
    <w:name w:val="Bordered &amp; Lined - Accent 4"/>
    <w:basedOn w:val="1054"/>
    <w:uiPriority w:val="99"/>
    <w:pPr>
      <w:spacing w:after="0" w:line="240" w:lineRule="auto"/>
    </w:pPr>
    <w:rPr>
      <w:color w:val="404040"/>
      <w:sz w:val="20"/>
      <w:szCs w:val="20"/>
      <w:lang w:eastAsia="ru-RU"/>
    </w:rPr>
    <w:tblPr>
      <w:tblStyleRowBandSize w:val="1"/>
      <w:tblStyleColBandSize w:val="1"/>
      <w:tblInd w:w="0" w:type="dxa"/>
      <w:tblBorders>
        <w:top w:val="single" w:color="4A395F" w:themeColor="accent4" w:themeShade="95" w:sz="4" w:space="0"/>
        <w:left w:val="single" w:color="4A395F" w:themeColor="accent4" w:themeShade="95" w:sz="4" w:space="0"/>
        <w:bottom w:val="single" w:color="4A395F" w:themeColor="accent4" w:themeShade="95" w:sz="4" w:space="0"/>
        <w:right w:val="single" w:color="4A395F" w:themeColor="accent4" w:themeShade="95" w:sz="4" w:space="0"/>
        <w:insideH w:val="single" w:color="4A395F" w:themeColor="accent4" w:themeShade="95" w:sz="4" w:space="0"/>
        <w:insideV w:val="single" w:color="4A395F" w:themeColor="accent4" w:themeShade="95" w:sz="4" w:space="0"/>
      </w:tblBorders>
      <w:tblCellMar>
        <w:left w:w="108" w:type="dxa"/>
        <w:top w:w="0" w:type="dxa"/>
        <w:right w:w="108" w:type="dxa"/>
        <w:bottom w:w="0" w:type="dxa"/>
      </w:tblCellMar>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e5dfec" w:themeColor="accent4" w:themeTint="34" w:fill="e5dfec" w:themeFill="accent4" w:themeFillTint="34"/>
      </w:tcPr>
    </w:tblStylePr>
    <w:tblStylePr w:type="band2Vert">
      <w:rPr>
        <w:rFonts w:ascii="Arial" w:hAnsi="Arial"/>
        <w:color w:val="404040"/>
        <w:sz w:val="22"/>
      </w:rPr>
      <w:tcPr>
        <w:shd w:val="clear" w:color="e5dfec" w:themeColor="accent4" w:themeTint="34" w:fill="e5dfec" w:themeFill="accent4" w:themeFillTint="34"/>
      </w:tcPr>
    </w:tblStylePr>
    <w:tblStylePr w:type="firstCol">
      <w:rPr>
        <w:rFonts w:ascii="Arial" w:hAnsi="Arial"/>
        <w:color w:val="f2f2f2"/>
        <w:sz w:val="22"/>
      </w:rPr>
      <w:tcPr>
        <w:shd w:val="clear" w:color="b2a1c6" w:themeColor="accent4" w:themeTint="9A" w:fill="b2a1c6" w:themeFill="accent4" w:themeFillTint="9A"/>
      </w:tcPr>
    </w:tblStylePr>
    <w:tblStylePr w:type="firstRow">
      <w:rPr>
        <w:rFonts w:ascii="Arial" w:hAnsi="Arial"/>
        <w:color w:val="f2f2f2"/>
        <w:sz w:val="22"/>
      </w:rPr>
      <w:tcPr>
        <w:shd w:val="clear" w:color="b2a1c6" w:themeColor="accent4" w:themeTint="9A" w:fill="b2a1c6" w:themeFill="accent4" w:themeFillTint="9A"/>
      </w:tcPr>
    </w:tblStylePr>
    <w:tblStylePr w:type="lastCol">
      <w:rPr>
        <w:rFonts w:ascii="Arial" w:hAnsi="Arial"/>
        <w:color w:val="f2f2f2"/>
        <w:sz w:val="22"/>
      </w:rPr>
      <w:tcPr>
        <w:shd w:val="clear" w:color="b2a1c6" w:themeColor="accent4" w:themeTint="9A" w:fill="b2a1c6" w:themeFill="accent4" w:themeFillTint="9A"/>
      </w:tcPr>
    </w:tblStylePr>
    <w:tblStylePr w:type="lastRow">
      <w:rPr>
        <w:rFonts w:ascii="Arial" w:hAnsi="Arial"/>
        <w:color w:val="f2f2f2"/>
        <w:sz w:val="22"/>
      </w:rPr>
      <w:tcPr>
        <w:shd w:val="clear" w:color="b2a1c6" w:themeColor="accent4" w:themeTint="9A" w:fill="b2a1c6" w:themeFill="accent4" w:themeFillTint="9A"/>
      </w:tcPr>
    </w:tblStylePr>
  </w:style>
  <w:style w:type="table" w:styleId="1204" w:customStyle="1">
    <w:name w:val="Bordered &amp; Lined - Accent 5"/>
    <w:basedOn w:val="1054"/>
    <w:uiPriority w:val="99"/>
    <w:pPr>
      <w:spacing w:after="0" w:line="240" w:lineRule="auto"/>
    </w:pPr>
    <w:rPr>
      <w:color w:val="404040"/>
      <w:sz w:val="20"/>
      <w:szCs w:val="20"/>
      <w:lang w:eastAsia="ru-RU"/>
    </w:rPr>
    <w:tblPr>
      <w:tblStyleRowBandSize w:val="1"/>
      <w:tblStyleColBandSize w:val="1"/>
      <w:tblInd w:w="0" w:type="dxa"/>
      <w:tblBorders>
        <w:top w:val="single" w:color="266779" w:themeColor="accent5" w:themeShade="95" w:sz="4" w:space="0"/>
        <w:left w:val="single" w:color="266779" w:themeColor="accent5" w:themeShade="95" w:sz="4" w:space="0"/>
        <w:bottom w:val="single" w:color="266779" w:themeColor="accent5" w:themeShade="95" w:sz="4" w:space="0"/>
        <w:right w:val="single" w:color="266779" w:themeColor="accent5" w:themeShade="95" w:sz="4" w:space="0"/>
        <w:insideH w:val="single" w:color="266779" w:themeColor="accent5" w:themeShade="95" w:sz="4" w:space="0"/>
        <w:insideV w:val="single" w:color="266779" w:themeColor="accent5" w:themeShade="95" w:sz="4" w:space="0"/>
      </w:tblBorders>
      <w:tblCellMar>
        <w:left w:w="108" w:type="dxa"/>
        <w:top w:w="0" w:type="dxa"/>
        <w:right w:w="108" w:type="dxa"/>
        <w:bottom w:w="0" w:type="dxa"/>
      </w:tblCellMar>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daeef3" w:themeColor="accent5" w:themeTint="34" w:fill="daeef3" w:themeFill="accent5" w:themeFillTint="34"/>
      </w:tcPr>
    </w:tblStylePr>
    <w:tblStylePr w:type="band2Vert">
      <w:rPr>
        <w:rFonts w:ascii="Arial" w:hAnsi="Arial"/>
        <w:color w:val="404040"/>
        <w:sz w:val="22"/>
      </w:rPr>
      <w:tcPr>
        <w:shd w:val="clear" w:color="daeef3" w:themeColor="accent5" w:themeTint="34" w:fill="daeef3" w:themeFill="accent5" w:themeFillTint="34"/>
      </w:tcPr>
    </w:tblStylePr>
    <w:tblStylePr w:type="firstCol">
      <w:rPr>
        <w:rFonts w:ascii="Arial" w:hAnsi="Arial"/>
        <w:color w:val="f2f2f2"/>
        <w:sz w:val="22"/>
      </w:rPr>
      <w:tcPr>
        <w:shd w:val="clear" w:color="4bacc6" w:themeColor="accent5" w:fill="4bacc6" w:themeFill="accent5"/>
      </w:tcPr>
    </w:tblStylePr>
    <w:tblStylePr w:type="firstRow">
      <w:rPr>
        <w:rFonts w:ascii="Arial" w:hAnsi="Arial"/>
        <w:color w:val="f2f2f2"/>
        <w:sz w:val="22"/>
      </w:rPr>
      <w:tcPr>
        <w:shd w:val="clear" w:color="4bacc6" w:themeColor="accent5" w:fill="4bacc6" w:themeFill="accent5"/>
      </w:tcPr>
    </w:tblStylePr>
    <w:tblStylePr w:type="lastCol">
      <w:rPr>
        <w:rFonts w:ascii="Arial" w:hAnsi="Arial"/>
        <w:color w:val="f2f2f2"/>
        <w:sz w:val="22"/>
      </w:rPr>
      <w:tcPr>
        <w:shd w:val="clear" w:color="4bacc6" w:themeColor="accent5" w:fill="4bacc6" w:themeFill="accent5"/>
      </w:tcPr>
    </w:tblStylePr>
    <w:tblStylePr w:type="lastRow">
      <w:rPr>
        <w:rFonts w:ascii="Arial" w:hAnsi="Arial"/>
        <w:color w:val="f2f2f2"/>
        <w:sz w:val="22"/>
      </w:rPr>
      <w:tcPr>
        <w:shd w:val="clear" w:color="4bacc6" w:themeColor="accent5" w:fill="4bacc6" w:themeFill="accent5"/>
      </w:tcPr>
    </w:tblStylePr>
  </w:style>
  <w:style w:type="table" w:styleId="1205" w:customStyle="1">
    <w:name w:val="Bordered &amp; Lined - Accent 6"/>
    <w:basedOn w:val="1054"/>
    <w:uiPriority w:val="99"/>
    <w:pPr>
      <w:spacing w:after="0" w:line="240" w:lineRule="auto"/>
    </w:pPr>
    <w:rPr>
      <w:color w:val="404040"/>
      <w:sz w:val="20"/>
      <w:szCs w:val="20"/>
      <w:lang w:eastAsia="ru-RU"/>
    </w:rPr>
    <w:tblPr>
      <w:tblStyleRowBandSize w:val="1"/>
      <w:tblStyleColBandSize w:val="1"/>
      <w:tblInd w:w="0" w:type="dxa"/>
      <w:tblBorders>
        <w:top w:val="single" w:color="B15407" w:themeColor="accent6" w:themeShade="95" w:sz="4" w:space="0"/>
        <w:left w:val="single" w:color="B15407" w:themeColor="accent6" w:themeShade="95" w:sz="4" w:space="0"/>
        <w:bottom w:val="single" w:color="B15407" w:themeColor="accent6" w:themeShade="95" w:sz="4" w:space="0"/>
        <w:right w:val="single" w:color="B15407" w:themeColor="accent6" w:themeShade="95" w:sz="4" w:space="0"/>
        <w:insideH w:val="single" w:color="B15407" w:themeColor="accent6" w:themeShade="95" w:sz="4" w:space="0"/>
        <w:insideV w:val="single" w:color="B15407" w:themeColor="accent6" w:themeShade="95" w:sz="4" w:space="0"/>
      </w:tblBorders>
      <w:tblCellMar>
        <w:left w:w="108" w:type="dxa"/>
        <w:top w:w="0" w:type="dxa"/>
        <w:right w:w="108" w:type="dxa"/>
        <w:bottom w:w="0" w:type="dxa"/>
      </w:tblCellMar>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de9d8" w:themeColor="accent6" w:themeTint="34" w:fill="fde9d8" w:themeFill="accent6" w:themeFillTint="34"/>
      </w:tcPr>
    </w:tblStylePr>
    <w:tblStylePr w:type="band2Vert">
      <w:rPr>
        <w:rFonts w:ascii="Arial" w:hAnsi="Arial"/>
        <w:color w:val="404040"/>
        <w:sz w:val="22"/>
      </w:rPr>
      <w:tcPr>
        <w:shd w:val="clear" w:color="fde9d8" w:themeColor="accent6" w:themeTint="34" w:fill="fde9d8" w:themeFill="accent6" w:themeFillTint="34"/>
      </w:tcPr>
    </w:tblStylePr>
    <w:tblStylePr w:type="firstCol">
      <w:rPr>
        <w:rFonts w:ascii="Arial" w:hAnsi="Arial"/>
        <w:color w:val="f2f2f2"/>
        <w:sz w:val="22"/>
      </w:rPr>
      <w:tcPr>
        <w:shd w:val="clear" w:color="f79646" w:themeColor="accent6" w:fill="f79646" w:themeFill="accent6"/>
      </w:tcPr>
    </w:tblStylePr>
    <w:tblStylePr w:type="firstRow">
      <w:rPr>
        <w:rFonts w:ascii="Arial" w:hAnsi="Arial"/>
        <w:color w:val="f2f2f2"/>
        <w:sz w:val="22"/>
      </w:rPr>
      <w:tcPr>
        <w:shd w:val="clear" w:color="f79646" w:themeColor="accent6" w:fill="f79646" w:themeFill="accent6"/>
      </w:tcPr>
    </w:tblStylePr>
    <w:tblStylePr w:type="lastCol">
      <w:rPr>
        <w:rFonts w:ascii="Arial" w:hAnsi="Arial"/>
        <w:color w:val="f2f2f2"/>
        <w:sz w:val="22"/>
      </w:rPr>
      <w:tcPr>
        <w:shd w:val="clear" w:color="f79646" w:themeColor="accent6" w:fill="f79646" w:themeFill="accent6"/>
      </w:tcPr>
    </w:tblStylePr>
    <w:tblStylePr w:type="lastRow">
      <w:rPr>
        <w:rFonts w:ascii="Arial" w:hAnsi="Arial"/>
        <w:color w:val="f2f2f2"/>
        <w:sz w:val="22"/>
      </w:rPr>
      <w:tcPr>
        <w:shd w:val="clear" w:color="f79646" w:themeColor="accent6" w:fill="f79646" w:themeFill="accent6"/>
      </w:tcPr>
    </w:tblStylePr>
  </w:style>
  <w:style w:type="table" w:styleId="1206" w:customStyle="1">
    <w:name w:val="Bordered"/>
    <w:basedOn w:val="1054"/>
    <w:uiPriority w:val="99"/>
    <w:pPr>
      <w:spacing w:after="0" w:line="240" w:lineRule="auto"/>
    </w:pPr>
    <w:tblPr>
      <w:tblStyleRowBandSize w:val="1"/>
      <w:tblStyleColBandSize w:val="1"/>
      <w:tblInd w:w="0" w:type="dxa"/>
      <w:tblBorders>
        <w:top w:val="single" w:color="D9D9D9" w:themeColor="text1" w:themeTint="26" w:sz="4" w:space="0"/>
        <w:left w:val="single" w:color="D9D9D9" w:themeColor="text1" w:themeTint="26" w:sz="4" w:space="0"/>
        <w:bottom w:val="single" w:color="D9D9D9" w:themeColor="text1" w:themeTint="26" w:sz="4" w:space="0"/>
        <w:right w:val="single" w:color="D9D9D9" w:themeColor="text1" w:themeTint="26" w:sz="4" w:space="0"/>
        <w:insideH w:val="single" w:color="D9D9D9" w:themeColor="text1" w:themeTint="26" w:sz="4" w:space="0"/>
        <w:insideV w:val="single" w:color="D9D9D9" w:themeColor="text1" w:themeTint="26" w:sz="4" w:space="0"/>
      </w:tblBorders>
      <w:tblCellMar>
        <w:left w:w="108" w:type="dxa"/>
        <w:top w:w="0" w:type="dxa"/>
        <w:right w:w="108" w:type="dxa"/>
        <w:bottom w:w="0" w:type="dxa"/>
      </w:tblCellMar>
    </w:tblPr>
    <w:tblStylePr w:type="band1Horz">
      <w:rPr>
        <w:rFonts w:ascii="Arial" w:hAnsi="Arial"/>
        <w:color w:val="404040"/>
        <w:sz w:val="22"/>
      </w:rPr>
      <w:tcPr>
        <w:tcBorders>
          <w:top w:val="single" w:color="D9D9D9" w:themeColor="text1" w:themeTint="26" w:sz="4" w:space="0"/>
          <w:left w:val="single" w:color="D9D9D9" w:themeColor="text1" w:themeTint="26" w:sz="4" w:space="0"/>
          <w:bottom w:val="single" w:color="D9D9D9" w:themeColor="text1" w:themeTint="26" w:sz="4" w:space="0"/>
          <w:right w:val="single" w:color="D9D9D9" w:themeColor="text1" w:themeTint="26" w:sz="4" w:space="0"/>
        </w:tcBorders>
      </w:tcPr>
    </w:tblStylePr>
    <w:tblStylePr w:type="firstCol">
      <w:rPr>
        <w:rFonts w:ascii="Arial" w:hAnsi="Arial"/>
        <w:color w:val="404040"/>
        <w:sz w:val="22"/>
      </w:rPr>
    </w:tblStylePr>
    <w:tblStylePr w:type="firstRow">
      <w:rPr>
        <w:rFonts w:ascii="Arial" w:hAnsi="Arial"/>
        <w:color w:val="404040"/>
        <w:sz w:val="22"/>
      </w:rPr>
      <w:tcPr>
        <w:tcBorders>
          <w:bottom w:val="single" w:color="7F7F7F" w:themeColor="text1" w:themeTint="80" w:sz="12" w:space="0"/>
        </w:tcBorders>
      </w:tcPr>
    </w:tblStylePr>
    <w:tblStylePr w:type="lastCol">
      <w:rPr>
        <w:rFonts w:ascii="Arial" w:hAnsi="Arial"/>
        <w:color w:val="404040"/>
        <w:sz w:val="22"/>
      </w:rPr>
      <w:tcPr>
        <w:tcBorders>
          <w:left w:val="single" w:color="7F7F7F" w:themeColor="text1" w:themeTint="80" w:sz="12" w:space="0"/>
        </w:tcBorders>
      </w:tcPr>
    </w:tblStylePr>
    <w:tblStylePr w:type="lastRow">
      <w:rPr>
        <w:rFonts w:ascii="Arial" w:hAnsi="Arial"/>
        <w:color w:val="404040"/>
        <w:sz w:val="22"/>
      </w:rPr>
      <w:tcPr>
        <w:tcBorders>
          <w:top w:val="single" w:color="7F7F7F" w:themeColor="text1" w:themeTint="80" w:sz="12" w:space="0"/>
        </w:tcBorders>
      </w:tcPr>
    </w:tblStylePr>
  </w:style>
  <w:style w:type="table" w:styleId="1207" w:customStyle="1">
    <w:name w:val="Bordered - Accent 1"/>
    <w:basedOn w:val="1054"/>
    <w:uiPriority w:val="99"/>
    <w:pPr>
      <w:spacing w:after="0" w:line="240" w:lineRule="auto"/>
    </w:pPr>
    <w:tblPr>
      <w:tblStyleRowBandSize w:val="1"/>
      <w:tblStyleColBandSize w:val="1"/>
      <w:tblInd w:w="0" w:type="dxa"/>
      <w:tblBorders>
        <w:top w:val="single" w:color="B7CBE4" w:themeColor="accent1" w:themeTint="67" w:sz="4" w:space="0"/>
        <w:left w:val="single" w:color="B7CBE4" w:themeColor="accent1" w:themeTint="67" w:sz="4" w:space="0"/>
        <w:bottom w:val="single" w:color="B7CBE4" w:themeColor="accent1" w:themeTint="67" w:sz="4" w:space="0"/>
        <w:right w:val="single" w:color="B7CBE4" w:themeColor="accent1" w:themeTint="67" w:sz="4" w:space="0"/>
        <w:insideH w:val="single" w:color="B7CBE4" w:themeColor="accent1" w:themeTint="67" w:sz="4" w:space="0"/>
        <w:insideV w:val="single" w:color="B7CBE4" w:themeColor="accent1" w:themeTint="67" w:sz="4" w:space="0"/>
      </w:tblBorders>
      <w:tblCellMar>
        <w:left w:w="108" w:type="dxa"/>
        <w:top w:w="0" w:type="dxa"/>
        <w:right w:w="108" w:type="dxa"/>
        <w:bottom w:w="0" w:type="dxa"/>
      </w:tblCellMar>
    </w:tblPr>
    <w:tblStylePr w:type="band1Horz">
      <w:rPr>
        <w:rFonts w:ascii="Arial" w:hAnsi="Arial"/>
        <w:color w:val="404040"/>
        <w:sz w:val="22"/>
      </w:rPr>
      <w:tcPr>
        <w:tcBorders>
          <w:top w:val="single" w:color="B7CBE4" w:themeColor="accent1" w:themeTint="67" w:sz="4" w:space="0"/>
          <w:left w:val="single" w:color="B7CBE4" w:themeColor="accent1" w:themeTint="67" w:sz="4" w:space="0"/>
          <w:bottom w:val="single" w:color="B7CBE4" w:themeColor="accent1" w:themeTint="67" w:sz="4" w:space="0"/>
          <w:right w:val="single" w:color="B7CBE4" w:themeColor="accent1" w:themeTint="67" w:sz="4" w:space="0"/>
        </w:tcBorders>
      </w:tcPr>
    </w:tblStylePr>
    <w:tblStylePr w:type="firstCol">
      <w:rPr>
        <w:rFonts w:ascii="Arial" w:hAnsi="Arial"/>
        <w:color w:val="404040"/>
        <w:sz w:val="22"/>
      </w:rPr>
    </w:tblStylePr>
    <w:tblStylePr w:type="firstRow">
      <w:rPr>
        <w:rFonts w:ascii="Arial" w:hAnsi="Arial"/>
        <w:color w:val="404040"/>
        <w:sz w:val="22"/>
      </w:rPr>
      <w:tcPr>
        <w:tcBorders>
          <w:bottom w:val="single" w:color="4F81BD" w:themeColor="accent1" w:sz="12" w:space="0"/>
        </w:tcBorders>
      </w:tcPr>
    </w:tblStylePr>
    <w:tblStylePr w:type="lastCol">
      <w:rPr>
        <w:rFonts w:ascii="Arial" w:hAnsi="Arial"/>
        <w:color w:val="404040"/>
        <w:sz w:val="22"/>
      </w:rPr>
      <w:tcPr>
        <w:tcBorders>
          <w:left w:val="single" w:color="4F81BD" w:themeColor="accent1" w:sz="12" w:space="0"/>
        </w:tcBorders>
      </w:tcPr>
    </w:tblStylePr>
    <w:tblStylePr w:type="lastRow">
      <w:rPr>
        <w:rFonts w:ascii="Arial" w:hAnsi="Arial"/>
        <w:color w:val="404040"/>
        <w:sz w:val="22"/>
      </w:rPr>
      <w:tcPr>
        <w:tcBorders>
          <w:top w:val="single" w:color="4F81BD" w:themeColor="accent1" w:sz="12" w:space="0"/>
        </w:tcBorders>
      </w:tcPr>
    </w:tblStylePr>
  </w:style>
  <w:style w:type="table" w:styleId="1208" w:customStyle="1">
    <w:name w:val="Bordered - Accent 2"/>
    <w:basedOn w:val="1054"/>
    <w:uiPriority w:val="99"/>
    <w:pPr>
      <w:spacing w:after="0" w:line="240" w:lineRule="auto"/>
    </w:pPr>
    <w:tblPr>
      <w:tblStyleRowBandSize w:val="1"/>
      <w:tblStyleColBandSize w:val="1"/>
      <w:tblInd w:w="0" w:type="dxa"/>
      <w:tblBorders>
        <w:top w:val="single" w:color="E5B7B6" w:themeColor="accent2" w:themeTint="67" w:sz="4" w:space="0"/>
        <w:left w:val="single" w:color="E5B7B6" w:themeColor="accent2" w:themeTint="67" w:sz="4" w:space="0"/>
        <w:bottom w:val="single" w:color="E5B7B6" w:themeColor="accent2" w:themeTint="67" w:sz="4" w:space="0"/>
        <w:right w:val="single" w:color="E5B7B6" w:themeColor="accent2" w:themeTint="67" w:sz="4" w:space="0"/>
        <w:insideH w:val="single" w:color="E5B7B6" w:themeColor="accent2" w:themeTint="67" w:sz="4" w:space="0"/>
        <w:insideV w:val="single" w:color="E5B7B6" w:themeColor="accent2" w:themeTint="67" w:sz="4" w:space="0"/>
      </w:tblBorders>
      <w:tblCellMar>
        <w:left w:w="108" w:type="dxa"/>
        <w:top w:w="0" w:type="dxa"/>
        <w:right w:w="108" w:type="dxa"/>
        <w:bottom w:w="0" w:type="dxa"/>
      </w:tblCellMar>
    </w:tblPr>
    <w:tblStylePr w:type="band1Horz">
      <w:rPr>
        <w:rFonts w:ascii="Arial" w:hAnsi="Arial"/>
        <w:color w:val="404040"/>
        <w:sz w:val="22"/>
      </w:rPr>
      <w:tcPr>
        <w:tcBorders>
          <w:top w:val="single" w:color="E5B7B6" w:themeColor="accent2" w:themeTint="67" w:sz="4" w:space="0"/>
          <w:left w:val="single" w:color="E5B7B6" w:themeColor="accent2" w:themeTint="67" w:sz="4" w:space="0"/>
          <w:bottom w:val="single" w:color="E5B7B6" w:themeColor="accent2" w:themeTint="67" w:sz="4" w:space="0"/>
          <w:right w:val="single" w:color="E5B7B6" w:themeColor="accent2" w:themeTint="67" w:sz="4" w:space="0"/>
        </w:tcBorders>
      </w:tcPr>
    </w:tblStylePr>
    <w:tblStylePr w:type="firstCol">
      <w:rPr>
        <w:rFonts w:ascii="Arial" w:hAnsi="Arial"/>
        <w:color w:val="404040"/>
        <w:sz w:val="22"/>
      </w:rPr>
    </w:tblStylePr>
    <w:tblStylePr w:type="firstRow">
      <w:rPr>
        <w:rFonts w:ascii="Arial" w:hAnsi="Arial"/>
        <w:color w:val="404040"/>
        <w:sz w:val="22"/>
      </w:rPr>
      <w:tcPr>
        <w:tcBorders>
          <w:bottom w:val="single" w:color="D99695" w:themeColor="accent2" w:themeTint="97" w:sz="12" w:space="0"/>
        </w:tcBorders>
      </w:tcPr>
    </w:tblStylePr>
    <w:tblStylePr w:type="lastCol">
      <w:rPr>
        <w:rFonts w:ascii="Arial" w:hAnsi="Arial"/>
        <w:color w:val="404040"/>
        <w:sz w:val="22"/>
      </w:rPr>
      <w:tcPr>
        <w:tcBorders>
          <w:left w:val="single" w:color="D99695" w:themeColor="accent2" w:themeTint="97" w:sz="12" w:space="0"/>
        </w:tcBorders>
      </w:tcPr>
    </w:tblStylePr>
    <w:tblStylePr w:type="lastRow">
      <w:rPr>
        <w:rFonts w:ascii="Arial" w:hAnsi="Arial"/>
        <w:color w:val="404040"/>
        <w:sz w:val="22"/>
      </w:rPr>
      <w:tcPr>
        <w:tcBorders>
          <w:top w:val="single" w:color="D99695" w:themeColor="accent2" w:themeTint="97" w:sz="12" w:space="0"/>
        </w:tcBorders>
      </w:tcPr>
    </w:tblStylePr>
  </w:style>
  <w:style w:type="table" w:styleId="1209" w:customStyle="1">
    <w:name w:val="Bordered - Accent 3"/>
    <w:basedOn w:val="1054"/>
    <w:uiPriority w:val="99"/>
    <w:pPr>
      <w:spacing w:after="0" w:line="240" w:lineRule="auto"/>
    </w:pPr>
    <w:tblPr>
      <w:tblStyleRowBandSize w:val="1"/>
      <w:tblStyleColBandSize w:val="1"/>
      <w:tblInd w:w="0" w:type="dxa"/>
      <w:tblBorders>
        <w:top w:val="single" w:color="D6E3BB" w:themeColor="accent3" w:themeTint="67" w:sz="4" w:space="0"/>
        <w:left w:val="single" w:color="D6E3BB" w:themeColor="accent3" w:themeTint="67" w:sz="4" w:space="0"/>
        <w:bottom w:val="single" w:color="D6E3BB" w:themeColor="accent3" w:themeTint="67" w:sz="4" w:space="0"/>
        <w:right w:val="single" w:color="D6E3BB" w:themeColor="accent3" w:themeTint="67" w:sz="4" w:space="0"/>
        <w:insideH w:val="single" w:color="D6E3BB" w:themeColor="accent3" w:themeTint="67" w:sz="4" w:space="0"/>
        <w:insideV w:val="single" w:color="D6E3BB" w:themeColor="accent3" w:themeTint="67" w:sz="4" w:space="0"/>
      </w:tblBorders>
      <w:tblCellMar>
        <w:left w:w="108" w:type="dxa"/>
        <w:top w:w="0" w:type="dxa"/>
        <w:right w:w="108" w:type="dxa"/>
        <w:bottom w:w="0" w:type="dxa"/>
      </w:tblCellMar>
    </w:tblPr>
    <w:tblStylePr w:type="band1Horz">
      <w:rPr>
        <w:rFonts w:ascii="Arial" w:hAnsi="Arial"/>
        <w:color w:val="404040"/>
        <w:sz w:val="22"/>
      </w:rPr>
      <w:tcPr>
        <w:tcBorders>
          <w:top w:val="single" w:color="D6E3BB" w:themeColor="accent3" w:themeTint="67" w:sz="4" w:space="0"/>
          <w:left w:val="single" w:color="D6E3BB" w:themeColor="accent3" w:themeTint="67" w:sz="4" w:space="0"/>
          <w:bottom w:val="single" w:color="D6E3BB" w:themeColor="accent3" w:themeTint="67" w:sz="4" w:space="0"/>
          <w:right w:val="single" w:color="D6E3BB" w:themeColor="accent3" w:themeTint="67" w:sz="4" w:space="0"/>
        </w:tcBorders>
      </w:tcPr>
    </w:tblStylePr>
    <w:tblStylePr w:type="firstCol">
      <w:rPr>
        <w:rFonts w:ascii="Arial" w:hAnsi="Arial"/>
        <w:color w:val="404040"/>
        <w:sz w:val="22"/>
      </w:rPr>
    </w:tblStylePr>
    <w:tblStylePr w:type="firstRow">
      <w:rPr>
        <w:rFonts w:ascii="Arial" w:hAnsi="Arial"/>
        <w:color w:val="404040"/>
        <w:sz w:val="22"/>
      </w:rPr>
      <w:tcPr>
        <w:tcBorders>
          <w:bottom w:val="single" w:color="C3D69B" w:themeColor="accent3" w:themeTint="98" w:sz="12" w:space="0"/>
        </w:tcBorders>
      </w:tcPr>
    </w:tblStylePr>
    <w:tblStylePr w:type="lastCol">
      <w:rPr>
        <w:rFonts w:ascii="Arial" w:hAnsi="Arial"/>
        <w:color w:val="404040"/>
        <w:sz w:val="22"/>
      </w:rPr>
      <w:tcPr>
        <w:tcBorders>
          <w:left w:val="single" w:color="C3D69B" w:themeColor="accent3" w:themeTint="98" w:sz="12" w:space="0"/>
        </w:tcBorders>
      </w:tcPr>
    </w:tblStylePr>
    <w:tblStylePr w:type="lastRow">
      <w:rPr>
        <w:rFonts w:ascii="Arial" w:hAnsi="Arial"/>
        <w:color w:val="404040"/>
        <w:sz w:val="22"/>
      </w:rPr>
      <w:tcPr>
        <w:tcBorders>
          <w:top w:val="single" w:color="C3D69B" w:themeColor="accent3" w:themeTint="98" w:sz="12" w:space="0"/>
        </w:tcBorders>
      </w:tcPr>
    </w:tblStylePr>
  </w:style>
  <w:style w:type="table" w:styleId="1210" w:customStyle="1">
    <w:name w:val="Bordered - Accent 4"/>
    <w:basedOn w:val="1054"/>
    <w:uiPriority w:val="99"/>
    <w:pPr>
      <w:spacing w:after="0" w:line="240" w:lineRule="auto"/>
    </w:pPr>
    <w:tblPr>
      <w:tblStyleRowBandSize w:val="1"/>
      <w:tblStyleColBandSize w:val="1"/>
      <w:tblInd w:w="0" w:type="dxa"/>
      <w:tblBorders>
        <w:top w:val="single" w:color="CBC0D9" w:themeColor="accent4" w:themeTint="67" w:sz="4" w:space="0"/>
        <w:left w:val="single" w:color="CBC0D9" w:themeColor="accent4" w:themeTint="67" w:sz="4" w:space="0"/>
        <w:bottom w:val="single" w:color="CBC0D9" w:themeColor="accent4" w:themeTint="67" w:sz="4" w:space="0"/>
        <w:right w:val="single" w:color="CBC0D9" w:themeColor="accent4" w:themeTint="67" w:sz="4" w:space="0"/>
        <w:insideH w:val="single" w:color="CBC0D9" w:themeColor="accent4" w:themeTint="67" w:sz="4" w:space="0"/>
        <w:insideV w:val="single" w:color="CBC0D9" w:themeColor="accent4" w:themeTint="67" w:sz="4" w:space="0"/>
      </w:tblBorders>
      <w:tblCellMar>
        <w:left w:w="108" w:type="dxa"/>
        <w:top w:w="0" w:type="dxa"/>
        <w:right w:w="108" w:type="dxa"/>
        <w:bottom w:w="0" w:type="dxa"/>
      </w:tblCellMar>
    </w:tblPr>
    <w:tblStylePr w:type="band1Horz">
      <w:rPr>
        <w:rFonts w:ascii="Arial" w:hAnsi="Arial"/>
        <w:color w:val="404040"/>
        <w:sz w:val="22"/>
      </w:rPr>
      <w:tcPr>
        <w:tcBorders>
          <w:top w:val="single" w:color="CBC0D9" w:themeColor="accent4" w:themeTint="67" w:sz="4" w:space="0"/>
          <w:left w:val="single" w:color="CBC0D9" w:themeColor="accent4" w:themeTint="67" w:sz="4" w:space="0"/>
          <w:bottom w:val="single" w:color="CBC0D9" w:themeColor="accent4" w:themeTint="67" w:sz="4" w:space="0"/>
          <w:right w:val="single" w:color="CBC0D9" w:themeColor="accent4" w:themeTint="67" w:sz="4" w:space="0"/>
        </w:tcBorders>
      </w:tcPr>
    </w:tblStylePr>
    <w:tblStylePr w:type="firstCol">
      <w:rPr>
        <w:rFonts w:ascii="Arial" w:hAnsi="Arial"/>
        <w:color w:val="404040"/>
        <w:sz w:val="22"/>
      </w:rPr>
    </w:tblStylePr>
    <w:tblStylePr w:type="firstRow">
      <w:rPr>
        <w:rFonts w:ascii="Arial" w:hAnsi="Arial"/>
        <w:color w:val="404040"/>
        <w:sz w:val="22"/>
      </w:rPr>
      <w:tcPr>
        <w:tcBorders>
          <w:bottom w:val="single" w:color="B2A1C6" w:themeColor="accent4" w:themeTint="9A" w:sz="12" w:space="0"/>
        </w:tcBorders>
      </w:tcPr>
    </w:tblStylePr>
    <w:tblStylePr w:type="lastCol">
      <w:rPr>
        <w:rFonts w:ascii="Arial" w:hAnsi="Arial"/>
        <w:color w:val="404040"/>
        <w:sz w:val="22"/>
      </w:rPr>
      <w:tcPr>
        <w:tcBorders>
          <w:left w:val="single" w:color="B2A1C6" w:themeColor="accent4" w:themeTint="9A" w:sz="12" w:space="0"/>
        </w:tcBorders>
      </w:tcPr>
    </w:tblStylePr>
    <w:tblStylePr w:type="lastRow">
      <w:rPr>
        <w:rFonts w:ascii="Arial" w:hAnsi="Arial"/>
        <w:color w:val="404040"/>
        <w:sz w:val="22"/>
      </w:rPr>
      <w:tcPr>
        <w:tcBorders>
          <w:top w:val="single" w:color="B2A1C6" w:themeColor="accent4" w:themeTint="9A" w:sz="12" w:space="0"/>
        </w:tcBorders>
      </w:tcPr>
    </w:tblStylePr>
  </w:style>
  <w:style w:type="table" w:styleId="1211" w:customStyle="1">
    <w:name w:val="Bordered - Accent 5"/>
    <w:basedOn w:val="1054"/>
    <w:uiPriority w:val="99"/>
    <w:pPr>
      <w:spacing w:after="0" w:line="240" w:lineRule="auto"/>
    </w:pPr>
    <w:tblPr>
      <w:tblStyleRowBandSize w:val="1"/>
      <w:tblStyleColBandSize w:val="1"/>
      <w:tblInd w:w="0" w:type="dxa"/>
      <w:tblBorders>
        <w:top w:val="single" w:color="B6DDE8" w:themeColor="accent5" w:themeTint="67" w:sz="4" w:space="0"/>
        <w:left w:val="single" w:color="B6DDE8" w:themeColor="accent5" w:themeTint="67" w:sz="4" w:space="0"/>
        <w:bottom w:val="single" w:color="B6DDE8" w:themeColor="accent5" w:themeTint="67" w:sz="4" w:space="0"/>
        <w:right w:val="single" w:color="B6DDE8" w:themeColor="accent5" w:themeTint="67" w:sz="4" w:space="0"/>
        <w:insideH w:val="single" w:color="B6DDE8" w:themeColor="accent5" w:themeTint="67" w:sz="4" w:space="0"/>
        <w:insideV w:val="single" w:color="B6DDE8" w:themeColor="accent5" w:themeTint="67" w:sz="4" w:space="0"/>
      </w:tblBorders>
      <w:tblCellMar>
        <w:left w:w="108" w:type="dxa"/>
        <w:top w:w="0" w:type="dxa"/>
        <w:right w:w="108" w:type="dxa"/>
        <w:bottom w:w="0" w:type="dxa"/>
      </w:tblCellMar>
    </w:tblPr>
    <w:tblStylePr w:type="band1Horz">
      <w:rPr>
        <w:rFonts w:ascii="Arial" w:hAnsi="Arial"/>
        <w:color w:val="404040"/>
        <w:sz w:val="22"/>
      </w:rPr>
      <w:tcPr>
        <w:tcBorders>
          <w:top w:val="single" w:color="B6DDE8" w:themeColor="accent5" w:themeTint="67" w:sz="4" w:space="0"/>
          <w:left w:val="single" w:color="B6DDE8" w:themeColor="accent5" w:themeTint="67" w:sz="4" w:space="0"/>
          <w:bottom w:val="single" w:color="B6DDE8" w:themeColor="accent5" w:themeTint="67" w:sz="4" w:space="0"/>
          <w:right w:val="single" w:color="B6DDE8" w:themeColor="accent5" w:themeTint="67" w:sz="4" w:space="0"/>
        </w:tcBorders>
      </w:tcPr>
    </w:tblStylePr>
    <w:tblStylePr w:type="firstCol">
      <w:rPr>
        <w:rFonts w:ascii="Arial" w:hAnsi="Arial"/>
        <w:color w:val="404040"/>
        <w:sz w:val="22"/>
      </w:rPr>
    </w:tblStylePr>
    <w:tblStylePr w:type="firstRow">
      <w:rPr>
        <w:rFonts w:ascii="Arial" w:hAnsi="Arial"/>
        <w:color w:val="404040"/>
        <w:sz w:val="22"/>
      </w:rPr>
      <w:tcPr>
        <w:tcBorders>
          <w:bottom w:val="single" w:color="92CCDC" w:themeColor="accent5" w:themeTint="9A" w:sz="12" w:space="0"/>
        </w:tcBorders>
      </w:tcPr>
    </w:tblStylePr>
    <w:tblStylePr w:type="lastCol">
      <w:rPr>
        <w:rFonts w:ascii="Arial" w:hAnsi="Arial"/>
        <w:color w:val="404040"/>
        <w:sz w:val="22"/>
      </w:rPr>
      <w:tcPr>
        <w:tcBorders>
          <w:left w:val="single" w:color="92CCDC" w:themeColor="accent5" w:themeTint="9A" w:sz="12" w:space="0"/>
        </w:tcBorders>
      </w:tcPr>
    </w:tblStylePr>
    <w:tblStylePr w:type="lastRow">
      <w:rPr>
        <w:rFonts w:ascii="Arial" w:hAnsi="Arial"/>
        <w:color w:val="404040"/>
        <w:sz w:val="22"/>
      </w:rPr>
      <w:tcPr>
        <w:tcBorders>
          <w:top w:val="single" w:color="92CCDC" w:themeColor="accent5" w:themeTint="9A" w:sz="12" w:space="0"/>
        </w:tcBorders>
      </w:tcPr>
    </w:tblStylePr>
  </w:style>
  <w:style w:type="table" w:styleId="1212" w:customStyle="1">
    <w:name w:val="Bordered - Accent 6"/>
    <w:basedOn w:val="1054"/>
    <w:uiPriority w:val="99"/>
    <w:pPr>
      <w:spacing w:after="0" w:line="240" w:lineRule="auto"/>
    </w:pPr>
    <w:tblPr>
      <w:tblStyleRowBandSize w:val="1"/>
      <w:tblStyleColBandSize w:val="1"/>
      <w:tblInd w:w="0" w:type="dxa"/>
      <w:tblBorders>
        <w:top w:val="single" w:color="FBD4B4" w:themeColor="accent6" w:themeTint="67" w:sz="4" w:space="0"/>
        <w:left w:val="single" w:color="FBD4B4" w:themeColor="accent6" w:themeTint="67" w:sz="4" w:space="0"/>
        <w:bottom w:val="single" w:color="FBD4B4" w:themeColor="accent6" w:themeTint="67" w:sz="4" w:space="0"/>
        <w:right w:val="single" w:color="FBD4B4" w:themeColor="accent6" w:themeTint="67" w:sz="4" w:space="0"/>
        <w:insideH w:val="single" w:color="FBD4B4" w:themeColor="accent6" w:themeTint="67" w:sz="4" w:space="0"/>
        <w:insideV w:val="single" w:color="FBD4B4" w:themeColor="accent6" w:themeTint="67" w:sz="4" w:space="0"/>
      </w:tblBorders>
      <w:tblCellMar>
        <w:left w:w="108" w:type="dxa"/>
        <w:top w:w="0" w:type="dxa"/>
        <w:right w:w="108" w:type="dxa"/>
        <w:bottom w:w="0" w:type="dxa"/>
      </w:tblCellMar>
    </w:tblPr>
    <w:tblStylePr w:type="band1Horz">
      <w:rPr>
        <w:rFonts w:ascii="Arial" w:hAnsi="Arial"/>
        <w:color w:val="404040"/>
        <w:sz w:val="22"/>
      </w:rPr>
      <w:tcPr>
        <w:tcBorders>
          <w:top w:val="single" w:color="FBD4B4" w:themeColor="accent6" w:themeTint="67" w:sz="4" w:space="0"/>
          <w:left w:val="single" w:color="FBD4B4" w:themeColor="accent6" w:themeTint="67" w:sz="4" w:space="0"/>
          <w:bottom w:val="single" w:color="FBD4B4" w:themeColor="accent6" w:themeTint="67" w:sz="4" w:space="0"/>
          <w:right w:val="single" w:color="FBD4B4" w:themeColor="accent6" w:themeTint="67" w:sz="4" w:space="0"/>
        </w:tcBorders>
      </w:tcPr>
    </w:tblStylePr>
    <w:tblStylePr w:type="firstCol">
      <w:rPr>
        <w:rFonts w:ascii="Arial" w:hAnsi="Arial"/>
        <w:color w:val="404040"/>
        <w:sz w:val="22"/>
      </w:rPr>
    </w:tblStylePr>
    <w:tblStylePr w:type="firstRow">
      <w:rPr>
        <w:rFonts w:ascii="Arial" w:hAnsi="Arial"/>
        <w:color w:val="404040"/>
        <w:sz w:val="22"/>
      </w:rPr>
      <w:tcPr>
        <w:tcBorders>
          <w:bottom w:val="single" w:color="FAC090" w:themeColor="accent6" w:themeTint="98" w:sz="12" w:space="0"/>
        </w:tcBorders>
      </w:tcPr>
    </w:tblStylePr>
    <w:tblStylePr w:type="lastCol">
      <w:rPr>
        <w:rFonts w:ascii="Arial" w:hAnsi="Arial"/>
        <w:color w:val="404040"/>
        <w:sz w:val="22"/>
      </w:rPr>
      <w:tcPr>
        <w:tcBorders>
          <w:left w:val="single" w:color="FAC090" w:themeColor="accent6" w:themeTint="98" w:sz="12" w:space="0"/>
        </w:tcBorders>
      </w:tcPr>
    </w:tblStylePr>
    <w:tblStylePr w:type="lastRow">
      <w:rPr>
        <w:rFonts w:ascii="Arial" w:hAnsi="Arial"/>
        <w:color w:val="404040"/>
        <w:sz w:val="22"/>
      </w:rPr>
      <w:tcPr>
        <w:tcBorders>
          <w:top w:val="single" w:color="FAC090" w:themeColor="accent6" w:themeTint="98" w:sz="12" w:space="0"/>
        </w:tcBorders>
      </w:tcPr>
    </w:tblStylePr>
  </w:style>
  <w:style w:type="character" w:styleId="1213" w:customStyle="1">
    <w:name w:val="Footnote Text Char"/>
    <w:link w:val="1255"/>
    <w:uiPriority w:val="99"/>
    <w:rPr>
      <w:sz w:val="18"/>
    </w:rPr>
  </w:style>
  <w:style w:type="paragraph" w:styleId="1214">
    <w:name w:val="endnote text"/>
    <w:basedOn w:val="1052"/>
    <w:link w:val="1215"/>
    <w:uiPriority w:val="99"/>
    <w:semiHidden/>
    <w:unhideWhenUsed/>
    <w:pPr>
      <w:spacing w:after="0" w:line="240" w:lineRule="auto"/>
    </w:pPr>
    <w:rPr>
      <w:sz w:val="20"/>
    </w:rPr>
  </w:style>
  <w:style w:type="character" w:styleId="1215" w:customStyle="1">
    <w:name w:val="Текст концевой сноски Знак"/>
    <w:link w:val="1214"/>
    <w:uiPriority w:val="99"/>
    <w:rPr>
      <w:sz w:val="20"/>
    </w:rPr>
  </w:style>
  <w:style w:type="character" w:styleId="1216">
    <w:name w:val="endnote reference"/>
    <w:basedOn w:val="1053"/>
    <w:uiPriority w:val="99"/>
    <w:semiHidden/>
    <w:unhideWhenUsed/>
    <w:rPr>
      <w:vertAlign w:val="superscript"/>
    </w:rPr>
  </w:style>
  <w:style w:type="paragraph" w:styleId="1217">
    <w:name w:val="toc 3"/>
    <w:basedOn w:val="1052"/>
    <w:next w:val="1052"/>
    <w:uiPriority w:val="39"/>
    <w:unhideWhenUsed/>
    <w:pPr>
      <w:ind w:left="567"/>
      <w:spacing w:after="57"/>
    </w:pPr>
  </w:style>
  <w:style w:type="paragraph" w:styleId="1218">
    <w:name w:val="toc 4"/>
    <w:basedOn w:val="1052"/>
    <w:next w:val="1052"/>
    <w:uiPriority w:val="39"/>
    <w:unhideWhenUsed/>
    <w:pPr>
      <w:ind w:left="850"/>
      <w:spacing w:after="57"/>
    </w:pPr>
  </w:style>
  <w:style w:type="paragraph" w:styleId="1219">
    <w:name w:val="toc 5"/>
    <w:basedOn w:val="1052"/>
    <w:next w:val="1052"/>
    <w:uiPriority w:val="39"/>
    <w:unhideWhenUsed/>
    <w:pPr>
      <w:ind w:left="1134"/>
      <w:spacing w:after="57"/>
    </w:pPr>
  </w:style>
  <w:style w:type="paragraph" w:styleId="1220">
    <w:name w:val="toc 6"/>
    <w:basedOn w:val="1052"/>
    <w:next w:val="1052"/>
    <w:uiPriority w:val="39"/>
    <w:unhideWhenUsed/>
    <w:pPr>
      <w:ind w:left="1417"/>
      <w:spacing w:after="57"/>
    </w:pPr>
  </w:style>
  <w:style w:type="paragraph" w:styleId="1221">
    <w:name w:val="toc 7"/>
    <w:basedOn w:val="1052"/>
    <w:next w:val="1052"/>
    <w:uiPriority w:val="39"/>
    <w:unhideWhenUsed/>
    <w:pPr>
      <w:ind w:left="1701"/>
      <w:spacing w:after="57"/>
    </w:pPr>
  </w:style>
  <w:style w:type="paragraph" w:styleId="1222">
    <w:name w:val="toc 8"/>
    <w:basedOn w:val="1052"/>
    <w:next w:val="1052"/>
    <w:uiPriority w:val="39"/>
    <w:unhideWhenUsed/>
    <w:pPr>
      <w:ind w:left="1984"/>
      <w:spacing w:after="57"/>
    </w:pPr>
  </w:style>
  <w:style w:type="paragraph" w:styleId="1223">
    <w:name w:val="toc 9"/>
    <w:basedOn w:val="1052"/>
    <w:next w:val="1052"/>
    <w:uiPriority w:val="39"/>
    <w:unhideWhenUsed/>
    <w:pPr>
      <w:ind w:left="2268"/>
      <w:spacing w:after="57"/>
    </w:pPr>
  </w:style>
  <w:style w:type="paragraph" w:styleId="1224">
    <w:name w:val="table of figures"/>
    <w:basedOn w:val="1052"/>
    <w:next w:val="1052"/>
    <w:uiPriority w:val="99"/>
    <w:unhideWhenUsed/>
    <w:pPr>
      <w:spacing w:after="0"/>
    </w:pPr>
  </w:style>
  <w:style w:type="paragraph" w:styleId="1225" w:customStyle="1">
    <w:name w:val="Heading 1"/>
    <w:basedOn w:val="1052"/>
    <w:next w:val="1052"/>
    <w:link w:val="1232"/>
    <w:uiPriority w:val="9"/>
    <w:qFormat/>
    <w:pPr>
      <w:keepLines/>
      <w:keepNext/>
      <w:spacing w:before="480" w:after="0"/>
      <w:outlineLvl w:val="0"/>
    </w:pPr>
    <w:rPr>
      <w:rFonts w:ascii="Times New Roman" w:hAnsi="Times New Roman" w:eastAsia="Times New Roman"/>
      <w:b/>
      <w:bCs/>
      <w:sz w:val="28"/>
      <w:szCs w:val="28"/>
    </w:rPr>
  </w:style>
  <w:style w:type="paragraph" w:styleId="1226" w:customStyle="1">
    <w:name w:val="Heading 2"/>
    <w:basedOn w:val="1052"/>
    <w:next w:val="1052"/>
    <w:link w:val="1252"/>
    <w:uiPriority w:val="9"/>
    <w:unhideWhenUsed/>
    <w:qFormat/>
    <w:pPr>
      <w:jc w:val="center"/>
      <w:spacing w:after="0"/>
    </w:pPr>
    <w:rPr>
      <w:rFonts w:ascii="Times New Roman" w:hAnsi="Times New Roman" w:eastAsia="Times New Roman" w:cs="Times New Roman"/>
      <w:color w:val="000000" w:themeColor="text1"/>
      <w:sz w:val="28"/>
      <w:szCs w:val="28"/>
    </w:rPr>
  </w:style>
  <w:style w:type="paragraph" w:styleId="1227">
    <w:name w:val="List Paragraph"/>
    <w:basedOn w:val="1052"/>
    <w:link w:val="1235"/>
    <w:uiPriority w:val="34"/>
    <w:qFormat/>
    <w:pPr>
      <w:contextualSpacing/>
      <w:ind w:left="720"/>
      <w:spacing w:after="0" w:line="240" w:lineRule="auto"/>
    </w:pPr>
    <w:rPr>
      <w:rFonts w:asciiTheme="minorHAnsi" w:hAnsiTheme="minorHAnsi" w:eastAsiaTheme="minorEastAsia"/>
      <w:sz w:val="24"/>
      <w:szCs w:val="24"/>
      <w:lang w:val="en-US" w:bidi="en-US"/>
    </w:rPr>
  </w:style>
  <w:style w:type="paragraph" w:styleId="1228">
    <w:name w:val="HTML Preformatted"/>
    <w:basedOn w:val="1052"/>
    <w:link w:val="1229"/>
    <w:uiPriority w:val="99"/>
    <w:semiHidden/>
    <w:unhideWhenUsed/>
    <w:pPr>
      <w:spacing w:after="0" w:line="240" w:lineRule="auto"/>
      <w:tabs>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pPr>
    <w:rPr>
      <w:rFonts w:ascii="Courier New" w:hAnsi="Courier New" w:eastAsia="Times New Roman" w:cs="Courier New"/>
      <w:sz w:val="20"/>
      <w:szCs w:val="20"/>
      <w:lang w:eastAsia="ru-RU"/>
    </w:rPr>
  </w:style>
  <w:style w:type="character" w:styleId="1229" w:customStyle="1">
    <w:name w:val="Стандартный HTML Знак"/>
    <w:basedOn w:val="1053"/>
    <w:link w:val="1228"/>
    <w:uiPriority w:val="99"/>
    <w:semiHidden/>
    <w:rPr>
      <w:rFonts w:ascii="Courier New" w:hAnsi="Courier New" w:eastAsia="Times New Roman" w:cs="Courier New"/>
      <w:sz w:val="20"/>
      <w:szCs w:val="20"/>
      <w:lang w:eastAsia="ru-RU"/>
    </w:rPr>
  </w:style>
  <w:style w:type="paragraph" w:styleId="1230">
    <w:name w:val="Balloon Text"/>
    <w:basedOn w:val="1052"/>
    <w:link w:val="1231"/>
    <w:uiPriority w:val="99"/>
    <w:semiHidden/>
    <w:unhideWhenUsed/>
    <w:pPr>
      <w:spacing w:after="0" w:line="240" w:lineRule="auto"/>
    </w:pPr>
    <w:rPr>
      <w:rFonts w:ascii="Tahoma" w:hAnsi="Tahoma" w:cs="Tahoma"/>
      <w:sz w:val="16"/>
      <w:szCs w:val="16"/>
    </w:rPr>
  </w:style>
  <w:style w:type="character" w:styleId="1231" w:customStyle="1">
    <w:name w:val="Текст выноски Знак"/>
    <w:basedOn w:val="1053"/>
    <w:link w:val="1230"/>
    <w:uiPriority w:val="99"/>
    <w:semiHidden/>
    <w:rPr>
      <w:rFonts w:ascii="Tahoma" w:hAnsi="Tahoma" w:eastAsia="Calibri" w:cs="Tahoma"/>
      <w:sz w:val="16"/>
      <w:szCs w:val="16"/>
    </w:rPr>
  </w:style>
  <w:style w:type="character" w:styleId="1232" w:customStyle="1">
    <w:name w:val="Заголовок 1 Знак"/>
    <w:basedOn w:val="1053"/>
    <w:link w:val="1225"/>
    <w:uiPriority w:val="9"/>
    <w:rPr>
      <w:rFonts w:ascii="Times New Roman" w:hAnsi="Times New Roman" w:eastAsia="Times New Roman" w:cs="Times New Roman"/>
      <w:b/>
      <w:bCs/>
      <w:sz w:val="28"/>
      <w:szCs w:val="28"/>
    </w:rPr>
  </w:style>
  <w:style w:type="paragraph" w:styleId="1233">
    <w:name w:val="Subtitle"/>
    <w:basedOn w:val="1052"/>
    <w:next w:val="1052"/>
    <w:link w:val="1234"/>
    <w:uiPriority w:val="11"/>
    <w:qFormat/>
    <w:pPr>
      <w:jc w:val="center"/>
      <w:spacing w:after="60"/>
      <w:outlineLvl w:val="1"/>
    </w:pPr>
    <w:rPr>
      <w:rFonts w:ascii="Times New Roman" w:hAnsi="Times New Roman" w:eastAsia="Times New Roman"/>
      <w:b/>
      <w:sz w:val="28"/>
      <w:szCs w:val="24"/>
    </w:rPr>
  </w:style>
  <w:style w:type="character" w:styleId="1234" w:customStyle="1">
    <w:name w:val="Подзаголовок Знак"/>
    <w:basedOn w:val="1053"/>
    <w:link w:val="1233"/>
    <w:uiPriority w:val="11"/>
    <w:rPr>
      <w:rFonts w:ascii="Times New Roman" w:hAnsi="Times New Roman" w:eastAsia="Times New Roman" w:cs="Times New Roman"/>
      <w:b/>
      <w:sz w:val="28"/>
      <w:szCs w:val="24"/>
    </w:rPr>
  </w:style>
  <w:style w:type="character" w:styleId="1235" w:customStyle="1">
    <w:name w:val="Абзац списка Знак"/>
    <w:link w:val="1227"/>
    <w:uiPriority w:val="34"/>
    <w:rPr>
      <w:rFonts w:cs="Times New Roman" w:eastAsiaTheme="minorEastAsia"/>
      <w:sz w:val="24"/>
      <w:szCs w:val="24"/>
      <w:lang w:val="en-US" w:bidi="en-US"/>
    </w:rPr>
  </w:style>
  <w:style w:type="paragraph" w:styleId="1236">
    <w:name w:val="Normal (Web)"/>
    <w:basedOn w:val="1052"/>
    <w:link w:val="1244"/>
    <w:uiPriority w:val="99"/>
    <w:unhideWhenUsed/>
    <w:qFormat/>
    <w:pPr>
      <w:spacing w:before="100" w:beforeAutospacing="1" w:after="100" w:afterAutospacing="1" w:line="240" w:lineRule="auto"/>
    </w:pPr>
    <w:rPr>
      <w:rFonts w:ascii="Times New Roman" w:hAnsi="Times New Roman" w:eastAsia="Times New Roman"/>
      <w:sz w:val="24"/>
      <w:szCs w:val="24"/>
      <w:lang w:eastAsia="ru-RU"/>
    </w:rPr>
  </w:style>
  <w:style w:type="character" w:styleId="1237">
    <w:name w:val="Hyperlink"/>
    <w:basedOn w:val="1053"/>
    <w:link w:val="1249"/>
    <w:uiPriority w:val="99"/>
    <w:unhideWhenUsed/>
    <w:rPr>
      <w:color w:val="0000ff"/>
      <w:u w:val="single"/>
    </w:rPr>
  </w:style>
  <w:style w:type="character" w:styleId="1238">
    <w:name w:val="Strong"/>
    <w:basedOn w:val="1053"/>
    <w:link w:val="1247"/>
    <w:uiPriority w:val="22"/>
    <w:qFormat/>
    <w:rPr>
      <w:b/>
      <w:bCs/>
    </w:rPr>
  </w:style>
  <w:style w:type="paragraph" w:styleId="1239" w:customStyle="1">
    <w:name w:val="Без интервала1"/>
    <w:pPr>
      <w:spacing w:after="0" w:line="240" w:lineRule="auto"/>
    </w:pPr>
    <w:rPr>
      <w:rFonts w:ascii="Calibri" w:hAnsi="Calibri" w:eastAsia="Times New Roman" w:cs="Times New Roman"/>
    </w:rPr>
  </w:style>
  <w:style w:type="character" w:styleId="1240" w:customStyle="1">
    <w:name w:val="Основной текст (2)_"/>
    <w:basedOn w:val="1053"/>
    <w:link w:val="1241"/>
    <w:rPr>
      <w:rFonts w:ascii="Sylfaen" w:hAnsi="Sylfaen" w:eastAsia="Sylfaen" w:cs="Sylfaen"/>
      <w:sz w:val="26"/>
      <w:szCs w:val="26"/>
      <w:shd w:val="clear" w:color="auto" w:fill="ffffff"/>
    </w:rPr>
  </w:style>
  <w:style w:type="paragraph" w:styleId="1241" w:customStyle="1">
    <w:name w:val="Основной текст (2)"/>
    <w:basedOn w:val="1052"/>
    <w:link w:val="1240"/>
    <w:pPr>
      <w:jc w:val="both"/>
      <w:spacing w:after="0" w:line="365" w:lineRule="exact"/>
      <w:shd w:val="clear" w:color="auto" w:fill="ffffff"/>
      <w:widowControl w:val="off"/>
    </w:pPr>
    <w:rPr>
      <w:rFonts w:ascii="Sylfaen" w:hAnsi="Sylfaen" w:eastAsia="Sylfaen" w:cs="Sylfaen"/>
      <w:sz w:val="26"/>
      <w:szCs w:val="26"/>
    </w:rPr>
  </w:style>
  <w:style w:type="character" w:styleId="1242" w:customStyle="1">
    <w:name w:val="Основной текст (5)_"/>
    <w:link w:val="1243"/>
    <w:rPr>
      <w:rFonts w:ascii="Times New Roman" w:hAnsi="Times New Roman" w:eastAsia="Times New Roman"/>
      <w:sz w:val="38"/>
      <w:szCs w:val="38"/>
      <w:shd w:val="clear" w:color="auto" w:fill="ffffff"/>
    </w:rPr>
  </w:style>
  <w:style w:type="paragraph" w:styleId="1243" w:customStyle="1">
    <w:name w:val="Основной текст (5)"/>
    <w:basedOn w:val="1052"/>
    <w:link w:val="1242"/>
    <w:pPr>
      <w:jc w:val="both"/>
      <w:spacing w:after="0" w:line="443" w:lineRule="exact"/>
      <w:shd w:val="clear" w:color="auto" w:fill="ffffff"/>
      <w:widowControl w:val="off"/>
    </w:pPr>
    <w:rPr>
      <w:rFonts w:ascii="Times New Roman" w:hAnsi="Times New Roman" w:eastAsia="Times New Roman" w:cstheme="minorBidi"/>
      <w:sz w:val="38"/>
      <w:szCs w:val="38"/>
    </w:rPr>
  </w:style>
  <w:style w:type="character" w:styleId="1244" w:customStyle="1">
    <w:name w:val="Обычный (веб) Знак"/>
    <w:basedOn w:val="1053"/>
    <w:link w:val="1236"/>
    <w:rPr>
      <w:rFonts w:ascii="Times New Roman" w:hAnsi="Times New Roman" w:eastAsia="Times New Roman" w:cs="Times New Roman"/>
      <w:sz w:val="24"/>
      <w:szCs w:val="24"/>
      <w:lang w:eastAsia="ru-RU"/>
    </w:rPr>
  </w:style>
  <w:style w:type="paragraph" w:styleId="1245" w:customStyle="1">
    <w:name w:val="vkitposttext__root--jrdml"/>
    <w:basedOn w:val="1052"/>
    <w:rPr>
      <w:rFonts w:eastAsia="Times New Roman" w:asciiTheme="minorHAnsi" w:hAnsiTheme="minorHAnsi"/>
      <w:color w:val="000000"/>
      <w:szCs w:val="20"/>
      <w:lang w:eastAsia="ru-RU"/>
    </w:rPr>
  </w:style>
  <w:style w:type="paragraph" w:styleId="1246" w:customStyle="1">
    <w:name w:val="richfactdown-paragraph"/>
    <w:basedOn w:val="1052"/>
    <w:pPr>
      <w:spacing w:beforeAutospacing="1" w:afterAutospacing="1" w:line="240" w:lineRule="auto"/>
    </w:pPr>
    <w:rPr>
      <w:rFonts w:ascii="Times New Roman" w:hAnsi="Times New Roman" w:eastAsia="Times New Roman"/>
      <w:color w:val="000000"/>
      <w:sz w:val="24"/>
      <w:szCs w:val="20"/>
      <w:lang w:eastAsia="ru-RU"/>
    </w:rPr>
  </w:style>
  <w:style w:type="paragraph" w:styleId="1247" w:customStyle="1">
    <w:name w:val="Строгий1"/>
    <w:basedOn w:val="1052"/>
    <w:link w:val="1238"/>
    <w:rPr>
      <w:rFonts w:asciiTheme="minorHAnsi" w:hAnsiTheme="minorHAnsi" w:eastAsiaTheme="minorHAnsi" w:cstheme="minorBidi"/>
      <w:b/>
      <w:bCs/>
    </w:rPr>
  </w:style>
  <w:style w:type="paragraph" w:styleId="1248" w:customStyle="1">
    <w:name w:val="organictextcontentspan"/>
    <w:basedOn w:val="1052"/>
    <w:rPr>
      <w:rFonts w:eastAsia="Times New Roman" w:asciiTheme="minorHAnsi" w:hAnsiTheme="minorHAnsi"/>
      <w:color w:val="000000"/>
      <w:szCs w:val="20"/>
      <w:lang w:eastAsia="ru-RU"/>
    </w:rPr>
  </w:style>
  <w:style w:type="paragraph" w:styleId="1249" w:customStyle="1">
    <w:name w:val="Гиперссылка1"/>
    <w:basedOn w:val="1052"/>
    <w:link w:val="1237"/>
    <w:rPr>
      <w:rFonts w:asciiTheme="minorHAnsi" w:hAnsiTheme="minorHAnsi" w:eastAsiaTheme="minorHAnsi" w:cstheme="minorBidi"/>
      <w:color w:val="0000ff"/>
      <w:u w:val="single"/>
    </w:rPr>
  </w:style>
  <w:style w:type="paragraph" w:styleId="1250">
    <w:name w:val="Normal Indent"/>
    <w:basedOn w:val="1052"/>
    <w:link w:val="1251"/>
    <w:pPr>
      <w:ind w:left="708" w:firstLine="480"/>
      <w:jc w:val="both"/>
      <w:spacing w:before="200" w:after="0"/>
      <w:widowControl w:val="off"/>
    </w:pPr>
    <w:rPr>
      <w:rFonts w:ascii="Times New Roman" w:hAnsi="Times New Roman" w:eastAsia="Times New Roman"/>
      <w:color w:val="000000"/>
      <w:sz w:val="20"/>
      <w:szCs w:val="20"/>
      <w:lang w:eastAsia="ru-RU"/>
    </w:rPr>
  </w:style>
  <w:style w:type="character" w:styleId="1251" w:customStyle="1">
    <w:name w:val="Обычный отступ Знак"/>
    <w:basedOn w:val="1053"/>
    <w:link w:val="1250"/>
    <w:rPr>
      <w:rFonts w:ascii="Times New Roman" w:hAnsi="Times New Roman" w:eastAsia="Times New Roman" w:cs="Times New Roman"/>
      <w:color w:val="000000"/>
      <w:sz w:val="20"/>
      <w:szCs w:val="20"/>
      <w:lang w:eastAsia="ru-RU"/>
    </w:rPr>
  </w:style>
  <w:style w:type="character" w:styleId="1252" w:customStyle="1">
    <w:name w:val="Заголовок 2 Знак"/>
    <w:basedOn w:val="1053"/>
    <w:link w:val="1226"/>
    <w:uiPriority w:val="9"/>
    <w:rPr>
      <w:rFonts w:ascii="Times New Roman" w:hAnsi="Times New Roman" w:eastAsia="Times New Roman" w:cs="Times New Roman"/>
      <w:b/>
      <w:bCs/>
      <w:color w:val="4f81bd" w:themeColor="text1"/>
      <w:sz w:val="28"/>
      <w:szCs w:val="28"/>
    </w:rPr>
  </w:style>
  <w:style w:type="paragraph" w:styleId="1253">
    <w:name w:val="No Spacing"/>
    <w:link w:val="1254"/>
    <w:uiPriority w:val="1"/>
    <w:qFormat/>
    <w:pPr>
      <w:spacing w:after="0" w:line="240" w:lineRule="auto"/>
    </w:pPr>
    <w:rPr>
      <w:rFonts w:ascii="Times New Roman" w:hAnsi="Times New Roman" w:eastAsia="Times New Roman" w:cs="Times New Roman"/>
      <w:sz w:val="20"/>
      <w:szCs w:val="20"/>
      <w:lang w:eastAsia="ru-RU"/>
    </w:rPr>
  </w:style>
  <w:style w:type="character" w:styleId="1254" w:customStyle="1">
    <w:name w:val="Без интервала Знак"/>
    <w:link w:val="1253"/>
    <w:uiPriority w:val="1"/>
    <w:rPr>
      <w:rFonts w:ascii="Times New Roman" w:hAnsi="Times New Roman" w:eastAsia="Times New Roman" w:cs="Times New Roman"/>
      <w:sz w:val="20"/>
      <w:szCs w:val="20"/>
      <w:lang w:eastAsia="ru-RU"/>
    </w:rPr>
  </w:style>
  <w:style w:type="paragraph" w:styleId="1255">
    <w:name w:val="footnote text"/>
    <w:basedOn w:val="1052"/>
    <w:link w:val="1256"/>
    <w:uiPriority w:val="99"/>
    <w:unhideWhenUsed/>
    <w:qFormat/>
    <w:pPr>
      <w:spacing w:after="0" w:line="240" w:lineRule="auto"/>
    </w:pPr>
    <w:rPr>
      <w:rFonts w:asciiTheme="minorHAnsi" w:hAnsiTheme="minorHAnsi" w:eastAsiaTheme="minorHAnsi" w:cstheme="minorBidi"/>
      <w:sz w:val="20"/>
      <w:szCs w:val="20"/>
    </w:rPr>
  </w:style>
  <w:style w:type="character" w:styleId="1256" w:customStyle="1">
    <w:name w:val="Текст сноски Знак"/>
    <w:basedOn w:val="1053"/>
    <w:link w:val="1255"/>
    <w:uiPriority w:val="99"/>
    <w:rPr>
      <w:sz w:val="20"/>
      <w:szCs w:val="20"/>
    </w:rPr>
  </w:style>
  <w:style w:type="character" w:styleId="1257">
    <w:name w:val="footnote reference"/>
    <w:basedOn w:val="1053"/>
    <w:uiPriority w:val="99"/>
    <w:semiHidden/>
    <w:unhideWhenUsed/>
    <w:rPr>
      <w:vertAlign w:val="superscript"/>
    </w:rPr>
  </w:style>
  <w:style w:type="paragraph" w:styleId="1258">
    <w:name w:val="TOC Heading"/>
    <w:basedOn w:val="1225"/>
    <w:next w:val="1052"/>
    <w:uiPriority w:val="39"/>
    <w:unhideWhenUsed/>
    <w:qFormat/>
    <w:pPr>
      <w:outlineLvl w:val="9"/>
    </w:pPr>
    <w:rPr>
      <w:rFonts w:asciiTheme="majorHAnsi" w:hAnsiTheme="majorHAnsi" w:eastAsiaTheme="majorEastAsia" w:cstheme="majorBidi"/>
      <w:color w:val="365f91" w:themeColor="accent1" w:themeShade="BF"/>
      <w:lang w:eastAsia="ru-RU"/>
    </w:rPr>
  </w:style>
  <w:style w:type="paragraph" w:styleId="1259">
    <w:name w:val="toc 1"/>
    <w:basedOn w:val="1052"/>
    <w:next w:val="1052"/>
    <w:uiPriority w:val="39"/>
    <w:unhideWhenUsed/>
    <w:pPr>
      <w:spacing w:after="100"/>
    </w:pPr>
  </w:style>
  <w:style w:type="paragraph" w:styleId="1260">
    <w:name w:val="toc 2"/>
    <w:basedOn w:val="1052"/>
    <w:next w:val="1052"/>
    <w:uiPriority w:val="39"/>
    <w:unhideWhenUsed/>
    <w:pPr>
      <w:ind w:left="220"/>
      <w:spacing w:after="100"/>
    </w:pPr>
  </w:style>
  <w:style w:type="paragraph" w:styleId="1261" w:customStyle="1">
    <w:name w:val="Header"/>
    <w:basedOn w:val="1052"/>
    <w:link w:val="1262"/>
    <w:uiPriority w:val="99"/>
    <w:semiHidden/>
    <w:unhideWhenUsed/>
    <w:pPr>
      <w:spacing w:after="0" w:line="240" w:lineRule="auto"/>
      <w:tabs>
        <w:tab w:val="center" w:pos="4677" w:leader="none"/>
        <w:tab w:val="right" w:pos="9355" w:leader="none"/>
      </w:tabs>
    </w:pPr>
  </w:style>
  <w:style w:type="character" w:styleId="1262" w:customStyle="1">
    <w:name w:val="Верхний колонтитул Знак"/>
    <w:basedOn w:val="1053"/>
    <w:link w:val="1261"/>
    <w:uiPriority w:val="99"/>
    <w:semiHidden/>
    <w:rPr>
      <w:rFonts w:ascii="Calibri" w:hAnsi="Calibri" w:eastAsia="Calibri" w:cs="Times New Roman"/>
    </w:rPr>
  </w:style>
  <w:style w:type="paragraph" w:styleId="1263" w:customStyle="1">
    <w:name w:val="Footer"/>
    <w:basedOn w:val="1052"/>
    <w:link w:val="1264"/>
    <w:uiPriority w:val="99"/>
    <w:unhideWhenUsed/>
    <w:pPr>
      <w:spacing w:after="0" w:line="240" w:lineRule="auto"/>
      <w:tabs>
        <w:tab w:val="center" w:pos="4677" w:leader="none"/>
        <w:tab w:val="right" w:pos="9355" w:leader="none"/>
      </w:tabs>
    </w:pPr>
  </w:style>
  <w:style w:type="character" w:styleId="1264" w:customStyle="1">
    <w:name w:val="Нижний колонтитул Знак"/>
    <w:basedOn w:val="1053"/>
    <w:link w:val="1263"/>
    <w:uiPriority w:val="99"/>
    <w:rPr>
      <w:rFonts w:ascii="Calibri" w:hAnsi="Calibri" w:eastAsia="Calibri" w:cs="Times New Roman"/>
    </w:rPr>
  </w:style>
  <w:style w:type="table" w:styleId="1265">
    <w:name w:val="Table Grid"/>
    <w:basedOn w:val="1054"/>
    <w:uiPriority w:val="59"/>
    <w:pPr>
      <w:spacing w:after="0" w:line="240" w:lineRule="auto"/>
    </w:pPr>
    <w:tblP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left w:w="108" w:type="dxa"/>
        <w:top w:w="0" w:type="dxa"/>
        <w:right w:w="108" w:type="dxa"/>
        <w:bottom w:w="0" w:type="dxa"/>
      </w:tblCellMar>
    </w:tblPr>
  </w:style>
  <w:style w:type="character" w:styleId="1266" w:customStyle="1">
    <w:name w:val="Заголовок 1 Знак1"/>
    <w:basedOn w:val="1053"/>
    <w:link w:val="1060"/>
    <w:uiPriority w:val="9"/>
    <w:rPr>
      <w:rFonts w:asciiTheme="majorHAnsi" w:hAnsiTheme="majorHAnsi" w:eastAsiaTheme="majorEastAsia" w:cstheme="majorBidi"/>
      <w:b/>
      <w:bCs/>
      <w:color w:val="365f91" w:themeColor="accent1" w:themeShade="BF"/>
      <w:sz w:val="28"/>
      <w:szCs w:val="28"/>
    </w:rPr>
  </w:style>
  <w:style w:type="paragraph" w:styleId="1267" w:customStyle="1">
    <w:name w:val="docdata"/>
    <w:basedOn w:val="1052"/>
    <w:pPr>
      <w:spacing w:before="100" w:beforeAutospacing="1" w:after="100" w:afterAutospacing="1" w:line="240" w:lineRule="auto"/>
    </w:pPr>
    <w:rPr>
      <w:rFonts w:ascii="Times New Roman" w:hAnsi="Times New Roman" w:eastAsia="Times New Roman"/>
      <w:sz w:val="24"/>
      <w:szCs w:val="24"/>
      <w:lang w:eastAsia="ru-RU"/>
    </w:rPr>
  </w:style>
</w:styles>
</file>

<file path=word/webSettings.xml><?xml version="1.0" encoding="utf-8"?>
<w:webSettings xmlns:w="http://schemas.openxmlformats.org/wordprocessingml/2006/main">
  <w:optimizeForBrowser/>
</w:webSettings>
</file>

<file path=word/_rels/comments.xml.rels><?xml version="1.0" encoding="UTF-8" standalone="yes"?><Relationships xmlns="http://schemas.openxmlformats.org/package/2006/relationships"></Relationships>
</file>

<file path=word/_rels/document.xml.rels><?xml version="1.0" encoding="UTF-8" standalone="yes"?><Relationships xmlns="http://schemas.openxmlformats.org/package/2006/relationships"><Relationship Id="rId1" Type="http://schemas.openxmlformats.org/officeDocument/2006/relationships/styles" Target="styles.xml" /><Relationship Id="rId2" Type="http://schemas.openxmlformats.org/officeDocument/2006/relationships/settings" Target="settings.xml" /><Relationship Id="rId3" Type="http://schemas.openxmlformats.org/officeDocument/2006/relationships/webSettings" Target="webSettings.xml" /><Relationship Id="rId4" Type="http://schemas.openxmlformats.org/officeDocument/2006/relationships/fontTable" Target="fontTable.xml" /><Relationship Id="rId5" Type="http://schemas.openxmlformats.org/officeDocument/2006/relationships/theme" Target="theme/theme1.xml" /><Relationship Id="rId6" Type="http://schemas.openxmlformats.org/officeDocument/2006/relationships/numbering" Target="numbering.xml" /><Relationship Id="rId7" Type="http://schemas.openxmlformats.org/officeDocument/2006/relationships/footnotes" Target="footnotes.xml" /><Relationship Id="rId8" Type="http://schemas.openxmlformats.org/officeDocument/2006/relationships/endnotes" Target="endnotes.xml" /><Relationship Id="rId9" Type="http://schemas.openxmlformats.org/officeDocument/2006/relationships/footer" Target="footer1.xml" /><Relationship Id="rId10" Type="http://schemas.openxmlformats.org/officeDocument/2006/relationships/customXml" Target="../customXml/item1.xml" /><Relationship Id="rId11" Type="http://schemas.openxmlformats.org/officeDocument/2006/relationships/image" Target="media/image1.jpg"/><Relationship Id="rId12" Type="http://schemas.openxmlformats.org/officeDocument/2006/relationships/image" Target="media/image2.jpg"/><Relationship Id="rId13" Type="http://schemas.openxmlformats.org/officeDocument/2006/relationships/image" Target="media/image3.jpg"/><Relationship Id="rId14" Type="http://schemas.openxmlformats.org/officeDocument/2006/relationships/image" Target="media/image4.jpg"/><Relationship Id="rId15" Type="http://schemas.openxmlformats.org/officeDocument/2006/relationships/image" Target="media/image5.jpg"/><Relationship Id="rId16" Type="http://schemas.openxmlformats.org/officeDocument/2006/relationships/image" Target="media/image6.jpg"/><Relationship Id="rId17" Type="http://schemas.openxmlformats.org/officeDocument/2006/relationships/image" Target="media/image7.jpg"/><Relationship Id="rId18" Type="http://schemas.openxmlformats.org/officeDocument/2006/relationships/image" Target="media/image8.jpg"/><Relationship Id="rId19" Type="http://schemas.openxmlformats.org/officeDocument/2006/relationships/image" Target="media/image9.jpg"/><Relationship Id="rId20" Type="http://schemas.openxmlformats.org/officeDocument/2006/relationships/image" Target="media/image10.jpg"/><Relationship Id="rId21" Type="http://schemas.openxmlformats.org/officeDocument/2006/relationships/image" Target="media/image11.jpg"/><Relationship Id="rId22" Type="http://schemas.openxmlformats.org/officeDocument/2006/relationships/chart" Target="charts/chart1.xml" /><Relationship Id="rId23" Type="http://schemas.openxmlformats.org/officeDocument/2006/relationships/diagramData" Target="diagrams/data1.xml" /><Relationship Id="rId24" Type="http://schemas.microsoft.com/office/2007/relationships/diagramDrawing" Target="diagrams/drawing1.xml" /><Relationship Id="rId25" Type="http://schemas.openxmlformats.org/officeDocument/2006/relationships/diagramColors" Target="diagrams/colors1.xml" /><Relationship Id="rId26" Type="http://schemas.openxmlformats.org/officeDocument/2006/relationships/diagramLayout" Target="diagrams/layout1.xml" /><Relationship Id="rId27" Type="http://schemas.openxmlformats.org/officeDocument/2006/relationships/diagramQuickStyle" Target="diagrams/quickStyle1.xml" /><Relationship Id="rId28" Type="http://schemas.openxmlformats.org/officeDocument/2006/relationships/chart" Target="charts/chart2.xml" /><Relationship Id="rId29" Type="http://schemas.openxmlformats.org/officeDocument/2006/relationships/chart" Target="charts/chart3.xml" /><Relationship Id="rId30" Type="http://schemas.openxmlformats.org/officeDocument/2006/relationships/chart" Target="charts/chart4.xml" /><Relationship Id="rId31" Type="http://schemas.openxmlformats.org/officeDocument/2006/relationships/chart" Target="charts/chart5.xml" /><Relationship Id="rId32" Type="http://schemas.openxmlformats.org/officeDocument/2006/relationships/chart" Target="charts/chart6.xml" /><Relationship Id="rId33" Type="http://schemas.openxmlformats.org/officeDocument/2006/relationships/chart" Target="charts/chart7.xml" /><Relationship Id="rId34" Type="http://schemas.openxmlformats.org/officeDocument/2006/relationships/image" Target="media/image12.jpg"/><Relationship Id="rId35" Type="http://schemas.openxmlformats.org/officeDocument/2006/relationships/chart" Target="charts/chart8.xml" /><Relationship Id="rId36" Type="http://schemas.openxmlformats.org/officeDocument/2006/relationships/image" Target="media/image13.jpg"/><Relationship Id="rId37" Type="http://schemas.openxmlformats.org/officeDocument/2006/relationships/image" Target="media/image14.jpg"/><Relationship Id="rId38" Type="http://schemas.openxmlformats.org/officeDocument/2006/relationships/chart" Target="charts/chart9.xml" /><Relationship Id="rId39" Type="http://schemas.openxmlformats.org/officeDocument/2006/relationships/image" Target="media/image15.jpg"/><Relationship Id="rId40" Type="http://schemas.openxmlformats.org/officeDocument/2006/relationships/image" Target="media/image16.jpg"/><Relationship Id="rId41" Type="http://schemas.openxmlformats.org/officeDocument/2006/relationships/image" Target="media/image17.jpg"/><Relationship Id="rId42" Type="http://schemas.openxmlformats.org/officeDocument/2006/relationships/chart" Target="charts/chart10.xml" /><Relationship Id="rId43" Type="http://schemas.openxmlformats.org/officeDocument/2006/relationships/chart" Target="charts/chart11.xml" /><Relationship Id="rId44" Type="http://schemas.openxmlformats.org/officeDocument/2006/relationships/chart" Target="charts/chart12.xml" /><Relationship Id="rId45" Type="http://schemas.openxmlformats.org/officeDocument/2006/relationships/chart" Target="charts/chart13.xml" /><Relationship Id="rId46" Type="http://schemas.openxmlformats.org/officeDocument/2006/relationships/chart" Target="charts/chart14.xml" /><Relationship Id="rId47" Type="http://schemas.openxmlformats.org/officeDocument/2006/relationships/chart" Target="charts/chart15.xml" /><Relationship Id="rId48" Type="http://schemas.openxmlformats.org/officeDocument/2006/relationships/image" Target="media/image18.jpg"/><Relationship Id="rId49" Type="http://schemas.openxmlformats.org/officeDocument/2006/relationships/image" Target="media/image19.jpg"/><Relationship Id="rId50" Type="http://schemas.openxmlformats.org/officeDocument/2006/relationships/image" Target="media/image20.jpg"/><Relationship Id="rId51" Type="http://schemas.openxmlformats.org/officeDocument/2006/relationships/image" Target="media/image21.png"/></Relationships>
</file>

<file path=word/_rels/endnotes.xml.rels><?xml version="1.0" encoding="UTF-8" standalone="yes"?><Relationships xmlns="http://schemas.openxmlformats.org/package/2006/relationships"></Relationships>
</file>

<file path=word/_rels/footer1.xml.rels><?xml version="1.0" encoding="UTF-8" standalone="yes"?><Relationships xmlns="http://schemas.openxmlformats.org/package/2006/relationships"></Relationships>
</file>

<file path=word/_rels/footnotes.xml.rels><?xml version="1.0" encoding="UTF-8" standalone="yes"?><Relationships xmlns="http://schemas.openxmlformats.org/package/2006/relationships"></Relationships>
</file>

<file path=word/charts/_rels/chart1.xml.rels><?xml version="1.0" encoding="UTF-8" standalone="yes"?><Relationships xmlns="http://schemas.openxmlformats.org/package/2006/relationships"><Relationship Id="rId1" Type="http://schemas.openxmlformats.org/officeDocument/2006/relationships/package" Target="../embeddings/Microsoft_Excel_Worksheet1.xlsx" /></Relationships>
</file>

<file path=word/charts/_rels/chart10.xml.rels><?xml version="1.0" encoding="UTF-8" standalone="yes"?><Relationships xmlns="http://schemas.openxmlformats.org/package/2006/relationships"><Relationship Id="rId1" Type="http://schemas.openxmlformats.org/officeDocument/2006/relationships/package" Target="../embeddings/Microsoft_Excel_Worksheet10.xlsx" /></Relationships>
</file>

<file path=word/charts/_rels/chart11.xml.rels><?xml version="1.0" encoding="UTF-8" standalone="yes"?><Relationships xmlns="http://schemas.openxmlformats.org/package/2006/relationships"><Relationship Id="rId1" Type="http://schemas.openxmlformats.org/officeDocument/2006/relationships/package" Target="../embeddings/Microsoft_Excel_Worksheet11.xlsx" /></Relationships>
</file>

<file path=word/charts/_rels/chart12.xml.rels><?xml version="1.0" encoding="UTF-8" standalone="yes"?><Relationships xmlns="http://schemas.openxmlformats.org/package/2006/relationships"><Relationship Id="rId1" Type="http://schemas.openxmlformats.org/officeDocument/2006/relationships/package" Target="../embeddings/Microsoft_Excel_Worksheet12.xlsx" /></Relationships>
</file>

<file path=word/charts/_rels/chart13.xml.rels><?xml version="1.0" encoding="UTF-8" standalone="yes"?><Relationships xmlns="http://schemas.openxmlformats.org/package/2006/relationships"><Relationship Id="rId1" Type="http://schemas.openxmlformats.org/officeDocument/2006/relationships/package" Target="../embeddings/Microsoft_Excel_Worksheet13.xlsx" /></Relationships>
</file>

<file path=word/charts/_rels/chart14.xml.rels><?xml version="1.0" encoding="UTF-8" standalone="yes"?><Relationships xmlns="http://schemas.openxmlformats.org/package/2006/relationships"><Relationship Id="rId1" Type="http://schemas.openxmlformats.org/officeDocument/2006/relationships/package" Target="../embeddings/Microsoft_Excel_Worksheet14.xlsx" /></Relationships>
</file>

<file path=word/charts/_rels/chart15.xml.rels><?xml version="1.0" encoding="UTF-8" standalone="yes"?><Relationships xmlns="http://schemas.openxmlformats.org/package/2006/relationships"><Relationship Id="rId1" Type="http://schemas.openxmlformats.org/officeDocument/2006/relationships/package" Target="../embeddings/Microsoft_Excel_Worksheet15.xlsx" /></Relationships>
</file>

<file path=word/charts/_rels/chart2.xml.rels><?xml version="1.0" encoding="UTF-8" standalone="yes"?><Relationships xmlns="http://schemas.openxmlformats.org/package/2006/relationships"><Relationship Id="rId1" Type="http://schemas.openxmlformats.org/officeDocument/2006/relationships/package" Target="../embeddings/Microsoft_Excel_Worksheet2.xlsx" /></Relationships>
</file>

<file path=word/charts/_rels/chart3.xml.rels><?xml version="1.0" encoding="UTF-8" standalone="yes"?><Relationships xmlns="http://schemas.openxmlformats.org/package/2006/relationships"><Relationship Id="rId1" Type="http://schemas.openxmlformats.org/officeDocument/2006/relationships/package" Target="../embeddings/Microsoft_Excel_Worksheet3.xlsx" /></Relationships>
</file>

<file path=word/charts/_rels/chart4.xml.rels><?xml version="1.0" encoding="UTF-8" standalone="yes"?><Relationships xmlns="http://schemas.openxmlformats.org/package/2006/relationships"><Relationship Id="rId1" Type="http://schemas.openxmlformats.org/officeDocument/2006/relationships/package" Target="../embeddings/Microsoft_Excel_Worksheet4.xlsx" /></Relationships>
</file>

<file path=word/charts/_rels/chart5.xml.rels><?xml version="1.0" encoding="UTF-8" standalone="yes"?><Relationships xmlns="http://schemas.openxmlformats.org/package/2006/relationships"><Relationship Id="rId1" Type="http://schemas.openxmlformats.org/officeDocument/2006/relationships/package" Target="../embeddings/Microsoft_Excel_Worksheet5.xlsx" /></Relationships>
</file>

<file path=word/charts/_rels/chart6.xml.rels><?xml version="1.0" encoding="UTF-8" standalone="yes"?><Relationships xmlns="http://schemas.openxmlformats.org/package/2006/relationships"><Relationship Id="rId1" Type="http://schemas.openxmlformats.org/officeDocument/2006/relationships/package" Target="../embeddings/Microsoft_Excel_Worksheet6.xlsx" /></Relationships>
</file>

<file path=word/charts/_rels/chart7.xml.rels><?xml version="1.0" encoding="UTF-8" standalone="yes"?><Relationships xmlns="http://schemas.openxmlformats.org/package/2006/relationships"><Relationship Id="rId1" Type="http://schemas.openxmlformats.org/officeDocument/2006/relationships/package" Target="../embeddings/Microsoft_Excel_Worksheet7.xlsx" /></Relationships>
</file>

<file path=word/charts/_rels/chart8.xml.rels><?xml version="1.0" encoding="UTF-8" standalone="yes"?><Relationships xmlns="http://schemas.openxmlformats.org/package/2006/relationships"><Relationship Id="rId1" Type="http://schemas.openxmlformats.org/officeDocument/2006/relationships/package" Target="../embeddings/Microsoft_Excel_Worksheet8.xlsx" /></Relationships>
</file>

<file path=word/charts/_rels/chart9.xml.rels><?xml version="1.0" encoding="UTF-8" standalone="yes"?><Relationships xmlns="http://schemas.openxmlformats.org/package/2006/relationships"><Relationship Id="rId1" Type="http://schemas.openxmlformats.org/officeDocument/2006/relationships/package" Target="../embeddings/Microsoft_Excel_Worksheet9.xlsx" /></Relationships>
</file>

<file path=word/charts/chart1.xml><?xml version="1.0" encoding="utf-8"?>
<c:chartSpace xmlns:c="http://schemas.openxmlformats.org/drawingml/2006/chart" xmlns:a="http://schemas.openxmlformats.org/drawingml/2006/main" xmlns:r="http://schemas.openxmlformats.org/officeDocument/2006/relationships" xmlns:mc="http://schemas.openxmlformats.org/markup-compatibility/2006" xmlns:c15="http://schemas.microsoft.com/office/drawing/2012/chart" xmlns:c14="http://schemas.microsoft.com/office/drawing/2007/8/2/chart" xmlns:c16r2="http://schemas.microsoft.com/office/drawing/2015/06/chart">
  <c:date1904 val="1"/>
  <c:lang val="ru-RU"/>
  <c:roundedCorners val="0"/>
  <mc:AlternateContent>
    <mc:Choice Requires="c14">
      <c14:style val="102"/>
    </mc:Choice>
    <mc:Fallback>
      <c:style val="2"/>
    </mc:Fallback>
  </mc:AlternateContent>
  <c:chart>
    <c:plotArea>
      <c:layout/>
      <c:lineChart>
        <c:grouping val="standard"/>
        <c:varyColors val="0"/>
        <c:ser>
          <c:idx val="1"/>
          <c:order val="0"/>
          <c:dLbls>
            <c:dLbl>
              <c:idx val="1"/>
              <c:layout>
                <c:manualLayout>
                  <c:x val="-0.008552"/>
                  <c:y val="-0.022515"/>
                </c:manualLayout>
              </c:layout>
              <c:showBubbleSize val="0"/>
              <c:showCatName val="0"/>
              <c:showLegendKey val="0"/>
              <c:showPercent val="0"/>
              <c:showSerName val="0"/>
              <c:showVal val="1"/>
            </c:dLbl>
            <c:dLbl>
              <c:idx val="3"/>
              <c:layout>
                <c:manualLayout>
                  <c:x val="-0.006414"/>
                  <c:y val="-0.027018"/>
                </c:manualLayout>
              </c:layout>
              <c:showBubbleSize val="0"/>
              <c:showCatName val="0"/>
              <c:showLegendKey val="0"/>
              <c:showPercent val="0"/>
              <c:showSerName val="0"/>
              <c:showVal val="1"/>
            </c:dLbl>
            <c:dLbl>
              <c:idx val="12"/>
              <c:layout>
                <c:manualLayout>
                  <c:x val="0.000000"/>
                  <c:y val="0.027027"/>
                </c:manualLayout>
              </c:layout>
              <c:showBubbleSize val="0"/>
              <c:showCatName val="0"/>
              <c:showLegendKey val="0"/>
              <c:showPercent val="0"/>
              <c:showSerName val="0"/>
              <c:showVal val="1"/>
            </c:dLbl>
            <c:dLbl>
              <c:idx val="13"/>
              <c:layout>
                <c:manualLayout>
                  <c:x val="-0.012618"/>
                  <c:y val="-0.031532"/>
                </c:manualLayout>
              </c:layout>
              <c:showBubbleSize val="0"/>
              <c:showCatName val="0"/>
              <c:showLegendKey val="0"/>
              <c:showPercent val="0"/>
              <c:showSerName val="0"/>
              <c:showVal val="1"/>
            </c:dLbl>
            <c:dLbl>
              <c:idx val="14"/>
              <c:layout>
                <c:manualLayout>
                  <c:x val="0.000000"/>
                  <c:y val="-0.022520"/>
                </c:manualLayout>
              </c:layout>
              <c:showBubbleSize val="0"/>
              <c:showCatName val="0"/>
              <c:showLegendKey val="0"/>
              <c:showPercent val="0"/>
              <c:showSerName val="0"/>
              <c:showVal val="1"/>
            </c:dLbl>
            <c:showBubbleSize val="0"/>
            <c:showCatName val="0"/>
            <c:showLeaderLines val="0"/>
            <c:showLegendKey val="0"/>
            <c:showPercent val="0"/>
            <c:showSerName val="0"/>
            <c:showVal val="1"/>
            <c:txPr>
              <a:bodyPr/>
              <a:lstStyle/>
              <a:p>
                <a:pPr>
                  <a:defRPr b="1"/>
                </a:pPr>
                <a:endParaRPr lang="ru-RU"/>
              </a:p>
            </c:txPr>
          </c:dLbls>
          <c:cat>
            <c:numRef>
              <c:f>ВСЕГО!$C$8:$Q$8</c:f>
              <c:numCache>
                <c:formatCode>General</c:formatCode>
                <c:ptCount val="15"/>
                <c:pt idx="0">
                  <c:v>2011</c:v>
                </c:pt>
                <c:pt idx="1">
                  <c:v>2012</c:v>
                </c:pt>
                <c:pt idx="2">
                  <c:v>2013</c:v>
                </c:pt>
                <c:pt idx="3">
                  <c:v>2014</c:v>
                </c:pt>
                <c:pt idx="4">
                  <c:v>2015</c:v>
                </c:pt>
                <c:pt idx="5">
                  <c:v>2016</c:v>
                </c:pt>
                <c:pt idx="6">
                  <c:v>2017</c:v>
                </c:pt>
                <c:pt idx="7">
                  <c:v>2018</c:v>
                </c:pt>
                <c:pt idx="8">
                  <c:v>2019</c:v>
                </c:pt>
                <c:pt idx="9">
                  <c:v>2020</c:v>
                </c:pt>
                <c:pt idx="10">
                  <c:v>2021</c:v>
                </c:pt>
                <c:pt idx="11">
                  <c:v>2022</c:v>
                </c:pt>
                <c:pt idx="12">
                  <c:v>2023</c:v>
                </c:pt>
                <c:pt idx="13">
                  <c:v>2024</c:v>
                </c:pt>
                <c:pt idx="14">
                  <c:v>2025</c:v>
                </c:pt>
              </c:numCache>
            </c:numRef>
          </c:cat>
          <c:val>
            <c:numRef>
              <c:f>ВСЕГО!$C$9:$Q$9</c:f>
              <c:numCache>
                <c:formatCode>General</c:formatCode>
                <c:ptCount val="15"/>
                <c:pt idx="0">
                  <c:v>1908</c:v>
                </c:pt>
                <c:pt idx="1">
                  <c:v>2819</c:v>
                </c:pt>
                <c:pt idx="2">
                  <c:v>2615</c:v>
                </c:pt>
                <c:pt idx="3">
                  <c:v>2222</c:v>
                </c:pt>
                <c:pt idx="4">
                  <c:v>2168</c:v>
                </c:pt>
                <c:pt idx="5">
                  <c:v>2280</c:v>
                </c:pt>
                <c:pt idx="6">
                  <c:v>2466</c:v>
                </c:pt>
                <c:pt idx="7">
                  <c:v>2266</c:v>
                </c:pt>
                <c:pt idx="8">
                  <c:v>2024</c:v>
                </c:pt>
                <c:pt idx="9">
                  <c:v>3082</c:v>
                </c:pt>
                <c:pt idx="10">
                  <c:v>2743</c:v>
                </c:pt>
                <c:pt idx="11">
                  <c:v>3635</c:v>
                </c:pt>
                <c:pt idx="12">
                  <c:v>3023</c:v>
                </c:pt>
                <c:pt idx="13">
                  <c:v>3130</c:v>
                </c:pt>
                <c:pt idx="14">
                  <c:v>3016</c:v>
                </c:pt>
              </c:numCache>
            </c:numRef>
          </c:val>
          <c:smooth val="0"/>
        </c:ser>
        <c:dLbls>
          <c:showBubbleSize val="0"/>
          <c:showCatName val="0"/>
          <c:showLeaderLines val="0"/>
          <c:showLegendKey val="0"/>
          <c:showPercent val="0"/>
          <c:showSerName val="0"/>
          <c:showVal val="0"/>
        </c:dLbls>
        <c:marker val="1"/>
        <c:smooth val="0"/>
        <c:axId val="104307328"/>
        <c:axId val="105169280"/>
      </c:lineChart>
      <c:catAx>
        <c:axId val="104307328"/>
        <c:scaling>
          <c:orientation val="minMax"/>
        </c:scaling>
        <c:delete val="0"/>
        <c:axPos val="b"/>
        <c:numFmt formatCode="General" sourceLinked="1"/>
        <c:majorTickMark val="out"/>
        <c:minorTickMark val="none"/>
        <c:tickLblPos val="nextTo"/>
        <c:crossAx val="105169280"/>
        <c:crosses val="autoZero"/>
        <c:auto val="1"/>
        <c:lblAlgn val="ctr"/>
        <c:lblOffset val="100"/>
        <c:noMultiLvlLbl val="0"/>
      </c:catAx>
      <c:valAx>
        <c:axId val="105169280"/>
        <c:scaling>
          <c:orientation val="minMax"/>
        </c:scaling>
        <c:delete val="0"/>
        <c:axPos val="l"/>
        <c:majorGridlines>
          <c:spPr bwMode="auto"/>
        </c:majorGridlines>
        <c:numFmt formatCode="General" sourceLinked="1"/>
        <c:majorTickMark val="out"/>
        <c:minorTickMark val="none"/>
        <c:tickLblPos val="nextTo"/>
        <c:crossAx val="104307328"/>
        <c:crosses val="autoZero"/>
        <c:crossBetween val="between"/>
      </c:valAx>
    </c:plotArea>
    <c:plotVisOnly val="1"/>
    <c:showDLblsOverMax val="0"/>
  </c:chart>
  <c:spPr bwMode="auto">
    <a:prstGeom prst="rect">
      <a:avLst/>
    </a:prstGeom>
    <a:ln>
      <a:noFill/>
    </a:ln>
  </c:spPr>
  <c:txPr>
    <a:bodyPr/>
    <a:lstStyle/>
    <a:p>
      <a:pPr>
        <a:defRPr>
          <a:latin typeface="Times New Roman"/>
          <a:cs typeface="Times New Roman"/>
        </a:defRPr>
      </a:pPr>
      <a:endParaRPr lang="ru-RU"/>
    </a:p>
  </c:txPr>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mc="http://schemas.openxmlformats.org/markup-compatibility/2006" xmlns:c15="http://schemas.microsoft.com/office/drawing/2012/chart" xmlns:c14="http://schemas.microsoft.com/office/drawing/2007/8/2/chart" xmlns:c16r2="http://schemas.microsoft.com/office/drawing/2015/06/chart">
  <c:date1904 val="1"/>
  <c:lang val="ru-RU"/>
  <c:roundedCorners val="0"/>
  <mc:AlternateContent>
    <mc:Choice Requires="c14">
      <c14:style val="102"/>
    </mc:Choice>
    <mc:Fallback>
      <c:style val="2"/>
    </mc:Fallback>
  </mc:AlternateContent>
  <c:chart>
    <c:plotArea>
      <c:layout/>
      <c:lineChart>
        <c:grouping val="standard"/>
        <c:varyColors val="0"/>
        <c:ser>
          <c:idx val="0"/>
          <c:order val="0"/>
          <c:spPr bwMode="auto">
            <a:prstGeom prst="rect">
              <a:avLst/>
            </a:prstGeom>
            <a:ln w="28575" cap="rnd">
              <a:solidFill>
                <a:schemeClr val="accent1"/>
              </a:solidFill>
              <a:round/>
            </a:ln>
          </c:spPr>
          <c:marker>
            <c:symbol val="circle"/>
            <c:size val="5"/>
            <c:spPr bwMode="auto">
              <a:prstGeom prst="rect">
                <a:avLst/>
              </a:prstGeom>
              <a:solidFill>
                <a:schemeClr val="accent1"/>
              </a:solidFill>
              <a:ln/>
            </c:spPr>
          </c:marker>
          <c:dLbls>
            <c:dLblPos val="t"/>
            <c:separator xml:space="preserve"> </c:separator>
            <c:showBubbleSize val="0"/>
            <c:showCatName val="0"/>
            <c:showLeaderLines val="0"/>
            <c:showLegendKey val="0"/>
            <c:showPercent val="0"/>
            <c:showSerName val="0"/>
            <c:showVal val="1"/>
            <c:spPr bwMode="auto">
              <a:prstGeom prst="rect">
                <a:avLst/>
              </a:prstGeom>
              <a:noFill/>
              <a:ln>
                <a:noFill/>
              </a:ln>
            </c:spPr>
            <c:txPr>
              <a:bodyPr/>
              <a:lstStyle/>
              <a:p>
                <a:pPr>
                  <a:defRPr sz="1200">
                    <a:solidFill>
                      <a:schemeClr val="tx1">
                        <a:lumMod val="75000"/>
                        <a:lumOff val="25000"/>
                      </a:schemeClr>
                    </a:solidFill>
                    <a:latin typeface="Times New Roman"/>
                    <a:ea typeface="Times New Roman"/>
                    <a:cs typeface="Times New Roman"/>
                  </a:defRPr>
                </a:pPr>
                <a:endParaRPr lang="ru-RU"/>
              </a:p>
            </c:txPr>
          </c:dLbls>
          <c:cat>
            <c:numRef>
              <c:f>ВСЕГО!$C$8:$Q$8</c:f>
              <c:numCache>
                <c:formatCode>General</c:formatCode>
                <c:ptCount val="15"/>
                <c:pt idx="0">
                  <c:v>2011</c:v>
                </c:pt>
                <c:pt idx="1">
                  <c:v>2012</c:v>
                </c:pt>
                <c:pt idx="2">
                  <c:v>2013</c:v>
                </c:pt>
                <c:pt idx="3">
                  <c:v>2014</c:v>
                </c:pt>
                <c:pt idx="4">
                  <c:v>2015</c:v>
                </c:pt>
                <c:pt idx="5">
                  <c:v>2016</c:v>
                </c:pt>
                <c:pt idx="6">
                  <c:v>2017</c:v>
                </c:pt>
                <c:pt idx="7">
                  <c:v>2018</c:v>
                </c:pt>
                <c:pt idx="8">
                  <c:v>2019</c:v>
                </c:pt>
                <c:pt idx="9">
                  <c:v>2020</c:v>
                </c:pt>
                <c:pt idx="10">
                  <c:v>2021</c:v>
                </c:pt>
                <c:pt idx="11">
                  <c:v>2022</c:v>
                </c:pt>
                <c:pt idx="12">
                  <c:v>2023</c:v>
                </c:pt>
                <c:pt idx="13">
                  <c:v>2024</c:v>
                </c:pt>
                <c:pt idx="14">
                  <c:v>2025</c:v>
                </c:pt>
              </c:numCache>
            </c:numRef>
          </c:cat>
          <c:val>
            <c:numRef>
              <c:f>ВСЕГО!$C$9:$Q$9</c:f>
              <c:numCache>
                <c:formatCode>General</c:formatCode>
                <c:ptCount val="15"/>
                <c:pt idx="0">
                  <c:v>1908</c:v>
                </c:pt>
                <c:pt idx="1">
                  <c:v>2819</c:v>
                </c:pt>
                <c:pt idx="2">
                  <c:v>2615</c:v>
                </c:pt>
                <c:pt idx="3">
                  <c:v>2222</c:v>
                </c:pt>
                <c:pt idx="4">
                  <c:v>2168</c:v>
                </c:pt>
                <c:pt idx="5">
                  <c:v>2280</c:v>
                </c:pt>
                <c:pt idx="6">
                  <c:v>2466</c:v>
                </c:pt>
                <c:pt idx="7">
                  <c:v>2266</c:v>
                </c:pt>
                <c:pt idx="8">
                  <c:v>2024</c:v>
                </c:pt>
                <c:pt idx="9">
                  <c:v>3082</c:v>
                </c:pt>
                <c:pt idx="10">
                  <c:v>2743</c:v>
                </c:pt>
                <c:pt idx="11">
                  <c:v>3635</c:v>
                </c:pt>
                <c:pt idx="12">
                  <c:v>3023</c:v>
                </c:pt>
                <c:pt idx="13">
                  <c:v>3130</c:v>
                </c:pt>
                <c:pt idx="14">
                  <c:v>3016</c:v>
                </c:pt>
              </c:numCache>
            </c:numRef>
          </c:val>
          <c:smooth val="0"/>
        </c:ser>
        <c:dLbls>
          <c:separator xml:space="preserve"> </c:separator>
          <c:showBubbleSize val="0"/>
          <c:showCatName val="0"/>
          <c:showLeaderLines val="0"/>
          <c:showLegendKey val="0"/>
          <c:showPercent val="0"/>
          <c:showSerName val="0"/>
          <c:showVal val="1"/>
        </c:dLbls>
        <c:marker val="1"/>
        <c:smooth val="0"/>
        <c:axId val="98555008"/>
        <c:axId val="98556544"/>
      </c:lineChart>
      <c:catAx>
        <c:axId val="98555008"/>
        <c:scaling>
          <c:orientation val="minMax"/>
        </c:scaling>
        <c:delete val="0"/>
        <c:axPos val="b"/>
        <c:numFmt formatCode="General" sourceLinked="1"/>
        <c:majorTickMark val="none"/>
        <c:minorTickMark val="out"/>
        <c:tickLblPos val="nextTo"/>
        <c:spPr bwMode="auto">
          <a:prstGeom prst="rect">
            <a:avLst/>
          </a:prstGeom>
          <a:noFill/>
          <a:ln w="9525" cap="flat" cmpd="sng" algn="ctr">
            <a:solidFill>
              <a:schemeClr val="tx1">
                <a:lumMod val="15000"/>
                <a:lumOff val="85000"/>
              </a:schemeClr>
            </a:solidFill>
            <a:round/>
          </a:ln>
        </c:spPr>
        <c:txPr>
          <a:bodyPr/>
          <a:lstStyle/>
          <a:p>
            <a:pPr>
              <a:defRPr sz="1200">
                <a:solidFill>
                  <a:schemeClr val="tx1">
                    <a:lumMod val="65000"/>
                    <a:lumOff val="35000"/>
                  </a:schemeClr>
                </a:solidFill>
                <a:latin typeface="Times New Roman"/>
                <a:ea typeface="Times New Roman"/>
                <a:cs typeface="Times New Roman"/>
              </a:defRPr>
            </a:pPr>
            <a:endParaRPr lang="ru-RU"/>
          </a:p>
        </c:txPr>
        <c:crossAx val="98556544"/>
        <c:crosses val="autoZero"/>
        <c:auto val="1"/>
        <c:lblAlgn val="ctr"/>
        <c:lblOffset val="100"/>
        <c:tickMarkSkip val="1"/>
        <c:noMultiLvlLbl val="0"/>
      </c:catAx>
      <c:valAx>
        <c:axId val="98556544"/>
        <c:scaling>
          <c:orientation val="minMax"/>
        </c:scaling>
        <c:delete val="0"/>
        <c:axPos val="l"/>
        <c:majorGridlines>
          <c:spPr bwMode="auto">
            <a:prstGeom prst="rect">
              <a:avLst/>
            </a:prstGeom>
            <a:ln w="9525" cap="flat" cmpd="sng" algn="ctr">
              <a:solidFill>
                <a:schemeClr val="tx1">
                  <a:lumMod val="15000"/>
                  <a:lumOff val="85000"/>
                </a:schemeClr>
              </a:solidFill>
              <a:round/>
            </a:ln>
          </c:spPr>
        </c:majorGridlines>
        <c:numFmt formatCode="General" sourceLinked="1"/>
        <c:majorTickMark val="none"/>
        <c:minorTickMark val="none"/>
        <c:tickLblPos val="nextTo"/>
        <c:spPr bwMode="auto">
          <a:prstGeom prst="rect">
            <a:avLst/>
          </a:prstGeom>
          <a:noFill/>
          <a:ln>
            <a:noFill/>
          </a:ln>
        </c:spPr>
        <c:txPr>
          <a:bodyPr/>
          <a:lstStyle/>
          <a:p>
            <a:pPr>
              <a:defRPr sz="1200">
                <a:solidFill>
                  <a:schemeClr val="tx1">
                    <a:lumMod val="65000"/>
                    <a:lumOff val="35000"/>
                  </a:schemeClr>
                </a:solidFill>
                <a:latin typeface="Times New Roman"/>
                <a:ea typeface="Times New Roman"/>
                <a:cs typeface="Times New Roman"/>
              </a:defRPr>
            </a:pPr>
            <a:endParaRPr lang="ru-RU"/>
          </a:p>
        </c:txPr>
        <c:crossAx val="98555008"/>
        <c:crosses val="autoZero"/>
        <c:crossBetween val="between"/>
      </c:valAx>
      <c:spPr bwMode="auto">
        <a:prstGeom prst="rect">
          <a:avLst/>
        </a:prstGeom>
        <a:noFill/>
        <a:ln>
          <a:noFill/>
        </a:ln>
      </c:spPr>
    </c:plotArea>
    <c:plotVisOnly val="1"/>
    <c:dispBlanksAs val="gap"/>
    <c:showDLblsOverMax val="0"/>
  </c:chart>
  <c:spPr bwMode="auto">
    <a:prstGeom prst="rect">
      <a:avLst/>
    </a:prstGeom>
    <a:solidFill>
      <a:schemeClr val="bg1"/>
    </a:solidFill>
    <a:ln w="9525" cap="flat" cmpd="sng" algn="ctr">
      <a:solidFill>
        <a:schemeClr val="tx1">
          <a:lumMod val="15000"/>
          <a:lumOff val="85000"/>
        </a:schemeClr>
      </a:solidFill>
      <a:round/>
    </a:ln>
  </c:spPr>
  <c:txPr>
    <a:bodyPr/>
    <a:lstStyle/>
    <a:p>
      <a:pPr>
        <a:defRPr sz="1000">
          <a:solidFill>
            <a:schemeClr val="tx1"/>
          </a:solidFill>
          <a:latin typeface="+mn-lt"/>
          <a:ea typeface="+mn-ea"/>
          <a:cs typeface="+mn-cs"/>
        </a:defRPr>
      </a:pPr>
      <a:endParaRPr lang="ru-RU"/>
    </a:p>
  </c:txPr>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mc="http://schemas.openxmlformats.org/markup-compatibility/2006" xmlns:c15="http://schemas.microsoft.com/office/drawing/2012/chart" xmlns:c14="http://schemas.microsoft.com/office/drawing/2007/8/2/chart" xmlns:c16r2="http://schemas.microsoft.com/office/drawing/2015/06/chart">
  <c:date1904 val="1"/>
  <c:lang val="ru-RU"/>
  <c:roundedCorners val="0"/>
  <mc:AlternateContent>
    <mc:Choice Requires="c14">
      <c14:style val="102"/>
    </mc:Choice>
    <mc:Fallback>
      <c:style val="2"/>
    </mc:Fallback>
  </mc:AlternateContent>
  <c:chart>
    <c:plotArea>
      <c:layout/>
      <c:lineChart>
        <c:grouping val="standard"/>
        <c:varyColors val="0"/>
        <c:ser>
          <c:idx val="0"/>
          <c:order val="0"/>
          <c:tx>
            <c:strRef>
              <c:f>ВСЕГО!$B$130</c:f>
              <c:strCache>
                <c:ptCount val="1"/>
                <c:pt idx="0">
                  <c:v xml:space="preserve">Право на жилище, в том числе</c:v>
                </c:pt>
              </c:strCache>
            </c:strRef>
          </c:tx>
          <c:spPr bwMode="auto">
            <a:prstGeom prst="rect">
              <a:avLst/>
            </a:prstGeom>
            <a:ln w="28575" cap="rnd">
              <a:solidFill>
                <a:schemeClr val="accent1"/>
              </a:solidFill>
              <a:round/>
            </a:ln>
          </c:spPr>
          <c:marker>
            <c:symbol val="circle"/>
            <c:size val="5"/>
            <c:spPr bwMode="auto">
              <a:prstGeom prst="rect">
                <a:avLst/>
              </a:prstGeom>
              <a:solidFill>
                <a:schemeClr val="accent1"/>
              </a:solidFill>
              <a:ln/>
            </c:spPr>
          </c:marker>
          <c:dLbls>
            <c:dLblPos val="t"/>
            <c:separator xml:space="preserve"> </c:separator>
            <c:showBubbleSize val="0"/>
            <c:showCatName val="0"/>
            <c:showLeaderLines val="0"/>
            <c:showLegendKey val="0"/>
            <c:showPercent val="0"/>
            <c:showSerName val="0"/>
            <c:showVal val="1"/>
            <c:spPr bwMode="auto">
              <a:prstGeom prst="rect">
                <a:avLst/>
              </a:prstGeom>
              <a:noFill/>
              <a:ln>
                <a:noFill/>
              </a:ln>
            </c:spPr>
            <c:txPr>
              <a:bodyPr/>
              <a:lstStyle/>
              <a:p>
                <a:pPr>
                  <a:defRPr sz="1200">
                    <a:solidFill>
                      <a:schemeClr val="tx1">
                        <a:lumMod val="75000"/>
                        <a:lumOff val="25000"/>
                      </a:schemeClr>
                    </a:solidFill>
                    <a:latin typeface="Times New Roman"/>
                    <a:ea typeface="Times New Roman"/>
                    <a:cs typeface="Times New Roman"/>
                  </a:defRPr>
                </a:pPr>
                <a:endParaRPr lang="ru-RU"/>
              </a:p>
            </c:txPr>
          </c:dLbls>
          <c:cat>
            <c:strRef>
              <c:f>ВСЕГО!$C$129:$Q$129</c:f>
              <c:strCache>
                <c:ptCount val="15"/>
                <c:pt idx="0">
                  <c:v>2011</c:v>
                </c:pt>
                <c:pt idx="1">
                  <c:v>2012</c:v>
                </c:pt>
                <c:pt idx="2">
                  <c:v>2013</c:v>
                </c:pt>
                <c:pt idx="3">
                  <c:v>2014</c:v>
                </c:pt>
                <c:pt idx="4">
                  <c:v>2015</c:v>
                </c:pt>
                <c:pt idx="5">
                  <c:v>2016</c:v>
                </c:pt>
                <c:pt idx="6">
                  <c:v>2017</c:v>
                </c:pt>
                <c:pt idx="7">
                  <c:v>2018</c:v>
                </c:pt>
                <c:pt idx="8">
                  <c:v>2019</c:v>
                </c:pt>
                <c:pt idx="9">
                  <c:v>2020</c:v>
                </c:pt>
                <c:pt idx="10">
                  <c:v>2021</c:v>
                </c:pt>
                <c:pt idx="11">
                  <c:v>2022</c:v>
                </c:pt>
                <c:pt idx="12">
                  <c:v>2023</c:v>
                </c:pt>
                <c:pt idx="13">
                  <c:v>2024</c:v>
                </c:pt>
                <c:pt idx="14">
                  <c:v>2025</c:v>
                </c:pt>
              </c:strCache>
            </c:strRef>
          </c:cat>
          <c:val>
            <c:numRef>
              <c:f>ВСЕГО!$C$130:$Q$130</c:f>
              <c:numCache>
                <c:formatCode>General</c:formatCode>
                <c:ptCount val="15"/>
                <c:pt idx="0">
                  <c:v>99</c:v>
                </c:pt>
                <c:pt idx="1">
                  <c:v>115</c:v>
                </c:pt>
                <c:pt idx="2">
                  <c:v>133</c:v>
                </c:pt>
                <c:pt idx="3">
                  <c:v>182</c:v>
                </c:pt>
                <c:pt idx="4">
                  <c:v>176</c:v>
                </c:pt>
                <c:pt idx="5">
                  <c:v>257</c:v>
                </c:pt>
                <c:pt idx="6">
                  <c:v>268</c:v>
                </c:pt>
                <c:pt idx="7">
                  <c:v>264</c:v>
                </c:pt>
                <c:pt idx="8">
                  <c:v>270</c:v>
                </c:pt>
                <c:pt idx="9">
                  <c:v>299</c:v>
                </c:pt>
                <c:pt idx="10">
                  <c:v>276</c:v>
                </c:pt>
                <c:pt idx="11">
                  <c:v>356</c:v>
                </c:pt>
                <c:pt idx="12">
                  <c:v>355</c:v>
                </c:pt>
                <c:pt idx="13">
                  <c:v>607</c:v>
                </c:pt>
                <c:pt idx="14">
                  <c:v>496</c:v>
                </c:pt>
              </c:numCache>
            </c:numRef>
          </c:val>
          <c:smooth val="0"/>
        </c:ser>
        <c:ser>
          <c:idx val="1"/>
          <c:order val="1"/>
          <c:tx>
            <c:strRef>
              <c:f>ВСЕГО!$B$131</c:f>
              <c:strCache>
                <c:ptCount val="1"/>
                <c:pt idx="0">
                  <c:v xml:space="preserve">Право на жилищно-коммунальное обслуживание</c:v>
                </c:pt>
              </c:strCache>
            </c:strRef>
          </c:tx>
          <c:spPr bwMode="auto">
            <a:prstGeom prst="rect">
              <a:avLst/>
            </a:prstGeom>
            <a:ln w="28575" cap="rnd">
              <a:solidFill>
                <a:schemeClr val="accent2"/>
              </a:solidFill>
              <a:round/>
            </a:ln>
          </c:spPr>
          <c:marker>
            <c:symbol val="circle"/>
            <c:size val="5"/>
            <c:spPr bwMode="auto">
              <a:prstGeom prst="rect">
                <a:avLst/>
              </a:prstGeom>
              <a:solidFill>
                <a:schemeClr val="accent2"/>
              </a:solidFill>
              <a:ln/>
            </c:spPr>
          </c:marker>
          <c:dLbls>
            <c:dLblPos val="t"/>
            <c:separator xml:space="preserve"> </c:separator>
            <c:showBubbleSize val="0"/>
            <c:showCatName val="0"/>
            <c:showLeaderLines val="0"/>
            <c:showLegendKey val="0"/>
            <c:showPercent val="0"/>
            <c:showSerName val="0"/>
            <c:showVal val="1"/>
            <c:spPr bwMode="auto">
              <a:prstGeom prst="rect">
                <a:avLst/>
              </a:prstGeom>
              <a:noFill/>
              <a:ln>
                <a:noFill/>
              </a:ln>
            </c:spPr>
            <c:txPr>
              <a:bodyPr/>
              <a:lstStyle/>
              <a:p>
                <a:pPr>
                  <a:defRPr sz="1200">
                    <a:solidFill>
                      <a:schemeClr val="tx1">
                        <a:lumMod val="75000"/>
                        <a:lumOff val="25000"/>
                      </a:schemeClr>
                    </a:solidFill>
                    <a:latin typeface="Times New Roman"/>
                    <a:ea typeface="Times New Roman"/>
                    <a:cs typeface="Times New Roman"/>
                  </a:defRPr>
                </a:pPr>
                <a:endParaRPr lang="ru-RU"/>
              </a:p>
            </c:txPr>
          </c:dLbls>
          <c:cat>
            <c:strRef>
              <c:f>ВСЕГО!$C$129:$Q$129</c:f>
              <c:strCache>
                <c:ptCount val="15"/>
                <c:pt idx="0">
                  <c:v>2011</c:v>
                </c:pt>
                <c:pt idx="1">
                  <c:v>2012</c:v>
                </c:pt>
                <c:pt idx="2">
                  <c:v>2013</c:v>
                </c:pt>
                <c:pt idx="3">
                  <c:v>2014</c:v>
                </c:pt>
                <c:pt idx="4">
                  <c:v>2015</c:v>
                </c:pt>
                <c:pt idx="5">
                  <c:v>2016</c:v>
                </c:pt>
                <c:pt idx="6">
                  <c:v>2017</c:v>
                </c:pt>
                <c:pt idx="7">
                  <c:v>2018</c:v>
                </c:pt>
                <c:pt idx="8">
                  <c:v>2019</c:v>
                </c:pt>
                <c:pt idx="9">
                  <c:v>2020</c:v>
                </c:pt>
                <c:pt idx="10">
                  <c:v>2021</c:v>
                </c:pt>
                <c:pt idx="11">
                  <c:v>2022</c:v>
                </c:pt>
                <c:pt idx="12">
                  <c:v>2023</c:v>
                </c:pt>
                <c:pt idx="13">
                  <c:v>2024</c:v>
                </c:pt>
                <c:pt idx="14">
                  <c:v>2025</c:v>
                </c:pt>
              </c:strCache>
            </c:strRef>
          </c:cat>
          <c:val>
            <c:numRef>
              <c:f>ВСЕГО!$C$131:$Q$131</c:f>
              <c:numCache>
                <c:formatCode>General</c:formatCode>
                <c:ptCount val="15"/>
                <c:pt idx="0">
                  <c:v>45</c:v>
                </c:pt>
                <c:pt idx="1">
                  <c:v>61</c:v>
                </c:pt>
                <c:pt idx="2">
                  <c:v>64</c:v>
                </c:pt>
                <c:pt idx="3">
                  <c:v>104</c:v>
                </c:pt>
                <c:pt idx="4">
                  <c:v>95</c:v>
                </c:pt>
                <c:pt idx="5">
                  <c:v>165</c:v>
                </c:pt>
                <c:pt idx="6">
                  <c:v>162</c:v>
                </c:pt>
                <c:pt idx="7">
                  <c:v>141</c:v>
                </c:pt>
                <c:pt idx="8">
                  <c:v>164</c:v>
                </c:pt>
                <c:pt idx="9">
                  <c:v>209</c:v>
                </c:pt>
                <c:pt idx="10">
                  <c:v>170</c:v>
                </c:pt>
                <c:pt idx="11">
                  <c:v>185</c:v>
                </c:pt>
                <c:pt idx="12">
                  <c:v>236</c:v>
                </c:pt>
                <c:pt idx="13">
                  <c:v>461</c:v>
                </c:pt>
                <c:pt idx="14">
                  <c:v>333</c:v>
                </c:pt>
              </c:numCache>
            </c:numRef>
          </c:val>
          <c:smooth val="0"/>
        </c:ser>
        <c:dLbls>
          <c:separator xml:space="preserve"> </c:separator>
          <c:showBubbleSize val="0"/>
          <c:showCatName val="0"/>
          <c:showLeaderLines val="0"/>
          <c:showLegendKey val="0"/>
          <c:showPercent val="0"/>
          <c:showSerName val="0"/>
          <c:showVal val="1"/>
        </c:dLbls>
        <c:marker val="1"/>
        <c:smooth val="0"/>
        <c:axId val="106040320"/>
        <c:axId val="106046208"/>
      </c:lineChart>
      <c:catAx>
        <c:axId val="106040320"/>
        <c:scaling>
          <c:orientation val="minMax"/>
        </c:scaling>
        <c:delete val="0"/>
        <c:axPos val="b"/>
        <c:numFmt formatCode="General" sourceLinked="1"/>
        <c:majorTickMark val="none"/>
        <c:minorTickMark val="out"/>
        <c:tickLblPos val="nextTo"/>
        <c:spPr bwMode="auto">
          <a:prstGeom prst="rect">
            <a:avLst/>
          </a:prstGeom>
          <a:noFill/>
          <a:ln w="9525" cap="flat" cmpd="sng" algn="ctr">
            <a:solidFill>
              <a:schemeClr val="tx1">
                <a:lumMod val="15000"/>
                <a:lumOff val="85000"/>
              </a:schemeClr>
            </a:solidFill>
            <a:round/>
          </a:ln>
        </c:spPr>
        <c:txPr>
          <a:bodyPr/>
          <a:lstStyle/>
          <a:p>
            <a:pPr>
              <a:defRPr sz="1200">
                <a:solidFill>
                  <a:schemeClr val="tx1">
                    <a:lumMod val="65000"/>
                    <a:lumOff val="35000"/>
                  </a:schemeClr>
                </a:solidFill>
                <a:latin typeface="Times New Roman"/>
                <a:ea typeface="Times New Roman"/>
                <a:cs typeface="Times New Roman"/>
              </a:defRPr>
            </a:pPr>
            <a:endParaRPr lang="ru-RU"/>
          </a:p>
        </c:txPr>
        <c:crossAx val="106046208"/>
        <c:crosses val="autoZero"/>
        <c:auto val="1"/>
        <c:lblAlgn val="ctr"/>
        <c:lblOffset val="100"/>
        <c:tickMarkSkip val="1"/>
        <c:noMultiLvlLbl val="0"/>
      </c:catAx>
      <c:valAx>
        <c:axId val="106046208"/>
        <c:scaling>
          <c:orientation val="minMax"/>
        </c:scaling>
        <c:delete val="0"/>
        <c:axPos val="l"/>
        <c:majorGridlines>
          <c:spPr bwMode="auto">
            <a:prstGeom prst="rect">
              <a:avLst/>
            </a:prstGeom>
            <a:ln w="9525" cap="flat" cmpd="sng" algn="ctr">
              <a:solidFill>
                <a:schemeClr val="tx1">
                  <a:lumMod val="15000"/>
                  <a:lumOff val="85000"/>
                </a:schemeClr>
              </a:solidFill>
              <a:round/>
            </a:ln>
          </c:spPr>
        </c:majorGridlines>
        <c:numFmt formatCode="0.00" sourceLinked="0"/>
        <c:majorTickMark val="none"/>
        <c:minorTickMark val="none"/>
        <c:tickLblPos val="nextTo"/>
        <c:spPr bwMode="auto">
          <a:prstGeom prst="rect">
            <a:avLst/>
          </a:prstGeom>
          <a:noFill/>
          <a:ln>
            <a:noFill/>
          </a:ln>
        </c:spPr>
        <c:txPr>
          <a:bodyPr/>
          <a:lstStyle/>
          <a:p>
            <a:pPr>
              <a:defRPr sz="1200">
                <a:solidFill>
                  <a:schemeClr val="tx1">
                    <a:lumMod val="65000"/>
                    <a:lumOff val="35000"/>
                  </a:schemeClr>
                </a:solidFill>
                <a:latin typeface="Times New Roman"/>
                <a:ea typeface="Times New Roman"/>
                <a:cs typeface="Times New Roman"/>
              </a:defRPr>
            </a:pPr>
            <a:endParaRPr lang="ru-RU"/>
          </a:p>
        </c:txPr>
        <c:crossAx val="106040320"/>
        <c:crosses val="autoZero"/>
        <c:crossBetween val="between"/>
      </c:valAx>
      <c:spPr bwMode="auto">
        <a:prstGeom prst="rect">
          <a:avLst/>
        </a:prstGeom>
        <a:noFill/>
        <a:ln>
          <a:noFill/>
        </a:ln>
      </c:spPr>
    </c:plotArea>
    <c:legend>
      <c:legendPos val="b"/>
      <c:layout/>
      <c:overlay val="0"/>
      <c:spPr bwMode="auto">
        <a:prstGeom prst="rect">
          <a:avLst/>
        </a:prstGeom>
        <a:noFill/>
        <a:ln>
          <a:noFill/>
        </a:ln>
        <a:effectLst/>
      </c:spPr>
      <c:txPr>
        <a:bodyPr rot="0" spcFirstLastPara="1" vertOverflow="ellipsis" vert="horz" wrap="square" anchor="ctr" anchorCtr="1"/>
        <a:lstStyle/>
        <a:p>
          <a:pPr>
            <a:defRPr sz="1200">
              <a:solidFill>
                <a:schemeClr val="tx1">
                  <a:lumMod val="65000"/>
                  <a:lumOff val="35000"/>
                </a:schemeClr>
              </a:solidFill>
              <a:latin typeface="Times New Roman"/>
              <a:ea typeface="Times New Roman"/>
              <a:cs typeface="Times New Roman"/>
            </a:defRPr>
          </a:pPr>
          <a:endParaRPr lang="ru-RU"/>
        </a:p>
      </c:txPr>
    </c:legend>
    <c:plotVisOnly val="1"/>
    <c:dispBlanksAs val="gap"/>
    <c:showDLblsOverMax val="0"/>
  </c:chart>
  <c:spPr bwMode="auto">
    <a:prstGeom prst="rect">
      <a:avLst/>
    </a:prstGeom>
    <a:solidFill>
      <a:schemeClr val="bg1"/>
    </a:solidFill>
    <a:ln w="9525" cap="flat" cmpd="sng" algn="ctr">
      <a:solidFill>
        <a:schemeClr val="tx1">
          <a:lumMod val="15000"/>
          <a:lumOff val="85000"/>
        </a:schemeClr>
      </a:solidFill>
      <a:round/>
    </a:ln>
  </c:spPr>
  <c:txPr>
    <a:bodyPr/>
    <a:lstStyle/>
    <a:p>
      <a:pPr>
        <a:defRPr sz="1000">
          <a:solidFill>
            <a:schemeClr val="tx1"/>
          </a:solidFill>
          <a:latin typeface="+mn-lt"/>
          <a:ea typeface="+mn-ea"/>
          <a:cs typeface="+mn-cs"/>
        </a:defRPr>
      </a:pPr>
      <a:endParaRPr lang="ru-RU"/>
    </a:p>
  </c:txPr>
  <c:externalData r:id="rId1">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mc="http://schemas.openxmlformats.org/markup-compatibility/2006" xmlns:c15="http://schemas.microsoft.com/office/drawing/2012/chart" xmlns:c14="http://schemas.microsoft.com/office/drawing/2007/8/2/chart" xmlns:c16r2="http://schemas.microsoft.com/office/drawing/2015/06/chart">
  <c:date1904 val="1"/>
  <c:lang val="ru-RU"/>
  <c:roundedCorners val="0"/>
  <mc:AlternateContent>
    <mc:Choice Requires="c14">
      <c14:style val="102"/>
    </mc:Choice>
    <mc:Fallback>
      <c:style val="2"/>
    </mc:Fallback>
  </mc:AlternateContent>
  <c:chart>
    <c:plotArea>
      <c:layout/>
      <c:lineChart>
        <c:grouping val="standard"/>
        <c:varyColors val="0"/>
        <c:ser>
          <c:idx val="0"/>
          <c:order val="0"/>
          <c:tx>
            <c:strRef>
              <c:f>ВСЕГО!$B$175</c:f>
              <c:strCache>
                <c:ptCount val="1"/>
                <c:pt idx="0">
                  <c:v xml:space="preserve">Право на охрану здоровья и медицинскую помощь</c:v>
                </c:pt>
              </c:strCache>
            </c:strRef>
          </c:tx>
          <c:spPr bwMode="auto">
            <a:prstGeom prst="rect">
              <a:avLst/>
            </a:prstGeom>
            <a:ln w="28575" cap="rnd">
              <a:solidFill>
                <a:schemeClr val="accent1"/>
              </a:solidFill>
              <a:round/>
            </a:ln>
          </c:spPr>
          <c:marker>
            <c:symbol val="circle"/>
            <c:size val="5"/>
            <c:spPr bwMode="auto">
              <a:prstGeom prst="rect">
                <a:avLst/>
              </a:prstGeom>
              <a:solidFill>
                <a:schemeClr val="accent1"/>
              </a:solidFill>
              <a:ln/>
            </c:spPr>
          </c:marker>
          <c:dLbls>
            <c:dLbl>
              <c:idx val="0"/>
              <c:dLblPos val="t"/>
              <c:layout>
                <c:manualLayout>
                  <c:x val="-0.016580"/>
                  <c:y val="0.033760"/>
                </c:manualLayout>
              </c:layout>
              <c:separator xml:space="preserve"> </c:separator>
              <c:showBubbleSize val="0"/>
              <c:showCatName val="0"/>
              <c:showLegendKey val="0"/>
              <c:showPercent val="0"/>
              <c:showSerName val="0"/>
              <c:showVal val="1"/>
            </c:dLbl>
            <c:dLbl>
              <c:idx val="1"/>
              <c:dLblPos val="t"/>
              <c:layout>
                <c:manualLayout>
                  <c:x val="-0.003310"/>
                  <c:y val="0.067520"/>
                </c:manualLayout>
              </c:layout>
              <c:separator xml:space="preserve"> </c:separator>
              <c:showBubbleSize val="0"/>
              <c:showCatName val="0"/>
              <c:showLegendKey val="0"/>
              <c:showPercent val="0"/>
              <c:showSerName val="0"/>
              <c:showVal val="1"/>
            </c:dLbl>
            <c:dLbl>
              <c:idx val="6"/>
              <c:dLblPos val="t"/>
              <c:layout>
                <c:manualLayout>
                  <c:x val="0.003310"/>
                  <c:y val="0.030950"/>
                </c:manualLayout>
              </c:layout>
              <c:separator xml:space="preserve"> </c:separator>
              <c:showBubbleSize val="0"/>
              <c:showCatName val="0"/>
              <c:showLegendKey val="0"/>
              <c:showPercent val="0"/>
              <c:showSerName val="0"/>
              <c:showVal val="1"/>
            </c:dLbl>
            <c:dLbl>
              <c:idx val="7"/>
              <c:dLblPos val="t"/>
              <c:layout>
                <c:manualLayout>
                  <c:x val="0.006630"/>
                  <c:y val="0.025320"/>
                </c:manualLayout>
              </c:layout>
              <c:separator xml:space="preserve"> </c:separator>
              <c:showBubbleSize val="0"/>
              <c:showCatName val="0"/>
              <c:showLegendKey val="0"/>
              <c:showPercent val="0"/>
              <c:showSerName val="0"/>
              <c:showVal val="1"/>
            </c:dLbl>
            <c:dLbl>
              <c:idx val="8"/>
              <c:dLblPos val="t"/>
              <c:layout>
                <c:manualLayout>
                  <c:x val="0.001650"/>
                  <c:y val="0.008440"/>
                </c:manualLayout>
              </c:layout>
              <c:separator xml:space="preserve"> </c:separator>
              <c:showBubbleSize val="0"/>
              <c:showCatName val="0"/>
              <c:showLegendKey val="0"/>
              <c:showPercent val="0"/>
              <c:showSerName val="0"/>
              <c:showVal val="1"/>
            </c:dLbl>
            <c:dLblPos val="t"/>
            <c:separator xml:space="preserve"> </c:separator>
            <c:showBubbleSize val="0"/>
            <c:showCatName val="0"/>
            <c:showLeaderLines val="0"/>
            <c:showLegendKey val="0"/>
            <c:showPercent val="0"/>
            <c:showSerName val="0"/>
            <c:showVal val="1"/>
            <c:spPr bwMode="auto">
              <a:prstGeom prst="rect">
                <a:avLst/>
              </a:prstGeom>
              <a:noFill/>
              <a:ln>
                <a:noFill/>
              </a:ln>
            </c:spPr>
            <c:txPr>
              <a:bodyPr/>
              <a:lstStyle/>
              <a:p>
                <a:pPr>
                  <a:defRPr sz="1200">
                    <a:solidFill>
                      <a:schemeClr val="tx1">
                        <a:lumMod val="75000"/>
                        <a:lumOff val="25000"/>
                      </a:schemeClr>
                    </a:solidFill>
                    <a:latin typeface="Times New Roman"/>
                    <a:ea typeface="Times New Roman"/>
                    <a:cs typeface="Times New Roman"/>
                  </a:defRPr>
                </a:pPr>
                <a:endParaRPr lang="ru-RU"/>
              </a:p>
            </c:txPr>
          </c:dLbls>
          <c:cat>
            <c:strRef>
              <c:f>ВСЕГО!$C$174:$Q$174</c:f>
              <c:strCache>
                <c:ptCount val="15"/>
                <c:pt idx="0">
                  <c:v>2011</c:v>
                </c:pt>
                <c:pt idx="1">
                  <c:v>2012</c:v>
                </c:pt>
                <c:pt idx="2">
                  <c:v>2013</c:v>
                </c:pt>
                <c:pt idx="3">
                  <c:v>2014</c:v>
                </c:pt>
                <c:pt idx="4">
                  <c:v>2015</c:v>
                </c:pt>
                <c:pt idx="5">
                  <c:v>2016</c:v>
                </c:pt>
                <c:pt idx="6">
                  <c:v>2017</c:v>
                </c:pt>
                <c:pt idx="7">
                  <c:v>2018</c:v>
                </c:pt>
                <c:pt idx="8">
                  <c:v>2019</c:v>
                </c:pt>
                <c:pt idx="9">
                  <c:v>2020</c:v>
                </c:pt>
                <c:pt idx="10">
                  <c:v>2021</c:v>
                </c:pt>
                <c:pt idx="11">
                  <c:v>2022</c:v>
                </c:pt>
                <c:pt idx="12">
                  <c:v>2023</c:v>
                </c:pt>
                <c:pt idx="13">
                  <c:v>2024</c:v>
                </c:pt>
                <c:pt idx="14">
                  <c:v>2025</c:v>
                </c:pt>
              </c:strCache>
            </c:strRef>
          </c:cat>
          <c:val>
            <c:numRef>
              <c:f>ВСЕГО!$C$175:$Q$175</c:f>
              <c:numCache>
                <c:formatCode>General</c:formatCode>
                <c:ptCount val="15"/>
                <c:pt idx="0">
                  <c:v>31</c:v>
                </c:pt>
                <c:pt idx="1">
                  <c:v>36</c:v>
                </c:pt>
                <c:pt idx="2">
                  <c:v>53</c:v>
                </c:pt>
                <c:pt idx="3">
                  <c:v>91</c:v>
                </c:pt>
                <c:pt idx="4">
                  <c:v>55</c:v>
                </c:pt>
                <c:pt idx="5">
                  <c:v>77</c:v>
                </c:pt>
                <c:pt idx="6">
                  <c:v>76</c:v>
                </c:pt>
                <c:pt idx="7">
                  <c:v>80</c:v>
                </c:pt>
                <c:pt idx="8">
                  <c:v>85</c:v>
                </c:pt>
                <c:pt idx="9">
                  <c:v>106</c:v>
                </c:pt>
                <c:pt idx="10">
                  <c:v>123</c:v>
                </c:pt>
                <c:pt idx="11">
                  <c:v>261</c:v>
                </c:pt>
                <c:pt idx="12">
                  <c:v>189</c:v>
                </c:pt>
                <c:pt idx="13">
                  <c:v>185</c:v>
                </c:pt>
                <c:pt idx="14">
                  <c:v>242</c:v>
                </c:pt>
              </c:numCache>
            </c:numRef>
          </c:val>
          <c:smooth val="0"/>
        </c:ser>
        <c:ser>
          <c:idx val="1"/>
          <c:order val="1"/>
          <c:tx>
            <c:strRef>
              <c:f>ВСЕГО!$B$176</c:f>
              <c:strCache>
                <c:ptCount val="1"/>
                <c:pt idx="0">
                  <c:v xml:space="preserve">Право на пенсионное и социальное обеспечение</c:v>
                </c:pt>
              </c:strCache>
            </c:strRef>
          </c:tx>
          <c:spPr bwMode="auto">
            <a:prstGeom prst="rect">
              <a:avLst/>
            </a:prstGeom>
            <a:ln w="28575" cap="rnd">
              <a:solidFill>
                <a:schemeClr val="accent2"/>
              </a:solidFill>
              <a:round/>
            </a:ln>
          </c:spPr>
          <c:marker>
            <c:symbol val="circle"/>
            <c:size val="5"/>
            <c:spPr bwMode="auto">
              <a:prstGeom prst="rect">
                <a:avLst/>
              </a:prstGeom>
              <a:solidFill>
                <a:schemeClr val="accent2"/>
              </a:solidFill>
              <a:ln/>
            </c:spPr>
          </c:marker>
          <c:dLbls>
            <c:dLbl>
              <c:idx val="2"/>
              <c:dLblPos val="t"/>
              <c:layout>
                <c:manualLayout>
                  <c:x val="-0.003310"/>
                  <c:y val="0.073150"/>
                </c:manualLayout>
              </c:layout>
              <c:separator xml:space="preserve"> </c:separator>
              <c:showBubbleSize val="0"/>
              <c:showCatName val="0"/>
              <c:showLegendKey val="0"/>
              <c:showPercent val="0"/>
              <c:showSerName val="0"/>
              <c:showVal val="1"/>
            </c:dLbl>
            <c:dLbl>
              <c:idx val="4"/>
              <c:dLblPos val="t"/>
              <c:layout>
                <c:manualLayout>
                  <c:x val="0.006630"/>
                  <c:y val="0.011250"/>
                </c:manualLayout>
              </c:layout>
              <c:separator xml:space="preserve"> </c:separator>
              <c:showBubbleSize val="0"/>
              <c:showCatName val="0"/>
              <c:showLegendKey val="0"/>
              <c:showPercent val="0"/>
              <c:showSerName val="0"/>
              <c:showVal val="1"/>
            </c:dLbl>
            <c:dLbl>
              <c:idx val="5"/>
              <c:dLblPos val="t"/>
              <c:layout>
                <c:manualLayout>
                  <c:x val="0.004970"/>
                  <c:y val="0.070340"/>
                </c:manualLayout>
              </c:layout>
              <c:separator xml:space="preserve"> </c:separator>
              <c:showBubbleSize val="0"/>
              <c:showCatName val="0"/>
              <c:showLegendKey val="0"/>
              <c:showPercent val="0"/>
              <c:showSerName val="0"/>
              <c:showVal val="1"/>
            </c:dLbl>
            <c:dLblPos val="t"/>
            <c:separator xml:space="preserve"> </c:separator>
            <c:showBubbleSize val="0"/>
            <c:showCatName val="0"/>
            <c:showLeaderLines val="0"/>
            <c:showLegendKey val="0"/>
            <c:showPercent val="0"/>
            <c:showSerName val="0"/>
            <c:showVal val="1"/>
            <c:spPr bwMode="auto">
              <a:prstGeom prst="rect">
                <a:avLst/>
              </a:prstGeom>
              <a:noFill/>
              <a:ln>
                <a:noFill/>
              </a:ln>
            </c:spPr>
            <c:txPr>
              <a:bodyPr/>
              <a:lstStyle/>
              <a:p>
                <a:pPr>
                  <a:defRPr sz="1200">
                    <a:solidFill>
                      <a:schemeClr val="tx1">
                        <a:lumMod val="75000"/>
                        <a:lumOff val="25000"/>
                      </a:schemeClr>
                    </a:solidFill>
                    <a:latin typeface="Times New Roman"/>
                    <a:ea typeface="Times New Roman"/>
                    <a:cs typeface="Times New Roman"/>
                  </a:defRPr>
                </a:pPr>
                <a:endParaRPr lang="ru-RU"/>
              </a:p>
            </c:txPr>
          </c:dLbls>
          <c:cat>
            <c:strRef>
              <c:f>ВСЕГО!$C$174:$Q$174</c:f>
              <c:strCache>
                <c:ptCount val="15"/>
                <c:pt idx="0">
                  <c:v>2011</c:v>
                </c:pt>
                <c:pt idx="1">
                  <c:v>2012</c:v>
                </c:pt>
                <c:pt idx="2">
                  <c:v>2013</c:v>
                </c:pt>
                <c:pt idx="3">
                  <c:v>2014</c:v>
                </c:pt>
                <c:pt idx="4">
                  <c:v>2015</c:v>
                </c:pt>
                <c:pt idx="5">
                  <c:v>2016</c:v>
                </c:pt>
                <c:pt idx="6">
                  <c:v>2017</c:v>
                </c:pt>
                <c:pt idx="7">
                  <c:v>2018</c:v>
                </c:pt>
                <c:pt idx="8">
                  <c:v>2019</c:v>
                </c:pt>
                <c:pt idx="9">
                  <c:v>2020</c:v>
                </c:pt>
                <c:pt idx="10">
                  <c:v>2021</c:v>
                </c:pt>
                <c:pt idx="11">
                  <c:v>2022</c:v>
                </c:pt>
                <c:pt idx="12">
                  <c:v>2023</c:v>
                </c:pt>
                <c:pt idx="13">
                  <c:v>2024</c:v>
                </c:pt>
                <c:pt idx="14">
                  <c:v>2025</c:v>
                </c:pt>
              </c:strCache>
            </c:strRef>
          </c:cat>
          <c:val>
            <c:numRef>
              <c:f>ВСЕГО!$C$176:$Q$176</c:f>
              <c:numCache>
                <c:formatCode>General</c:formatCode>
                <c:ptCount val="15"/>
                <c:pt idx="0">
                  <c:v>93</c:v>
                </c:pt>
                <c:pt idx="1">
                  <c:v>60</c:v>
                </c:pt>
                <c:pt idx="2">
                  <c:v>51</c:v>
                </c:pt>
                <c:pt idx="3">
                  <c:v>49</c:v>
                </c:pt>
                <c:pt idx="4">
                  <c:v>44</c:v>
                </c:pt>
                <c:pt idx="5">
                  <c:v>78</c:v>
                </c:pt>
                <c:pt idx="6">
                  <c:v>105</c:v>
                </c:pt>
                <c:pt idx="7">
                  <c:v>115</c:v>
                </c:pt>
                <c:pt idx="8">
                  <c:v>117</c:v>
                </c:pt>
                <c:pt idx="9">
                  <c:v>190</c:v>
                </c:pt>
                <c:pt idx="10">
                  <c:v>200</c:v>
                </c:pt>
                <c:pt idx="11">
                  <c:v>390</c:v>
                </c:pt>
                <c:pt idx="12">
                  <c:v>294</c:v>
                </c:pt>
                <c:pt idx="13">
                  <c:v>307</c:v>
                </c:pt>
                <c:pt idx="14">
                  <c:v>358</c:v>
                </c:pt>
              </c:numCache>
            </c:numRef>
          </c:val>
          <c:smooth val="0"/>
        </c:ser>
        <c:dLbls>
          <c:separator xml:space="preserve"> </c:separator>
          <c:showBubbleSize val="0"/>
          <c:showCatName val="0"/>
          <c:showLeaderLines val="0"/>
          <c:showLegendKey val="0"/>
          <c:showPercent val="0"/>
          <c:showSerName val="0"/>
          <c:showVal val="1"/>
        </c:dLbls>
        <c:marker val="1"/>
        <c:smooth val="0"/>
        <c:axId val="106583552"/>
        <c:axId val="106585088"/>
      </c:lineChart>
      <c:catAx>
        <c:axId val="106583552"/>
        <c:scaling>
          <c:orientation val="minMax"/>
        </c:scaling>
        <c:delete val="0"/>
        <c:axPos val="b"/>
        <c:numFmt formatCode="General" sourceLinked="1"/>
        <c:majorTickMark val="none"/>
        <c:minorTickMark val="out"/>
        <c:tickLblPos val="nextTo"/>
        <c:spPr bwMode="auto">
          <a:prstGeom prst="rect">
            <a:avLst/>
          </a:prstGeom>
          <a:noFill/>
          <a:ln w="9525" cap="flat" cmpd="sng" algn="ctr">
            <a:solidFill>
              <a:schemeClr val="tx1">
                <a:lumMod val="15000"/>
                <a:lumOff val="85000"/>
              </a:schemeClr>
            </a:solidFill>
            <a:round/>
          </a:ln>
        </c:spPr>
        <c:txPr>
          <a:bodyPr/>
          <a:lstStyle/>
          <a:p>
            <a:pPr>
              <a:defRPr sz="1200">
                <a:solidFill>
                  <a:schemeClr val="tx1">
                    <a:lumMod val="65000"/>
                    <a:lumOff val="35000"/>
                  </a:schemeClr>
                </a:solidFill>
                <a:latin typeface="Times New Roman"/>
                <a:ea typeface="Times New Roman"/>
                <a:cs typeface="Times New Roman"/>
              </a:defRPr>
            </a:pPr>
            <a:endParaRPr lang="ru-RU"/>
          </a:p>
        </c:txPr>
        <c:crossAx val="106585088"/>
        <c:crosses val="autoZero"/>
        <c:auto val="1"/>
        <c:lblAlgn val="ctr"/>
        <c:lblOffset val="100"/>
        <c:tickMarkSkip val="1"/>
        <c:noMultiLvlLbl val="0"/>
      </c:catAx>
      <c:valAx>
        <c:axId val="106585088"/>
        <c:scaling>
          <c:orientation val="minMax"/>
        </c:scaling>
        <c:delete val="0"/>
        <c:axPos val="l"/>
        <c:majorGridlines>
          <c:spPr bwMode="auto">
            <a:prstGeom prst="rect">
              <a:avLst/>
            </a:prstGeom>
            <a:ln w="9525" cap="flat" cmpd="sng" algn="ctr">
              <a:solidFill>
                <a:schemeClr val="tx1">
                  <a:lumMod val="15000"/>
                  <a:lumOff val="85000"/>
                </a:schemeClr>
              </a:solidFill>
              <a:round/>
            </a:ln>
          </c:spPr>
        </c:majorGridlines>
        <c:numFmt formatCode="General" sourceLinked="1"/>
        <c:majorTickMark val="none"/>
        <c:minorTickMark val="none"/>
        <c:tickLblPos val="nextTo"/>
        <c:spPr bwMode="auto">
          <a:prstGeom prst="rect">
            <a:avLst/>
          </a:prstGeom>
          <a:noFill/>
          <a:ln>
            <a:noFill/>
          </a:ln>
        </c:spPr>
        <c:txPr>
          <a:bodyPr/>
          <a:lstStyle/>
          <a:p>
            <a:pPr>
              <a:defRPr sz="1200">
                <a:solidFill>
                  <a:schemeClr val="tx1">
                    <a:lumMod val="65000"/>
                    <a:lumOff val="35000"/>
                  </a:schemeClr>
                </a:solidFill>
                <a:latin typeface="Times New Roman"/>
                <a:ea typeface="Times New Roman"/>
                <a:cs typeface="Times New Roman"/>
              </a:defRPr>
            </a:pPr>
            <a:endParaRPr lang="ru-RU"/>
          </a:p>
        </c:txPr>
        <c:crossAx val="106583552"/>
        <c:crosses val="autoZero"/>
        <c:crossBetween val="between"/>
      </c:valAx>
      <c:spPr bwMode="auto">
        <a:prstGeom prst="rect">
          <a:avLst/>
        </a:prstGeom>
        <a:noFill/>
        <a:ln>
          <a:noFill/>
        </a:ln>
      </c:spPr>
    </c:plotArea>
    <c:legend>
      <c:legendPos val="b"/>
      <c:layout/>
      <c:overlay val="0"/>
      <c:spPr bwMode="auto">
        <a:prstGeom prst="rect">
          <a:avLst/>
        </a:prstGeom>
        <a:noFill/>
        <a:ln>
          <a:noFill/>
        </a:ln>
        <a:effectLst/>
      </c:spPr>
      <c:txPr>
        <a:bodyPr rot="0" spcFirstLastPara="1" vertOverflow="ellipsis" vert="horz" wrap="square" anchor="ctr" anchorCtr="1"/>
        <a:lstStyle/>
        <a:p>
          <a:pPr>
            <a:defRPr sz="1200">
              <a:solidFill>
                <a:schemeClr val="tx1">
                  <a:lumMod val="65000"/>
                  <a:lumOff val="35000"/>
                </a:schemeClr>
              </a:solidFill>
              <a:latin typeface="Times New Roman"/>
              <a:ea typeface="Times New Roman"/>
              <a:cs typeface="Times New Roman"/>
            </a:defRPr>
          </a:pPr>
          <a:endParaRPr lang="ru-RU"/>
        </a:p>
      </c:txPr>
    </c:legend>
    <c:plotVisOnly val="1"/>
    <c:dispBlanksAs val="gap"/>
    <c:showDLblsOverMax val="0"/>
  </c:chart>
  <c:spPr bwMode="auto">
    <a:prstGeom prst="rect">
      <a:avLst/>
    </a:prstGeom>
    <a:solidFill>
      <a:schemeClr val="bg1"/>
    </a:solidFill>
    <a:ln w="9525" cap="flat" cmpd="sng" algn="ctr">
      <a:solidFill>
        <a:schemeClr val="tx1">
          <a:lumMod val="15000"/>
          <a:lumOff val="85000"/>
        </a:schemeClr>
      </a:solidFill>
      <a:round/>
    </a:ln>
  </c:spPr>
  <c:txPr>
    <a:bodyPr/>
    <a:lstStyle/>
    <a:p>
      <a:pPr>
        <a:defRPr sz="1000">
          <a:solidFill>
            <a:schemeClr val="tx1"/>
          </a:solidFill>
          <a:latin typeface="+mn-lt"/>
          <a:ea typeface="+mn-ea"/>
          <a:cs typeface="+mn-cs"/>
        </a:defRPr>
      </a:pPr>
      <a:endParaRPr lang="ru-RU"/>
    </a:p>
  </c:txPr>
  <c:externalData r:id="rId1">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mc="http://schemas.openxmlformats.org/markup-compatibility/2006" xmlns:c15="http://schemas.microsoft.com/office/drawing/2012/chart" xmlns:c14="http://schemas.microsoft.com/office/drawing/2007/8/2/chart" xmlns:c16r2="http://schemas.microsoft.com/office/drawing/2015/06/chart">
  <c:date1904 val="0"/>
  <c:lang val="ru-RU"/>
  <c:roundedCorners val="0"/>
  <mc:AlternateContent>
    <mc:Choice Requires="c14">
      <c14:style val="102"/>
    </mc:Choice>
    <mc:Fallback>
      <c:style val="2"/>
    </mc:Fallback>
  </mc:AlternateContent>
  <c:chart>
    <c:plotArea>
      <c:layout/>
      <c:lineChart>
        <c:grouping val="standard"/>
        <c:varyColors val="0"/>
        <c:ser>
          <c:idx val="0"/>
          <c:order val="0"/>
          <c:tx>
            <c:strRef>
              <c:f>ВСЕГО!$B$156</c:f>
              <c:strCache>
                <c:ptCount val="1"/>
                <c:pt idx="0">
                  <c:v xml:space="preserve">Трудовые права</c:v>
                </c:pt>
              </c:strCache>
            </c:strRef>
          </c:tx>
          <c:spPr bwMode="auto">
            <a:prstGeom prst="rect">
              <a:avLst/>
            </a:prstGeom>
            <a:ln w="28575" cap="rnd">
              <a:solidFill>
                <a:schemeClr val="accent1"/>
              </a:solidFill>
              <a:round/>
            </a:ln>
          </c:spPr>
          <c:marker>
            <c:symbol val="circle"/>
            <c:size val="5"/>
            <c:spPr bwMode="auto">
              <a:prstGeom prst="rect">
                <a:avLst/>
              </a:prstGeom>
              <a:solidFill>
                <a:schemeClr val="accent1"/>
              </a:solidFill>
              <a:ln/>
            </c:spPr>
          </c:marker>
          <c:dLbls>
            <c:dLblPos val="t"/>
            <c:separator xml:space="preserve"> </c:separator>
            <c:showBubbleSize val="0"/>
            <c:showCatName val="0"/>
            <c:showLeaderLines val="0"/>
            <c:showLegendKey val="0"/>
            <c:showPercent val="0"/>
            <c:showSerName val="0"/>
            <c:showVal val="1"/>
            <c:spPr bwMode="auto">
              <a:prstGeom prst="rect">
                <a:avLst/>
              </a:prstGeom>
              <a:noFill/>
              <a:ln>
                <a:noFill/>
              </a:ln>
            </c:spPr>
            <c:txPr>
              <a:bodyPr/>
              <a:lstStyle/>
              <a:p>
                <a:pPr>
                  <a:defRPr sz="1200">
                    <a:solidFill>
                      <a:schemeClr val="tx1">
                        <a:lumMod val="75000"/>
                        <a:lumOff val="25000"/>
                      </a:schemeClr>
                    </a:solidFill>
                    <a:latin typeface="Times New Roman"/>
                    <a:ea typeface="Times New Roman"/>
                    <a:cs typeface="Times New Roman"/>
                  </a:defRPr>
                </a:pPr>
                <a:endParaRPr lang="ru-RU"/>
              </a:p>
            </c:txPr>
          </c:dLbls>
          <c:cat>
            <c:strRef>
              <c:f>ВСЕГО!$C$155:$Q$155</c:f>
              <c:strCache>
                <c:ptCount val="15"/>
                <c:pt idx="0">
                  <c:v>2011</c:v>
                </c:pt>
                <c:pt idx="1">
                  <c:v>2012</c:v>
                </c:pt>
                <c:pt idx="2">
                  <c:v>2013</c:v>
                </c:pt>
                <c:pt idx="3">
                  <c:v>2014</c:v>
                </c:pt>
                <c:pt idx="4">
                  <c:v>2015</c:v>
                </c:pt>
                <c:pt idx="5">
                  <c:v>2016</c:v>
                </c:pt>
                <c:pt idx="6">
                  <c:v>2017</c:v>
                </c:pt>
                <c:pt idx="7">
                  <c:v>2018</c:v>
                </c:pt>
                <c:pt idx="8">
                  <c:v>2019</c:v>
                </c:pt>
                <c:pt idx="9">
                  <c:v>2020</c:v>
                </c:pt>
                <c:pt idx="10">
                  <c:v>2021</c:v>
                </c:pt>
                <c:pt idx="11">
                  <c:v>2022</c:v>
                </c:pt>
                <c:pt idx="12">
                  <c:v>2023</c:v>
                </c:pt>
                <c:pt idx="13">
                  <c:v>2024</c:v>
                </c:pt>
                <c:pt idx="14">
                  <c:v>2025</c:v>
                </c:pt>
              </c:strCache>
            </c:strRef>
          </c:cat>
          <c:val>
            <c:numRef>
              <c:f>ВСЕГО!$C$156:$Q$156</c:f>
              <c:numCache>
                <c:formatCode>General</c:formatCode>
                <c:ptCount val="15"/>
                <c:pt idx="0">
                  <c:v>87</c:v>
                </c:pt>
                <c:pt idx="1">
                  <c:v>59</c:v>
                </c:pt>
                <c:pt idx="2">
                  <c:v>32</c:v>
                </c:pt>
                <c:pt idx="3">
                  <c:v>42</c:v>
                </c:pt>
                <c:pt idx="4">
                  <c:v>34</c:v>
                </c:pt>
                <c:pt idx="5">
                  <c:v>78</c:v>
                </c:pt>
                <c:pt idx="6">
                  <c:v>59</c:v>
                </c:pt>
                <c:pt idx="7">
                  <c:v>53</c:v>
                </c:pt>
                <c:pt idx="8">
                  <c:v>86</c:v>
                </c:pt>
                <c:pt idx="9">
                  <c:v>111</c:v>
                </c:pt>
                <c:pt idx="10">
                  <c:v>90</c:v>
                </c:pt>
                <c:pt idx="11">
                  <c:v>121</c:v>
                </c:pt>
                <c:pt idx="12">
                  <c:v>68</c:v>
                </c:pt>
                <c:pt idx="13">
                  <c:v>78</c:v>
                </c:pt>
                <c:pt idx="14">
                  <c:v>81</c:v>
                </c:pt>
              </c:numCache>
            </c:numRef>
          </c:val>
          <c:smooth val="0"/>
        </c:ser>
        <c:ser>
          <c:idx val="1"/>
          <c:order val="1"/>
          <c:tx>
            <c:strRef>
              <c:f>ВСЕГО!$B$157</c:f>
              <c:strCache>
                <c:ptCount val="1"/>
                <c:pt idx="0">
                  <c:v xml:space="preserve">Право на благоприятную окружающую среду</c:v>
                </c:pt>
              </c:strCache>
            </c:strRef>
          </c:tx>
          <c:spPr bwMode="auto">
            <a:prstGeom prst="rect">
              <a:avLst/>
            </a:prstGeom>
            <a:ln w="28575" cap="rnd">
              <a:solidFill>
                <a:schemeClr val="accent2"/>
              </a:solidFill>
              <a:round/>
            </a:ln>
          </c:spPr>
          <c:marker>
            <c:symbol val="circle"/>
            <c:size val="5"/>
            <c:spPr bwMode="auto">
              <a:prstGeom prst="rect">
                <a:avLst/>
              </a:prstGeom>
              <a:solidFill>
                <a:schemeClr val="accent2"/>
              </a:solidFill>
              <a:ln/>
            </c:spPr>
          </c:marker>
          <c:dLbls>
            <c:dLbl>
              <c:idx val="12"/>
              <c:dLblPos val="t"/>
              <c:layout>
                <c:manualLayout>
                  <c:x val="-0.018540"/>
                  <c:y val="0.060240"/>
                </c:manualLayout>
              </c:layout>
              <c:separator xml:space="preserve"> </c:separator>
              <c:showBubbleSize val="0"/>
              <c:showCatName val="0"/>
              <c:showLegendKey val="0"/>
              <c:showPercent val="0"/>
              <c:showSerName val="0"/>
              <c:showVal val="1"/>
            </c:dLbl>
            <c:dLblPos val="t"/>
            <c:separator xml:space="preserve"> </c:separator>
            <c:showBubbleSize val="0"/>
            <c:showCatName val="0"/>
            <c:showLeaderLines val="0"/>
            <c:showLegendKey val="0"/>
            <c:showPercent val="0"/>
            <c:showSerName val="0"/>
            <c:showVal val="1"/>
            <c:spPr bwMode="auto">
              <a:prstGeom prst="rect">
                <a:avLst/>
              </a:prstGeom>
              <a:noFill/>
              <a:ln>
                <a:noFill/>
              </a:ln>
            </c:spPr>
            <c:txPr>
              <a:bodyPr/>
              <a:lstStyle/>
              <a:p>
                <a:pPr>
                  <a:defRPr sz="1200">
                    <a:solidFill>
                      <a:schemeClr val="tx1">
                        <a:lumMod val="75000"/>
                        <a:lumOff val="25000"/>
                      </a:schemeClr>
                    </a:solidFill>
                    <a:latin typeface="Times New Roman"/>
                    <a:ea typeface="Times New Roman"/>
                    <a:cs typeface="Times New Roman"/>
                  </a:defRPr>
                </a:pPr>
                <a:endParaRPr lang="ru-RU"/>
              </a:p>
            </c:txPr>
          </c:dLbls>
          <c:cat>
            <c:strRef>
              <c:f>ВСЕГО!$C$155:$Q$155</c:f>
              <c:strCache>
                <c:ptCount val="15"/>
                <c:pt idx="0">
                  <c:v>2011</c:v>
                </c:pt>
                <c:pt idx="1">
                  <c:v>2012</c:v>
                </c:pt>
                <c:pt idx="2">
                  <c:v>2013</c:v>
                </c:pt>
                <c:pt idx="3">
                  <c:v>2014</c:v>
                </c:pt>
                <c:pt idx="4">
                  <c:v>2015</c:v>
                </c:pt>
                <c:pt idx="5">
                  <c:v>2016</c:v>
                </c:pt>
                <c:pt idx="6">
                  <c:v>2017</c:v>
                </c:pt>
                <c:pt idx="7">
                  <c:v>2018</c:v>
                </c:pt>
                <c:pt idx="8">
                  <c:v>2019</c:v>
                </c:pt>
                <c:pt idx="9">
                  <c:v>2020</c:v>
                </c:pt>
                <c:pt idx="10">
                  <c:v>2021</c:v>
                </c:pt>
                <c:pt idx="11">
                  <c:v>2022</c:v>
                </c:pt>
                <c:pt idx="12">
                  <c:v>2023</c:v>
                </c:pt>
                <c:pt idx="13">
                  <c:v>2024</c:v>
                </c:pt>
                <c:pt idx="14">
                  <c:v>2025</c:v>
                </c:pt>
              </c:strCache>
            </c:strRef>
          </c:cat>
          <c:val>
            <c:numRef>
              <c:f>ВСЕГО!$C$157:$Q$157</c:f>
              <c:numCache>
                <c:formatCode>General</c:formatCode>
                <c:ptCount val="15"/>
                <c:pt idx="0">
                  <c:v>16</c:v>
                </c:pt>
                <c:pt idx="1">
                  <c:v>13</c:v>
                </c:pt>
                <c:pt idx="2">
                  <c:v>14</c:v>
                </c:pt>
                <c:pt idx="3">
                  <c:v>21</c:v>
                </c:pt>
                <c:pt idx="4">
                  <c:v>30</c:v>
                </c:pt>
                <c:pt idx="5">
                  <c:v>30</c:v>
                </c:pt>
                <c:pt idx="6">
                  <c:v>46</c:v>
                </c:pt>
                <c:pt idx="7">
                  <c:v>26</c:v>
                </c:pt>
                <c:pt idx="8">
                  <c:v>23</c:v>
                </c:pt>
                <c:pt idx="9">
                  <c:v>39</c:v>
                </c:pt>
                <c:pt idx="10">
                  <c:v>53</c:v>
                </c:pt>
                <c:pt idx="11">
                  <c:v>81</c:v>
                </c:pt>
                <c:pt idx="12">
                  <c:v>62</c:v>
                </c:pt>
                <c:pt idx="13">
                  <c:v>42</c:v>
                </c:pt>
                <c:pt idx="14">
                  <c:v>47</c:v>
                </c:pt>
              </c:numCache>
            </c:numRef>
          </c:val>
          <c:smooth val="0"/>
        </c:ser>
        <c:dLbls>
          <c:separator xml:space="preserve"> </c:separator>
          <c:showBubbleSize val="0"/>
          <c:showCatName val="0"/>
          <c:showLeaderLines val="0"/>
          <c:showLegendKey val="0"/>
          <c:showPercent val="0"/>
          <c:showSerName val="0"/>
          <c:showVal val="1"/>
        </c:dLbls>
        <c:marker val="1"/>
        <c:smooth val="0"/>
        <c:axId val="107495424"/>
        <c:axId val="107496960"/>
      </c:lineChart>
      <c:catAx>
        <c:axId val="107495424"/>
        <c:scaling>
          <c:orientation val="minMax"/>
        </c:scaling>
        <c:delete val="0"/>
        <c:axPos val="b"/>
        <c:numFmt formatCode="General" sourceLinked="1"/>
        <c:majorTickMark val="none"/>
        <c:minorTickMark val="out"/>
        <c:tickLblPos val="nextTo"/>
        <c:spPr bwMode="auto">
          <a:prstGeom prst="rect">
            <a:avLst/>
          </a:prstGeom>
          <a:noFill/>
          <a:ln w="9525" cap="flat" cmpd="sng" algn="ctr">
            <a:solidFill>
              <a:schemeClr val="tx1">
                <a:lumMod val="15000"/>
                <a:lumOff val="85000"/>
              </a:schemeClr>
            </a:solidFill>
            <a:round/>
          </a:ln>
        </c:spPr>
        <c:txPr>
          <a:bodyPr/>
          <a:lstStyle/>
          <a:p>
            <a:pPr>
              <a:defRPr sz="1200">
                <a:solidFill>
                  <a:schemeClr val="tx1">
                    <a:lumMod val="65000"/>
                    <a:lumOff val="35000"/>
                  </a:schemeClr>
                </a:solidFill>
                <a:latin typeface="Times New Roman"/>
                <a:ea typeface="Times New Roman"/>
                <a:cs typeface="Times New Roman"/>
              </a:defRPr>
            </a:pPr>
            <a:endParaRPr lang="ru-RU"/>
          </a:p>
        </c:txPr>
        <c:crossAx val="107496960"/>
        <c:crosses val="autoZero"/>
        <c:auto val="1"/>
        <c:lblAlgn val="ctr"/>
        <c:lblOffset val="100"/>
        <c:tickMarkSkip val="1"/>
        <c:noMultiLvlLbl val="0"/>
      </c:catAx>
      <c:valAx>
        <c:axId val="107496960"/>
        <c:scaling>
          <c:orientation val="minMax"/>
        </c:scaling>
        <c:delete val="0"/>
        <c:axPos val="l"/>
        <c:majorGridlines>
          <c:spPr bwMode="auto">
            <a:prstGeom prst="rect">
              <a:avLst/>
            </a:prstGeom>
            <a:ln w="9525" cap="flat" cmpd="sng" algn="ctr">
              <a:solidFill>
                <a:schemeClr val="tx1">
                  <a:lumMod val="15000"/>
                  <a:lumOff val="85000"/>
                </a:schemeClr>
              </a:solidFill>
              <a:round/>
            </a:ln>
          </c:spPr>
        </c:majorGridlines>
        <c:numFmt formatCode="General" sourceLinked="1"/>
        <c:majorTickMark val="none"/>
        <c:minorTickMark val="none"/>
        <c:tickLblPos val="nextTo"/>
        <c:spPr bwMode="auto">
          <a:prstGeom prst="rect">
            <a:avLst/>
          </a:prstGeom>
          <a:noFill/>
          <a:ln>
            <a:noFill/>
          </a:ln>
        </c:spPr>
        <c:txPr>
          <a:bodyPr/>
          <a:lstStyle/>
          <a:p>
            <a:pPr>
              <a:defRPr sz="1200">
                <a:solidFill>
                  <a:schemeClr val="tx1">
                    <a:lumMod val="65000"/>
                    <a:lumOff val="35000"/>
                  </a:schemeClr>
                </a:solidFill>
                <a:latin typeface="Times New Roman"/>
                <a:ea typeface="Times New Roman"/>
                <a:cs typeface="Times New Roman"/>
              </a:defRPr>
            </a:pPr>
            <a:endParaRPr lang="ru-RU"/>
          </a:p>
        </c:txPr>
        <c:crossAx val="107495424"/>
        <c:crosses val="autoZero"/>
        <c:crossBetween val="between"/>
      </c:valAx>
      <c:spPr bwMode="auto">
        <a:prstGeom prst="rect">
          <a:avLst/>
        </a:prstGeom>
        <a:noFill/>
        <a:ln>
          <a:noFill/>
        </a:ln>
      </c:spPr>
    </c:plotArea>
    <c:legend>
      <c:legendPos val="b"/>
      <c:layout/>
      <c:overlay val="0"/>
      <c:spPr bwMode="auto">
        <a:prstGeom prst="rect">
          <a:avLst/>
        </a:prstGeom>
        <a:noFill/>
        <a:ln>
          <a:noFill/>
        </a:ln>
        <a:effectLst/>
      </c:spPr>
      <c:txPr>
        <a:bodyPr rot="0" spcFirstLastPara="1" vertOverflow="ellipsis" vert="horz" wrap="square" anchor="ctr" anchorCtr="1"/>
        <a:lstStyle/>
        <a:p>
          <a:pPr>
            <a:defRPr sz="1200">
              <a:solidFill>
                <a:schemeClr val="tx1">
                  <a:lumMod val="65000"/>
                  <a:lumOff val="35000"/>
                </a:schemeClr>
              </a:solidFill>
              <a:latin typeface="Times New Roman"/>
              <a:ea typeface="Times New Roman"/>
              <a:cs typeface="Times New Roman"/>
            </a:defRPr>
          </a:pPr>
          <a:endParaRPr lang="ru-RU"/>
        </a:p>
      </c:txPr>
    </c:legend>
    <c:plotVisOnly val="1"/>
    <c:dispBlanksAs val="gap"/>
    <c:showDLblsOverMax val="0"/>
  </c:chart>
  <c:spPr bwMode="auto">
    <a:prstGeom prst="rect">
      <a:avLst/>
    </a:prstGeom>
    <a:solidFill>
      <a:schemeClr val="bg1"/>
    </a:solidFill>
    <a:ln w="9525" cap="flat" cmpd="sng" algn="ctr">
      <a:solidFill>
        <a:schemeClr val="tx1">
          <a:lumMod val="15000"/>
          <a:lumOff val="85000"/>
        </a:schemeClr>
      </a:solidFill>
      <a:round/>
    </a:ln>
  </c:spPr>
  <c:txPr>
    <a:bodyPr/>
    <a:lstStyle/>
    <a:p>
      <a:pPr>
        <a:defRPr sz="1000">
          <a:solidFill>
            <a:schemeClr val="tx1"/>
          </a:solidFill>
          <a:latin typeface="+mn-lt"/>
          <a:ea typeface="+mn-ea"/>
          <a:cs typeface="+mn-cs"/>
        </a:defRPr>
      </a:pPr>
      <a:endParaRPr lang="ru-RU"/>
    </a:p>
  </c:txPr>
  <c:externalData r:id="rId1">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mc="http://schemas.openxmlformats.org/markup-compatibility/2006" xmlns:c15="http://schemas.microsoft.com/office/drawing/2012/chart" xmlns:c14="http://schemas.microsoft.com/office/drawing/2007/8/2/chart" xmlns:c16r2="http://schemas.microsoft.com/office/drawing/2015/06/chart">
  <c:date1904 val="0"/>
  <c:lang val="ru-RU"/>
  <c:roundedCorners val="0"/>
  <mc:AlternateContent>
    <mc:Choice Requires="c14">
      <c14:style val="102"/>
    </mc:Choice>
    <mc:Fallback>
      <c:style val="2"/>
    </mc:Fallback>
  </mc:AlternateContent>
  <c:chart>
    <c:plotArea>
      <c:layout/>
      <c:lineChart>
        <c:grouping val="standard"/>
        <c:varyColors val="0"/>
        <c:ser>
          <c:idx val="0"/>
          <c:order val="0"/>
          <c:tx>
            <c:strRef>
              <c:f>ВСЕГО!$B$166</c:f>
              <c:strCache>
                <c:ptCount val="1"/>
                <c:pt idx="0">
                  <c:v xml:space="preserve">Право на гражданство</c:v>
                </c:pt>
              </c:strCache>
            </c:strRef>
          </c:tx>
          <c:spPr bwMode="auto">
            <a:prstGeom prst="rect">
              <a:avLst/>
            </a:prstGeom>
            <a:ln w="28575" cap="rnd">
              <a:solidFill>
                <a:schemeClr val="accent1"/>
              </a:solidFill>
              <a:round/>
            </a:ln>
          </c:spPr>
          <c:marker>
            <c:symbol val="circle"/>
            <c:size val="5"/>
            <c:spPr bwMode="auto">
              <a:prstGeom prst="rect">
                <a:avLst/>
              </a:prstGeom>
              <a:solidFill>
                <a:schemeClr val="accent1"/>
              </a:solidFill>
              <a:ln/>
            </c:spPr>
          </c:marker>
          <c:dLbls>
            <c:dLblPos val="t"/>
            <c:separator xml:space="preserve"> </c:separator>
            <c:showBubbleSize val="0"/>
            <c:showCatName val="0"/>
            <c:showLeaderLines val="0"/>
            <c:showLegendKey val="0"/>
            <c:showPercent val="0"/>
            <c:showSerName val="0"/>
            <c:showVal val="1"/>
            <c:spPr bwMode="auto">
              <a:prstGeom prst="rect">
                <a:avLst/>
              </a:prstGeom>
              <a:noFill/>
              <a:ln>
                <a:noFill/>
              </a:ln>
            </c:spPr>
            <c:txPr>
              <a:bodyPr/>
              <a:lstStyle/>
              <a:p>
                <a:pPr>
                  <a:defRPr sz="1200">
                    <a:solidFill>
                      <a:schemeClr val="tx1">
                        <a:lumMod val="75000"/>
                        <a:lumOff val="25000"/>
                      </a:schemeClr>
                    </a:solidFill>
                    <a:latin typeface="Times New Roman"/>
                    <a:ea typeface="Times New Roman"/>
                    <a:cs typeface="Times New Roman"/>
                  </a:defRPr>
                </a:pPr>
                <a:endParaRPr lang="ru-RU"/>
              </a:p>
            </c:txPr>
          </c:dLbls>
          <c:cat>
            <c:strRef>
              <c:f>ВСЕГО!$C$165:$Q$165</c:f>
              <c:strCache>
                <c:ptCount val="15"/>
                <c:pt idx="0">
                  <c:v>2011</c:v>
                </c:pt>
                <c:pt idx="1">
                  <c:v>2012</c:v>
                </c:pt>
                <c:pt idx="2">
                  <c:v>2013</c:v>
                </c:pt>
                <c:pt idx="3">
                  <c:v>2014</c:v>
                </c:pt>
                <c:pt idx="4">
                  <c:v>2015</c:v>
                </c:pt>
                <c:pt idx="5">
                  <c:v>2016</c:v>
                </c:pt>
                <c:pt idx="6">
                  <c:v>2017</c:v>
                </c:pt>
                <c:pt idx="7">
                  <c:v>2018</c:v>
                </c:pt>
                <c:pt idx="8">
                  <c:v>2019</c:v>
                </c:pt>
                <c:pt idx="9">
                  <c:v>2020</c:v>
                </c:pt>
                <c:pt idx="10">
                  <c:v>2021</c:v>
                </c:pt>
                <c:pt idx="11">
                  <c:v>2022</c:v>
                </c:pt>
                <c:pt idx="12">
                  <c:v>2023</c:v>
                </c:pt>
                <c:pt idx="13">
                  <c:v>2024</c:v>
                </c:pt>
                <c:pt idx="14">
                  <c:v>2025</c:v>
                </c:pt>
              </c:strCache>
            </c:strRef>
          </c:cat>
          <c:val>
            <c:numRef>
              <c:f>ВСЕГО!$C$166:$Q$166</c:f>
              <c:numCache>
                <c:formatCode>General</c:formatCode>
                <c:ptCount val="15"/>
                <c:pt idx="0">
                  <c:v>27</c:v>
                </c:pt>
                <c:pt idx="1">
                  <c:v>26</c:v>
                </c:pt>
                <c:pt idx="2">
                  <c:v>25</c:v>
                </c:pt>
                <c:pt idx="3">
                  <c:v>16</c:v>
                </c:pt>
                <c:pt idx="4">
                  <c:v>37</c:v>
                </c:pt>
                <c:pt idx="5">
                  <c:v>33</c:v>
                </c:pt>
                <c:pt idx="6">
                  <c:v>29</c:v>
                </c:pt>
                <c:pt idx="7">
                  <c:v>44</c:v>
                </c:pt>
                <c:pt idx="8">
                  <c:v>28</c:v>
                </c:pt>
                <c:pt idx="9">
                  <c:v>35</c:v>
                </c:pt>
                <c:pt idx="10">
                  <c:v>34</c:v>
                </c:pt>
                <c:pt idx="11">
                  <c:v>142</c:v>
                </c:pt>
                <c:pt idx="12">
                  <c:v>82</c:v>
                </c:pt>
                <c:pt idx="13">
                  <c:v>36</c:v>
                </c:pt>
                <c:pt idx="14">
                  <c:v>56</c:v>
                </c:pt>
              </c:numCache>
            </c:numRef>
          </c:val>
          <c:smooth val="0"/>
        </c:ser>
        <c:ser>
          <c:idx val="1"/>
          <c:order val="1"/>
          <c:tx>
            <c:strRef>
              <c:f>ВСЕГО!$B$167</c:f>
              <c:strCache>
                <c:ptCount val="1"/>
                <c:pt idx="0">
                  <c:v xml:space="preserve">Право на исполнение решения суда (жалобы на сотрудников УФССП)</c:v>
                </c:pt>
              </c:strCache>
            </c:strRef>
          </c:tx>
          <c:spPr bwMode="auto">
            <a:prstGeom prst="rect">
              <a:avLst/>
            </a:prstGeom>
            <a:ln w="28575" cap="rnd">
              <a:solidFill>
                <a:schemeClr val="accent2"/>
              </a:solidFill>
              <a:round/>
            </a:ln>
          </c:spPr>
          <c:marker>
            <c:symbol val="circle"/>
            <c:size val="5"/>
            <c:spPr bwMode="auto">
              <a:prstGeom prst="rect">
                <a:avLst/>
              </a:prstGeom>
              <a:solidFill>
                <a:schemeClr val="accent2"/>
              </a:solidFill>
              <a:ln/>
            </c:spPr>
          </c:marker>
          <c:dLbls>
            <c:dLblPos val="t"/>
            <c:separator xml:space="preserve"> </c:separator>
            <c:showBubbleSize val="0"/>
            <c:showCatName val="0"/>
            <c:showLeaderLines val="0"/>
            <c:showLegendKey val="0"/>
            <c:showPercent val="0"/>
            <c:showSerName val="0"/>
            <c:showVal val="1"/>
            <c:spPr bwMode="auto">
              <a:prstGeom prst="rect">
                <a:avLst/>
              </a:prstGeom>
              <a:noFill/>
              <a:ln>
                <a:noFill/>
              </a:ln>
            </c:spPr>
            <c:txPr>
              <a:bodyPr/>
              <a:lstStyle/>
              <a:p>
                <a:pPr>
                  <a:defRPr sz="1200">
                    <a:solidFill>
                      <a:schemeClr val="tx1">
                        <a:lumMod val="75000"/>
                        <a:lumOff val="25000"/>
                      </a:schemeClr>
                    </a:solidFill>
                    <a:latin typeface="Times New Roman"/>
                    <a:ea typeface="Times New Roman"/>
                    <a:cs typeface="Times New Roman"/>
                  </a:defRPr>
                </a:pPr>
                <a:endParaRPr lang="ru-RU"/>
              </a:p>
            </c:txPr>
          </c:dLbls>
          <c:cat>
            <c:strRef>
              <c:f>ВСЕГО!$C$165:$Q$165</c:f>
              <c:strCache>
                <c:ptCount val="15"/>
                <c:pt idx="0">
                  <c:v>2011</c:v>
                </c:pt>
                <c:pt idx="1">
                  <c:v>2012</c:v>
                </c:pt>
                <c:pt idx="2">
                  <c:v>2013</c:v>
                </c:pt>
                <c:pt idx="3">
                  <c:v>2014</c:v>
                </c:pt>
                <c:pt idx="4">
                  <c:v>2015</c:v>
                </c:pt>
                <c:pt idx="5">
                  <c:v>2016</c:v>
                </c:pt>
                <c:pt idx="6">
                  <c:v>2017</c:v>
                </c:pt>
                <c:pt idx="7">
                  <c:v>2018</c:v>
                </c:pt>
                <c:pt idx="8">
                  <c:v>2019</c:v>
                </c:pt>
                <c:pt idx="9">
                  <c:v>2020</c:v>
                </c:pt>
                <c:pt idx="10">
                  <c:v>2021</c:v>
                </c:pt>
                <c:pt idx="11">
                  <c:v>2022</c:v>
                </c:pt>
                <c:pt idx="12">
                  <c:v>2023</c:v>
                </c:pt>
                <c:pt idx="13">
                  <c:v>2024</c:v>
                </c:pt>
                <c:pt idx="14">
                  <c:v>2025</c:v>
                </c:pt>
              </c:strCache>
            </c:strRef>
          </c:cat>
          <c:val>
            <c:numRef>
              <c:f>ВСЕГО!$C$167:$Q$167</c:f>
              <c:numCache>
                <c:formatCode>General</c:formatCode>
                <c:ptCount val="15"/>
                <c:pt idx="0">
                  <c:v>96</c:v>
                </c:pt>
                <c:pt idx="1">
                  <c:v>35</c:v>
                </c:pt>
                <c:pt idx="2">
                  <c:v>90</c:v>
                </c:pt>
                <c:pt idx="3">
                  <c:v>46</c:v>
                </c:pt>
                <c:pt idx="4">
                  <c:v>26</c:v>
                </c:pt>
                <c:pt idx="5">
                  <c:v>50</c:v>
                </c:pt>
                <c:pt idx="6">
                  <c:v>86</c:v>
                </c:pt>
                <c:pt idx="7">
                  <c:v>30</c:v>
                </c:pt>
                <c:pt idx="8">
                  <c:v>39</c:v>
                </c:pt>
                <c:pt idx="9">
                  <c:v>91</c:v>
                </c:pt>
                <c:pt idx="10">
                  <c:v>118</c:v>
                </c:pt>
                <c:pt idx="11">
                  <c:v>216</c:v>
                </c:pt>
                <c:pt idx="12">
                  <c:v>144</c:v>
                </c:pt>
                <c:pt idx="13">
                  <c:v>109</c:v>
                </c:pt>
                <c:pt idx="14">
                  <c:v>104</c:v>
                </c:pt>
              </c:numCache>
            </c:numRef>
          </c:val>
          <c:smooth val="0"/>
        </c:ser>
        <c:dLbls>
          <c:separator xml:space="preserve"> </c:separator>
          <c:showBubbleSize val="0"/>
          <c:showCatName val="0"/>
          <c:showLeaderLines val="0"/>
          <c:showLegendKey val="0"/>
          <c:showPercent val="0"/>
          <c:showSerName val="0"/>
          <c:showVal val="1"/>
        </c:dLbls>
        <c:marker val="1"/>
        <c:smooth val="0"/>
        <c:axId val="80828672"/>
        <c:axId val="104280064"/>
      </c:lineChart>
      <c:catAx>
        <c:axId val="80828672"/>
        <c:scaling>
          <c:orientation val="minMax"/>
        </c:scaling>
        <c:delete val="0"/>
        <c:axPos val="b"/>
        <c:numFmt formatCode="General" sourceLinked="1"/>
        <c:majorTickMark val="none"/>
        <c:minorTickMark val="out"/>
        <c:tickLblPos val="nextTo"/>
        <c:spPr bwMode="auto">
          <a:prstGeom prst="rect">
            <a:avLst/>
          </a:prstGeom>
          <a:noFill/>
          <a:ln w="9525" cap="flat" cmpd="sng" algn="ctr">
            <a:solidFill>
              <a:schemeClr val="tx1">
                <a:lumMod val="15000"/>
                <a:lumOff val="85000"/>
              </a:schemeClr>
            </a:solidFill>
            <a:round/>
          </a:ln>
        </c:spPr>
        <c:txPr>
          <a:bodyPr/>
          <a:lstStyle/>
          <a:p>
            <a:pPr>
              <a:defRPr sz="900">
                <a:solidFill>
                  <a:schemeClr val="tx1">
                    <a:lumMod val="65000"/>
                    <a:lumOff val="35000"/>
                  </a:schemeClr>
                </a:solidFill>
                <a:latin typeface="Calibri"/>
                <a:ea typeface="Arial"/>
                <a:cs typeface="Arial"/>
              </a:defRPr>
            </a:pPr>
            <a:endParaRPr lang="ru-RU"/>
          </a:p>
        </c:txPr>
        <c:crossAx val="104280064"/>
        <c:crosses val="autoZero"/>
        <c:auto val="1"/>
        <c:lblAlgn val="ctr"/>
        <c:lblOffset val="100"/>
        <c:tickMarkSkip val="1"/>
        <c:noMultiLvlLbl val="0"/>
      </c:catAx>
      <c:valAx>
        <c:axId val="104280064"/>
        <c:scaling>
          <c:orientation val="minMax"/>
        </c:scaling>
        <c:delete val="0"/>
        <c:axPos val="l"/>
        <c:majorGridlines>
          <c:spPr bwMode="auto">
            <a:prstGeom prst="rect">
              <a:avLst/>
            </a:prstGeom>
            <a:ln w="9525" cap="flat" cmpd="sng" algn="ctr">
              <a:solidFill>
                <a:schemeClr val="tx1">
                  <a:lumMod val="15000"/>
                  <a:lumOff val="85000"/>
                </a:schemeClr>
              </a:solidFill>
              <a:round/>
            </a:ln>
          </c:spPr>
        </c:majorGridlines>
        <c:numFmt formatCode="General" sourceLinked="1"/>
        <c:majorTickMark val="none"/>
        <c:minorTickMark val="none"/>
        <c:tickLblPos val="nextTo"/>
        <c:spPr bwMode="auto">
          <a:prstGeom prst="rect">
            <a:avLst/>
          </a:prstGeom>
          <a:noFill/>
          <a:ln>
            <a:noFill/>
          </a:ln>
        </c:spPr>
        <c:txPr>
          <a:bodyPr/>
          <a:lstStyle/>
          <a:p>
            <a:pPr>
              <a:defRPr sz="1200">
                <a:solidFill>
                  <a:schemeClr val="tx1">
                    <a:lumMod val="65000"/>
                    <a:lumOff val="35000"/>
                  </a:schemeClr>
                </a:solidFill>
                <a:latin typeface="Times New Roman"/>
                <a:ea typeface="Times New Roman"/>
                <a:cs typeface="Times New Roman"/>
              </a:defRPr>
            </a:pPr>
            <a:endParaRPr lang="ru-RU"/>
          </a:p>
        </c:txPr>
        <c:crossAx val="80828672"/>
        <c:crosses val="autoZero"/>
        <c:crossBetween val="between"/>
      </c:valAx>
      <c:spPr bwMode="auto">
        <a:prstGeom prst="rect">
          <a:avLst/>
        </a:prstGeom>
        <a:noFill/>
        <a:ln>
          <a:noFill/>
        </a:ln>
      </c:spPr>
    </c:plotArea>
    <c:legend>
      <c:legendPos val="b"/>
      <c:layout/>
      <c:overlay val="0"/>
      <c:spPr bwMode="auto">
        <a:prstGeom prst="rect">
          <a:avLst/>
        </a:prstGeom>
        <a:noFill/>
        <a:ln>
          <a:noFill/>
        </a:ln>
        <a:effectLst/>
      </c:spPr>
      <c:txPr>
        <a:bodyPr rot="0" spcFirstLastPara="1" vertOverflow="ellipsis" vert="horz" wrap="square" anchor="ctr" anchorCtr="1"/>
        <a:lstStyle/>
        <a:p>
          <a:pPr>
            <a:defRPr sz="1200">
              <a:solidFill>
                <a:schemeClr val="tx1">
                  <a:lumMod val="65000"/>
                  <a:lumOff val="35000"/>
                </a:schemeClr>
              </a:solidFill>
              <a:latin typeface="Times New Roman"/>
              <a:ea typeface="Times New Roman"/>
              <a:cs typeface="Times New Roman"/>
            </a:defRPr>
          </a:pPr>
          <a:endParaRPr lang="ru-RU"/>
        </a:p>
      </c:txPr>
    </c:legend>
    <c:plotVisOnly val="1"/>
    <c:dispBlanksAs val="gap"/>
    <c:showDLblsOverMax val="0"/>
  </c:chart>
  <c:spPr bwMode="auto">
    <a:prstGeom prst="rect">
      <a:avLst/>
    </a:prstGeom>
    <a:solidFill>
      <a:schemeClr val="bg1"/>
    </a:solidFill>
    <a:ln w="9525" cap="flat" cmpd="sng" algn="ctr">
      <a:solidFill>
        <a:schemeClr val="tx1">
          <a:lumMod val="15000"/>
          <a:lumOff val="85000"/>
        </a:schemeClr>
      </a:solidFill>
      <a:round/>
    </a:ln>
  </c:spPr>
  <c:txPr>
    <a:bodyPr/>
    <a:lstStyle/>
    <a:p>
      <a:pPr>
        <a:defRPr sz="1000">
          <a:solidFill>
            <a:schemeClr val="tx1"/>
          </a:solidFill>
          <a:latin typeface="+mn-lt"/>
          <a:ea typeface="+mn-ea"/>
          <a:cs typeface="+mn-cs"/>
        </a:defRPr>
      </a:pPr>
      <a:endParaRPr lang="ru-RU"/>
    </a:p>
  </c:txPr>
  <c:externalData r:id="rId1">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mc="http://schemas.openxmlformats.org/markup-compatibility/2006" xmlns:c15="http://schemas.microsoft.com/office/drawing/2012/chart" xmlns:c14="http://schemas.microsoft.com/office/drawing/2007/8/2/chart" xmlns:c16r2="http://schemas.microsoft.com/office/drawing/2015/06/chart">
  <c:date1904 val="0"/>
  <c:lang val="ru-RU"/>
  <c:roundedCorners val="0"/>
  <mc:AlternateContent>
    <mc:Choice Requires="c14">
      <c14:style val="102"/>
    </mc:Choice>
    <mc:Fallback>
      <c:style val="2"/>
    </mc:Fallback>
  </mc:AlternateContent>
  <c:chart>
    <c:plotArea>
      <c:layout/>
      <c:lineChart>
        <c:grouping val="standard"/>
        <c:varyColors val="0"/>
        <c:ser>
          <c:idx val="0"/>
          <c:order val="0"/>
          <c:tx>
            <c:strRef>
              <c:f>ВСЕГО!$B$141</c:f>
              <c:strCache>
                <c:ptCount val="1"/>
                <c:pt idx="0">
                  <c:v xml:space="preserve">Соблюдение прав граждан в уголовном процессе</c:v>
                </c:pt>
              </c:strCache>
            </c:strRef>
          </c:tx>
          <c:spPr bwMode="auto">
            <a:prstGeom prst="rect">
              <a:avLst/>
            </a:prstGeom>
            <a:ln w="28575" cap="rnd">
              <a:solidFill>
                <a:schemeClr val="accent1"/>
              </a:solidFill>
              <a:round/>
            </a:ln>
          </c:spPr>
          <c:marker>
            <c:symbol val="circle"/>
            <c:size val="5"/>
            <c:spPr bwMode="auto">
              <a:prstGeom prst="rect">
                <a:avLst/>
              </a:prstGeom>
              <a:solidFill>
                <a:schemeClr val="accent1"/>
              </a:solidFill>
              <a:ln/>
            </c:spPr>
          </c:marker>
          <c:dLbls>
            <c:dLblPos val="t"/>
            <c:separator xml:space="preserve"> </c:separator>
            <c:showBubbleSize val="0"/>
            <c:showCatName val="0"/>
            <c:showLeaderLines val="0"/>
            <c:showLegendKey val="0"/>
            <c:showPercent val="0"/>
            <c:showSerName val="0"/>
            <c:showVal val="1"/>
            <c:spPr bwMode="auto">
              <a:prstGeom prst="rect">
                <a:avLst/>
              </a:prstGeom>
              <a:noFill/>
              <a:ln>
                <a:noFill/>
              </a:ln>
            </c:spPr>
            <c:txPr>
              <a:bodyPr/>
              <a:lstStyle/>
              <a:p>
                <a:pPr>
                  <a:defRPr sz="1200">
                    <a:solidFill>
                      <a:schemeClr val="tx1">
                        <a:lumMod val="75000"/>
                        <a:lumOff val="25000"/>
                      </a:schemeClr>
                    </a:solidFill>
                    <a:latin typeface="Times New Roman"/>
                    <a:ea typeface="Times New Roman"/>
                    <a:cs typeface="Times New Roman"/>
                  </a:defRPr>
                </a:pPr>
                <a:endParaRPr lang="ru-RU"/>
              </a:p>
            </c:txPr>
          </c:dLbls>
          <c:cat>
            <c:strRef>
              <c:f>ВСЕГО!$C$140:$Q$140</c:f>
              <c:strCache>
                <c:ptCount val="15"/>
                <c:pt idx="0">
                  <c:v>2011</c:v>
                </c:pt>
                <c:pt idx="1">
                  <c:v>2012</c:v>
                </c:pt>
                <c:pt idx="2">
                  <c:v>2013</c:v>
                </c:pt>
                <c:pt idx="3">
                  <c:v>2014</c:v>
                </c:pt>
                <c:pt idx="4">
                  <c:v>2015</c:v>
                </c:pt>
                <c:pt idx="5">
                  <c:v>2016</c:v>
                </c:pt>
                <c:pt idx="6">
                  <c:v>2017</c:v>
                </c:pt>
                <c:pt idx="7">
                  <c:v>2018</c:v>
                </c:pt>
                <c:pt idx="8">
                  <c:v>2019</c:v>
                </c:pt>
                <c:pt idx="9">
                  <c:v>2020</c:v>
                </c:pt>
                <c:pt idx="10">
                  <c:v>2021</c:v>
                </c:pt>
                <c:pt idx="11">
                  <c:v>2022</c:v>
                </c:pt>
                <c:pt idx="12">
                  <c:v>2023</c:v>
                </c:pt>
                <c:pt idx="13">
                  <c:v>2024</c:v>
                </c:pt>
                <c:pt idx="14">
                  <c:v>2025</c:v>
                </c:pt>
              </c:strCache>
            </c:strRef>
          </c:cat>
          <c:val>
            <c:numRef>
              <c:f>ВСЕГО!$C$141:$Q$141</c:f>
              <c:numCache>
                <c:formatCode>General</c:formatCode>
                <c:ptCount val="15"/>
                <c:pt idx="0">
                  <c:v>65</c:v>
                </c:pt>
                <c:pt idx="1">
                  <c:v>113</c:v>
                </c:pt>
                <c:pt idx="2">
                  <c:v>102</c:v>
                </c:pt>
                <c:pt idx="3">
                  <c:v>109</c:v>
                </c:pt>
                <c:pt idx="4">
                  <c:v>63</c:v>
                </c:pt>
                <c:pt idx="5">
                  <c:v>88</c:v>
                </c:pt>
                <c:pt idx="6">
                  <c:v>113</c:v>
                </c:pt>
                <c:pt idx="7">
                  <c:v>96</c:v>
                </c:pt>
                <c:pt idx="8">
                  <c:v>87</c:v>
                </c:pt>
                <c:pt idx="9">
                  <c:v>87</c:v>
                </c:pt>
                <c:pt idx="10">
                  <c:v>69</c:v>
                </c:pt>
                <c:pt idx="11">
                  <c:v>95</c:v>
                </c:pt>
                <c:pt idx="12">
                  <c:v>49</c:v>
                </c:pt>
                <c:pt idx="13">
                  <c:v>31</c:v>
                </c:pt>
                <c:pt idx="14">
                  <c:v>33</c:v>
                </c:pt>
              </c:numCache>
            </c:numRef>
          </c:val>
          <c:smooth val="0"/>
        </c:ser>
        <c:ser>
          <c:idx val="1"/>
          <c:order val="1"/>
          <c:tx>
            <c:strRef>
              <c:f>ВСЕГО!$B$142</c:f>
              <c:strCache>
                <c:ptCount val="1"/>
                <c:pt idx="0">
                  <c:v xml:space="preserve">Защита прав человека в учреждениях УИС</c:v>
                </c:pt>
              </c:strCache>
            </c:strRef>
          </c:tx>
          <c:spPr bwMode="auto">
            <a:prstGeom prst="rect">
              <a:avLst/>
            </a:prstGeom>
            <a:ln w="28575" cap="rnd">
              <a:solidFill>
                <a:schemeClr val="accent2"/>
              </a:solidFill>
              <a:round/>
            </a:ln>
          </c:spPr>
          <c:marker>
            <c:symbol val="circle"/>
            <c:size val="5"/>
            <c:spPr bwMode="auto">
              <a:prstGeom prst="rect">
                <a:avLst/>
              </a:prstGeom>
              <a:solidFill>
                <a:schemeClr val="accent2"/>
              </a:solidFill>
              <a:ln/>
            </c:spPr>
          </c:marker>
          <c:dLbls>
            <c:dLblPos val="t"/>
            <c:separator xml:space="preserve"> </c:separator>
            <c:showBubbleSize val="0"/>
            <c:showCatName val="0"/>
            <c:showLeaderLines val="0"/>
            <c:showLegendKey val="0"/>
            <c:showPercent val="0"/>
            <c:showSerName val="0"/>
            <c:showVal val="1"/>
            <c:spPr bwMode="auto">
              <a:prstGeom prst="rect">
                <a:avLst/>
              </a:prstGeom>
              <a:noFill/>
              <a:ln>
                <a:noFill/>
              </a:ln>
            </c:spPr>
            <c:txPr>
              <a:bodyPr/>
              <a:lstStyle/>
              <a:p>
                <a:pPr>
                  <a:defRPr sz="1200">
                    <a:solidFill>
                      <a:schemeClr val="tx1">
                        <a:lumMod val="75000"/>
                        <a:lumOff val="25000"/>
                      </a:schemeClr>
                    </a:solidFill>
                    <a:latin typeface="Times New Roman"/>
                    <a:ea typeface="Times New Roman"/>
                    <a:cs typeface="Times New Roman"/>
                  </a:defRPr>
                </a:pPr>
                <a:endParaRPr lang="ru-RU"/>
              </a:p>
            </c:txPr>
          </c:dLbls>
          <c:cat>
            <c:strRef>
              <c:f>ВСЕГО!$C$140:$Q$140</c:f>
              <c:strCache>
                <c:ptCount val="15"/>
                <c:pt idx="0">
                  <c:v>2011</c:v>
                </c:pt>
                <c:pt idx="1">
                  <c:v>2012</c:v>
                </c:pt>
                <c:pt idx="2">
                  <c:v>2013</c:v>
                </c:pt>
                <c:pt idx="3">
                  <c:v>2014</c:v>
                </c:pt>
                <c:pt idx="4">
                  <c:v>2015</c:v>
                </c:pt>
                <c:pt idx="5">
                  <c:v>2016</c:v>
                </c:pt>
                <c:pt idx="6">
                  <c:v>2017</c:v>
                </c:pt>
                <c:pt idx="7">
                  <c:v>2018</c:v>
                </c:pt>
                <c:pt idx="8">
                  <c:v>2019</c:v>
                </c:pt>
                <c:pt idx="9">
                  <c:v>2020</c:v>
                </c:pt>
                <c:pt idx="10">
                  <c:v>2021</c:v>
                </c:pt>
                <c:pt idx="11">
                  <c:v>2022</c:v>
                </c:pt>
                <c:pt idx="12">
                  <c:v>2023</c:v>
                </c:pt>
                <c:pt idx="13">
                  <c:v>2024</c:v>
                </c:pt>
                <c:pt idx="14">
                  <c:v>2025</c:v>
                </c:pt>
              </c:strCache>
            </c:strRef>
          </c:cat>
          <c:val>
            <c:numRef>
              <c:f>ВСЕГО!$C$142:$Q$142</c:f>
              <c:numCache>
                <c:formatCode>General</c:formatCode>
                <c:ptCount val="15"/>
                <c:pt idx="0">
                  <c:v>286</c:v>
                </c:pt>
                <c:pt idx="1">
                  <c:v>260</c:v>
                </c:pt>
                <c:pt idx="2">
                  <c:v>167</c:v>
                </c:pt>
                <c:pt idx="3">
                  <c:v>263</c:v>
                </c:pt>
                <c:pt idx="4">
                  <c:v>218</c:v>
                </c:pt>
                <c:pt idx="5">
                  <c:v>407</c:v>
                </c:pt>
                <c:pt idx="6">
                  <c:v>488</c:v>
                </c:pt>
                <c:pt idx="7">
                  <c:v>403</c:v>
                </c:pt>
                <c:pt idx="8">
                  <c:v>191</c:v>
                </c:pt>
                <c:pt idx="9">
                  <c:v>280</c:v>
                </c:pt>
                <c:pt idx="10">
                  <c:v>219</c:v>
                </c:pt>
                <c:pt idx="11">
                  <c:v>705</c:v>
                </c:pt>
                <c:pt idx="12">
                  <c:v>497</c:v>
                </c:pt>
                <c:pt idx="13">
                  <c:v>423</c:v>
                </c:pt>
                <c:pt idx="14">
                  <c:v>337</c:v>
                </c:pt>
              </c:numCache>
            </c:numRef>
          </c:val>
          <c:smooth val="0"/>
        </c:ser>
        <c:dLbls>
          <c:separator xml:space="preserve"> </c:separator>
          <c:showBubbleSize val="0"/>
          <c:showCatName val="0"/>
          <c:showLeaderLines val="0"/>
          <c:showLegendKey val="0"/>
          <c:showPercent val="0"/>
          <c:showSerName val="0"/>
          <c:showVal val="1"/>
        </c:dLbls>
        <c:marker val="1"/>
        <c:smooth val="0"/>
        <c:axId val="115442432"/>
        <c:axId val="115443968"/>
      </c:lineChart>
      <c:catAx>
        <c:axId val="115442432"/>
        <c:scaling>
          <c:orientation val="minMax"/>
        </c:scaling>
        <c:delete val="0"/>
        <c:axPos val="b"/>
        <c:numFmt formatCode="General" sourceLinked="1"/>
        <c:majorTickMark val="none"/>
        <c:minorTickMark val="out"/>
        <c:tickLblPos val="nextTo"/>
        <c:spPr bwMode="auto">
          <a:prstGeom prst="rect">
            <a:avLst/>
          </a:prstGeom>
          <a:noFill/>
          <a:ln w="9525" cap="flat" cmpd="sng" algn="ctr">
            <a:solidFill>
              <a:schemeClr val="tx1">
                <a:lumMod val="15000"/>
                <a:lumOff val="85000"/>
              </a:schemeClr>
            </a:solidFill>
            <a:round/>
          </a:ln>
        </c:spPr>
        <c:txPr>
          <a:bodyPr/>
          <a:lstStyle/>
          <a:p>
            <a:pPr>
              <a:defRPr sz="1000">
                <a:solidFill>
                  <a:schemeClr val="tx1">
                    <a:lumMod val="65000"/>
                    <a:lumOff val="35000"/>
                  </a:schemeClr>
                </a:solidFill>
                <a:latin typeface="Times New Roman"/>
                <a:ea typeface="Times New Roman"/>
                <a:cs typeface="Times New Roman"/>
              </a:defRPr>
            </a:pPr>
            <a:endParaRPr lang="ru-RU"/>
          </a:p>
        </c:txPr>
        <c:crossAx val="115443968"/>
        <c:crosses val="autoZero"/>
        <c:auto val="1"/>
        <c:lblAlgn val="ctr"/>
        <c:lblOffset val="100"/>
        <c:tickMarkSkip val="1"/>
        <c:noMultiLvlLbl val="0"/>
      </c:catAx>
      <c:valAx>
        <c:axId val="115443968"/>
        <c:scaling>
          <c:orientation val="minMax"/>
        </c:scaling>
        <c:delete val="0"/>
        <c:axPos val="l"/>
        <c:majorGridlines>
          <c:spPr bwMode="auto">
            <a:prstGeom prst="rect">
              <a:avLst/>
            </a:prstGeom>
            <a:ln w="9525" cap="flat" cmpd="sng" algn="ctr">
              <a:solidFill>
                <a:schemeClr val="tx1">
                  <a:lumMod val="15000"/>
                  <a:lumOff val="85000"/>
                </a:schemeClr>
              </a:solidFill>
              <a:round/>
            </a:ln>
          </c:spPr>
        </c:majorGridlines>
        <c:numFmt formatCode="General" sourceLinked="1"/>
        <c:majorTickMark val="none"/>
        <c:minorTickMark val="none"/>
        <c:tickLblPos val="nextTo"/>
        <c:spPr bwMode="auto">
          <a:prstGeom prst="rect">
            <a:avLst/>
          </a:prstGeom>
          <a:noFill/>
          <a:ln>
            <a:noFill/>
          </a:ln>
        </c:spPr>
        <c:txPr>
          <a:bodyPr/>
          <a:lstStyle/>
          <a:p>
            <a:pPr>
              <a:defRPr sz="1200">
                <a:solidFill>
                  <a:schemeClr val="tx1">
                    <a:lumMod val="65000"/>
                    <a:lumOff val="35000"/>
                  </a:schemeClr>
                </a:solidFill>
                <a:latin typeface="Times New Roman"/>
                <a:ea typeface="Times New Roman"/>
                <a:cs typeface="Times New Roman"/>
              </a:defRPr>
            </a:pPr>
            <a:endParaRPr lang="ru-RU"/>
          </a:p>
        </c:txPr>
        <c:crossAx val="115442432"/>
        <c:crosses val="autoZero"/>
        <c:crossBetween val="between"/>
      </c:valAx>
      <c:spPr bwMode="auto">
        <a:prstGeom prst="rect">
          <a:avLst/>
        </a:prstGeom>
        <a:noFill/>
        <a:ln>
          <a:noFill/>
        </a:ln>
      </c:spPr>
    </c:plotArea>
    <c:legend>
      <c:legendPos val="b"/>
      <c:layout/>
      <c:overlay val="0"/>
      <c:spPr bwMode="auto">
        <a:prstGeom prst="rect">
          <a:avLst/>
        </a:prstGeom>
        <a:noFill/>
        <a:ln>
          <a:noFill/>
        </a:ln>
        <a:effectLst/>
      </c:spPr>
      <c:txPr>
        <a:bodyPr rot="0" spcFirstLastPara="1" vertOverflow="ellipsis" vert="horz" wrap="square" anchor="ctr" anchorCtr="1"/>
        <a:lstStyle/>
        <a:p>
          <a:pPr>
            <a:defRPr sz="1200">
              <a:solidFill>
                <a:schemeClr val="tx1">
                  <a:lumMod val="65000"/>
                  <a:lumOff val="35000"/>
                </a:schemeClr>
              </a:solidFill>
              <a:latin typeface="Times New Roman"/>
              <a:ea typeface="Times New Roman"/>
              <a:cs typeface="Times New Roman"/>
            </a:defRPr>
          </a:pPr>
          <a:endParaRPr lang="ru-RU"/>
        </a:p>
      </c:txPr>
    </c:legend>
    <c:plotVisOnly val="1"/>
    <c:dispBlanksAs val="gap"/>
    <c:showDLblsOverMax val="0"/>
  </c:chart>
  <c:spPr bwMode="auto">
    <a:prstGeom prst="rect">
      <a:avLst/>
    </a:prstGeom>
    <a:solidFill>
      <a:schemeClr val="bg1"/>
    </a:solidFill>
    <a:ln w="9525" cap="flat" cmpd="sng" algn="ctr">
      <a:solidFill>
        <a:schemeClr val="tx1">
          <a:lumMod val="15000"/>
          <a:lumOff val="85000"/>
        </a:schemeClr>
      </a:solidFill>
      <a:round/>
    </a:ln>
  </c:spPr>
  <c:txPr>
    <a:bodyPr/>
    <a:lstStyle/>
    <a:p>
      <a:pPr>
        <a:defRPr sz="1000">
          <a:solidFill>
            <a:schemeClr val="tx1"/>
          </a:solidFill>
          <a:latin typeface="+mn-lt"/>
          <a:ea typeface="+mn-ea"/>
          <a:cs typeface="+mn-cs"/>
        </a:defRPr>
      </a:pPr>
      <a:endParaRPr lang="ru-RU"/>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mc="http://schemas.openxmlformats.org/markup-compatibility/2006" xmlns:c15="http://schemas.microsoft.com/office/drawing/2012/chart" xmlns:c14="http://schemas.microsoft.com/office/drawing/2007/8/2/chart" xmlns:c16r2="http://schemas.microsoft.com/office/drawing/2015/06/chart">
  <c:date1904 val="1"/>
  <c:lang val="ru-RU"/>
  <c:roundedCorners val="0"/>
  <mc:AlternateContent>
    <mc:Choice Requires="c14">
      <c14:style val="102"/>
    </mc:Choice>
    <mc:Fallback>
      <c:style val="2"/>
    </mc:Fallback>
  </mc:AlternateContent>
  <c:chart>
    <c:view3D>
      <c:rAngAx val="1"/>
    </c:view3D>
    <c:plotArea>
      <c:layout/>
      <c:bar3DChart>
        <c:barDir val="col"/>
        <c:grouping val="clustered"/>
        <c:varyColors val="0"/>
        <c:ser>
          <c:idx val="0"/>
          <c:order val="0"/>
          <c:tx>
            <c:strRef>
              <c:f>ВСЕГО!$C$33</c:f>
              <c:strCache>
                <c:ptCount val="1"/>
                <c:pt idx="0">
                  <c:v xml:space="preserve">Письменные обращения</c:v>
                </c:pt>
              </c:strCache>
            </c:strRef>
          </c:tx>
          <c:dLbls>
            <c:showBubbleSize val="0"/>
            <c:showCatName val="0"/>
            <c:showLeaderLines val="0"/>
            <c:showLegendKey val="0"/>
            <c:showPercent val="0"/>
            <c:showSerName val="0"/>
            <c:showVal val="1"/>
          </c:dLbls>
          <c:cat>
            <c:numRef>
              <c:f>ВСЕГО!$D$32:$R$32</c:f>
              <c:numCache>
                <c:formatCode>General</c:formatCode>
                <c:ptCount val="15"/>
                <c:pt idx="0">
                  <c:v>2011</c:v>
                </c:pt>
                <c:pt idx="1">
                  <c:v>2012</c:v>
                </c:pt>
                <c:pt idx="2">
                  <c:v>2013</c:v>
                </c:pt>
                <c:pt idx="3">
                  <c:v>2014</c:v>
                </c:pt>
                <c:pt idx="4">
                  <c:v>2015</c:v>
                </c:pt>
                <c:pt idx="5">
                  <c:v>2016</c:v>
                </c:pt>
                <c:pt idx="6">
                  <c:v>2017</c:v>
                </c:pt>
                <c:pt idx="7">
                  <c:v>2018</c:v>
                </c:pt>
                <c:pt idx="8">
                  <c:v>2019</c:v>
                </c:pt>
                <c:pt idx="9">
                  <c:v>2020</c:v>
                </c:pt>
                <c:pt idx="10">
                  <c:v>2021</c:v>
                </c:pt>
                <c:pt idx="11">
                  <c:v>2022</c:v>
                </c:pt>
                <c:pt idx="12">
                  <c:v>2023</c:v>
                </c:pt>
                <c:pt idx="13">
                  <c:v>2024</c:v>
                </c:pt>
                <c:pt idx="14">
                  <c:v>2025</c:v>
                </c:pt>
              </c:numCache>
            </c:numRef>
          </c:cat>
          <c:val>
            <c:numRef>
              <c:f>ВСЕГО!$D$33:$R$33</c:f>
              <c:numCache>
                <c:formatCode>General</c:formatCode>
                <c:ptCount val="15"/>
                <c:pt idx="0">
                  <c:v>409</c:v>
                </c:pt>
                <c:pt idx="1">
                  <c:v>587</c:v>
                </c:pt>
                <c:pt idx="2">
                  <c:v>605</c:v>
                </c:pt>
                <c:pt idx="3">
                  <c:v>675</c:v>
                </c:pt>
                <c:pt idx="4">
                  <c:v>603</c:v>
                </c:pt>
                <c:pt idx="5">
                  <c:v>693</c:v>
                </c:pt>
                <c:pt idx="6">
                  <c:v>694</c:v>
                </c:pt>
                <c:pt idx="7">
                  <c:v>586</c:v>
                </c:pt>
                <c:pt idx="8">
                  <c:v>481</c:v>
                </c:pt>
                <c:pt idx="9">
                  <c:v>530</c:v>
                </c:pt>
                <c:pt idx="10">
                  <c:v>695</c:v>
                </c:pt>
                <c:pt idx="11">
                  <c:v>843</c:v>
                </c:pt>
                <c:pt idx="12">
                  <c:v>765</c:v>
                </c:pt>
                <c:pt idx="13">
                  <c:v>769</c:v>
                </c:pt>
                <c:pt idx="14">
                  <c:v>697</c:v>
                </c:pt>
              </c:numCache>
            </c:numRef>
          </c:val>
        </c:ser>
        <c:ser>
          <c:idx val="1"/>
          <c:order val="1"/>
          <c:tx>
            <c:strRef>
              <c:f>ВСЕГО!$C$34</c:f>
              <c:strCache>
                <c:ptCount val="1"/>
                <c:pt idx="0">
                  <c:v xml:space="preserve">Личный прием</c:v>
                </c:pt>
              </c:strCache>
            </c:strRef>
          </c:tx>
          <c:dLbls>
            <c:dLbl>
              <c:idx val="13"/>
              <c:layout>
                <c:manualLayout>
                  <c:x val="0.012314"/>
                  <c:y val="0.000000"/>
                </c:manualLayout>
              </c:layout>
              <c:showBubbleSize val="0"/>
              <c:showCatName val="0"/>
              <c:showLegendKey val="0"/>
              <c:showPercent val="0"/>
              <c:showSerName val="0"/>
              <c:showVal val="1"/>
            </c:dLbl>
            <c:dLbl>
              <c:idx val="14"/>
              <c:layout>
                <c:manualLayout>
                  <c:x val="0.018471"/>
                  <c:y val="0.000000"/>
                </c:manualLayout>
              </c:layout>
              <c:showBubbleSize val="0"/>
              <c:showCatName val="0"/>
              <c:showLegendKey val="0"/>
              <c:showPercent val="0"/>
              <c:showSerName val="0"/>
              <c:showVal val="1"/>
            </c:dLbl>
            <c:showBubbleSize val="0"/>
            <c:showCatName val="0"/>
            <c:showLeaderLines val="0"/>
            <c:showLegendKey val="0"/>
            <c:showPercent val="0"/>
            <c:showSerName val="0"/>
            <c:showVal val="1"/>
          </c:dLbls>
          <c:cat>
            <c:numRef>
              <c:f>ВСЕГО!$D$32:$R$32</c:f>
              <c:numCache>
                <c:formatCode>General</c:formatCode>
                <c:ptCount val="15"/>
                <c:pt idx="0">
                  <c:v>2011</c:v>
                </c:pt>
                <c:pt idx="1">
                  <c:v>2012</c:v>
                </c:pt>
                <c:pt idx="2">
                  <c:v>2013</c:v>
                </c:pt>
                <c:pt idx="3">
                  <c:v>2014</c:v>
                </c:pt>
                <c:pt idx="4">
                  <c:v>2015</c:v>
                </c:pt>
                <c:pt idx="5">
                  <c:v>2016</c:v>
                </c:pt>
                <c:pt idx="6">
                  <c:v>2017</c:v>
                </c:pt>
                <c:pt idx="7">
                  <c:v>2018</c:v>
                </c:pt>
                <c:pt idx="8">
                  <c:v>2019</c:v>
                </c:pt>
                <c:pt idx="9">
                  <c:v>2020</c:v>
                </c:pt>
                <c:pt idx="10">
                  <c:v>2021</c:v>
                </c:pt>
                <c:pt idx="11">
                  <c:v>2022</c:v>
                </c:pt>
                <c:pt idx="12">
                  <c:v>2023</c:v>
                </c:pt>
                <c:pt idx="13">
                  <c:v>2024</c:v>
                </c:pt>
                <c:pt idx="14">
                  <c:v>2025</c:v>
                </c:pt>
              </c:numCache>
            </c:numRef>
          </c:cat>
          <c:val>
            <c:numRef>
              <c:f>ВСЕГО!$D$34:$R$34</c:f>
              <c:numCache>
                <c:formatCode>General</c:formatCode>
                <c:ptCount val="15"/>
                <c:pt idx="0">
                  <c:v>446</c:v>
                </c:pt>
                <c:pt idx="1">
                  <c:v>361</c:v>
                </c:pt>
                <c:pt idx="2">
                  <c:v>185</c:v>
                </c:pt>
                <c:pt idx="3">
                  <c:v>385</c:v>
                </c:pt>
                <c:pt idx="4">
                  <c:v>529</c:v>
                </c:pt>
                <c:pt idx="5">
                  <c:v>428</c:v>
                </c:pt>
                <c:pt idx="6">
                  <c:v>548</c:v>
                </c:pt>
                <c:pt idx="7">
                  <c:v>554</c:v>
                </c:pt>
                <c:pt idx="8">
                  <c:v>388</c:v>
                </c:pt>
                <c:pt idx="9">
                  <c:v>392</c:v>
                </c:pt>
                <c:pt idx="10">
                  <c:v>312</c:v>
                </c:pt>
                <c:pt idx="11">
                  <c:v>794</c:v>
                </c:pt>
                <c:pt idx="12">
                  <c:v>710</c:v>
                </c:pt>
                <c:pt idx="13">
                  <c:v>537</c:v>
                </c:pt>
                <c:pt idx="14">
                  <c:v>627</c:v>
                </c:pt>
              </c:numCache>
            </c:numRef>
          </c:val>
        </c:ser>
        <c:dLbls>
          <c:showBubbleSize val="0"/>
          <c:showCatName val="0"/>
          <c:showLeaderLines val="0"/>
          <c:showLegendKey val="0"/>
          <c:showPercent val="0"/>
          <c:showSerName val="0"/>
          <c:showVal val="0"/>
        </c:dLbls>
        <c:gapWidth val="150"/>
        <c:shape val="box"/>
        <c:axId val="106444288"/>
        <c:axId val="106750336"/>
      </c:bar3DChart>
      <c:catAx>
        <c:axId val="106444288"/>
        <c:scaling>
          <c:orientation val="minMax"/>
        </c:scaling>
        <c:delete val="0"/>
        <c:axPos val="b"/>
        <c:numFmt formatCode="General" sourceLinked="1"/>
        <c:majorTickMark val="out"/>
        <c:minorTickMark val="none"/>
        <c:tickLblPos val="nextTo"/>
        <c:crossAx val="106750336"/>
        <c:crosses val="autoZero"/>
        <c:auto val="1"/>
        <c:lblAlgn val="ctr"/>
        <c:lblOffset val="100"/>
        <c:noMultiLvlLbl val="0"/>
      </c:catAx>
      <c:valAx>
        <c:axId val="106750336"/>
        <c:scaling>
          <c:orientation val="minMax"/>
        </c:scaling>
        <c:delete val="0"/>
        <c:axPos val="l"/>
        <c:majorGridlines>
          <c:spPr bwMode="auto"/>
        </c:majorGridlines>
        <c:numFmt formatCode="General" sourceLinked="1"/>
        <c:majorTickMark val="out"/>
        <c:minorTickMark val="none"/>
        <c:tickLblPos val="nextTo"/>
        <c:crossAx val="106444288"/>
        <c:crosses val="autoZero"/>
        <c:crossBetween val="between"/>
      </c:valAx>
    </c:plotArea>
    <c:legend>
      <c:legendPos val="r"/>
      <c:layout/>
      <c:overlay val="0"/>
    </c:legend>
    <c:plotVisOnly val="1"/>
    <c:showDLblsOverMax val="0"/>
  </c:chart>
  <c:spPr bwMode="auto">
    <a:prstGeom prst="rect">
      <a:avLst/>
    </a:prstGeom>
    <a:ln>
      <a:noFill/>
    </a:ln>
  </c:spPr>
  <c:txPr>
    <a:bodyPr/>
    <a:lstStyle/>
    <a:p>
      <a:pPr>
        <a:defRPr>
          <a:latin typeface="Times New Roman"/>
          <a:cs typeface="Times New Roman"/>
        </a:defRPr>
      </a:pPr>
      <a:endParaRPr lang="ru-RU"/>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mc="http://schemas.openxmlformats.org/markup-compatibility/2006" xmlns:c15="http://schemas.microsoft.com/office/drawing/2012/chart" xmlns:c14="http://schemas.microsoft.com/office/drawing/2007/8/2/chart" xmlns:c16r2="http://schemas.microsoft.com/office/drawing/2015/06/chart">
  <c:date1904 val="1"/>
  <c:lang val="ru-RU"/>
  <c:roundedCorners val="0"/>
  <mc:AlternateContent>
    <mc:Choice Requires="c14">
      <c14:style val="102"/>
    </mc:Choice>
    <mc:Fallback>
      <c:style val="2"/>
    </mc:Fallback>
  </mc:AlternateContent>
  <c:chart>
    <c:plotArea>
      <c:layout/>
      <c:barChart>
        <c:barDir val="bar"/>
        <c:grouping val="clustered"/>
        <c:varyColors val="0"/>
        <c:ser>
          <c:idx val="0"/>
          <c:order val="0"/>
          <c:spPr bwMode="auto">
            <a:prstGeom prst="rect">
              <a:avLst/>
            </a:prstGeom>
            <a:solidFill>
              <a:schemeClr val="accent1"/>
            </a:solidFill>
            <a:ln>
              <a:noFill/>
            </a:ln>
          </c:spPr>
          <c:dLbls>
            <c:dLblPos val="outEnd"/>
            <c:separator xml:space="preserve"> </c:separator>
            <c:showBubbleSize val="0"/>
            <c:showCatName val="0"/>
            <c:showLeaderLines val="0"/>
            <c:showLegendKey val="0"/>
            <c:showPercent val="0"/>
            <c:showSerName val="0"/>
            <c:showVal val="1"/>
            <c:spPr bwMode="auto">
              <a:prstGeom prst="rect">
                <a:avLst/>
              </a:prstGeom>
              <a:noFill/>
              <a:ln>
                <a:noFill/>
              </a:ln>
            </c:spPr>
            <c:txPr>
              <a:bodyPr/>
              <a:lstStyle/>
              <a:p>
                <a:pPr>
                  <a:defRPr b="1"/>
                </a:pPr>
                <a:endParaRPr lang="ru-RU"/>
              </a:p>
            </c:txPr>
          </c:dLbls>
          <c:cat>
            <c:strRef>
              <c:f>Кварталы!$C$828:$C$840</c:f>
              <c:strCache>
                <c:ptCount val="13"/>
                <c:pt idx="0">
                  <c:v xml:space="preserve">консультации Молодежного общественного совета </c:v>
                </c:pt>
                <c:pt idx="1">
                  <c:v xml:space="preserve">юридические консультации в сфере ЖКХ</c:v>
                </c:pt>
                <c:pt idx="2">
                  <c:v xml:space="preserve">юридические консультации адвокатов в офисе УПЧ</c:v>
                </c:pt>
                <c:pt idx="3">
                  <c:v xml:space="preserve">приемы общественных помощников УПЧ</c:v>
                </c:pt>
                <c:pt idx="4">
                  <c:v xml:space="preserve">обращения через соцсети УПЧ</c:v>
                </c:pt>
                <c:pt idx="5">
                  <c:v xml:space="preserve">"горячая линия" по СВО</c:v>
                </c:pt>
                <c:pt idx="6">
                  <c:v xml:space="preserve">консультации по телефону</c:v>
                </c:pt>
                <c:pt idx="7">
                  <c:v xml:space="preserve">приемы УПЧ в муниципальных районах</c:v>
                </c:pt>
                <c:pt idx="8">
                  <c:v xml:space="preserve">консультирование  сотрудниками аппарата УПЧ</c:v>
                </c:pt>
                <c:pt idx="9">
                  <c:v xml:space="preserve">приемы в ПВР</c:v>
                </c:pt>
                <c:pt idx="10">
                  <c:v xml:space="preserve">приемы в исправительных учреждениях</c:v>
                </c:pt>
                <c:pt idx="11">
                  <c:v xml:space="preserve">личный прием УПЧ</c:v>
                </c:pt>
                <c:pt idx="12">
                  <c:v xml:space="preserve">письменные обращения</c:v>
                </c:pt>
              </c:strCache>
            </c:strRef>
          </c:cat>
          <c:val>
            <c:numRef>
              <c:f>Кварталы!$D$828:$D$840</c:f>
              <c:numCache>
                <c:formatCode>General</c:formatCode>
                <c:ptCount val="13"/>
                <c:pt idx="0">
                  <c:v>24</c:v>
                </c:pt>
                <c:pt idx="1">
                  <c:v>154</c:v>
                </c:pt>
                <c:pt idx="2">
                  <c:v>78</c:v>
                </c:pt>
                <c:pt idx="3">
                  <c:v>329</c:v>
                </c:pt>
                <c:pt idx="4">
                  <c:v>282</c:v>
                </c:pt>
                <c:pt idx="5">
                  <c:v>96</c:v>
                </c:pt>
                <c:pt idx="6">
                  <c:v>386</c:v>
                </c:pt>
                <c:pt idx="7">
                  <c:v>97</c:v>
                </c:pt>
                <c:pt idx="8">
                  <c:v>343</c:v>
                </c:pt>
                <c:pt idx="9">
                  <c:v>84</c:v>
                </c:pt>
                <c:pt idx="10">
                  <c:v>162</c:v>
                </c:pt>
                <c:pt idx="11">
                  <c:v>284</c:v>
                </c:pt>
                <c:pt idx="12">
                  <c:v>697</c:v>
                </c:pt>
              </c:numCache>
            </c:numRef>
          </c:val>
        </c:ser>
        <c:dLbls>
          <c:separator xml:space="preserve"> </c:separator>
          <c:showBubbleSize val="0"/>
          <c:showCatName val="0"/>
          <c:showLeaderLines val="0"/>
          <c:showLegendKey val="0"/>
          <c:showPercent val="0"/>
          <c:showSerName val="0"/>
          <c:showVal val="1"/>
        </c:dLbls>
        <c:gapWidth val="182"/>
        <c:axId val="117248000"/>
        <c:axId val="117249536"/>
      </c:barChart>
      <c:catAx>
        <c:axId val="117248000"/>
        <c:scaling>
          <c:orientation val="minMax"/>
        </c:scaling>
        <c:delete val="0"/>
        <c:axPos val="l"/>
        <c:numFmt formatCode="General" sourceLinked="1"/>
        <c:majorTickMark val="none"/>
        <c:minorTickMark val="none"/>
        <c:tickLblPos val="nextTo"/>
        <c:spPr bwMode="auto">
          <a:prstGeom prst="rect">
            <a:avLst/>
          </a:prstGeom>
          <a:noFill/>
          <a:ln w="9525" cap="flat" cmpd="sng" algn="ctr">
            <a:solidFill>
              <a:schemeClr val="tx1">
                <a:lumMod val="15000"/>
                <a:lumOff val="85000"/>
              </a:schemeClr>
            </a:solidFill>
            <a:round/>
          </a:ln>
        </c:spPr>
        <c:crossAx val="117249536"/>
        <c:crosses val="autoZero"/>
        <c:auto val="1"/>
        <c:lblAlgn val="ctr"/>
        <c:lblOffset val="100"/>
        <c:tickMarkSkip val="1"/>
        <c:noMultiLvlLbl val="0"/>
      </c:catAx>
      <c:valAx>
        <c:axId val="117249536"/>
        <c:scaling>
          <c:orientation val="minMax"/>
        </c:scaling>
        <c:delete val="0"/>
        <c:axPos val="b"/>
        <c:majorGridlines>
          <c:spPr bwMode="auto">
            <a:prstGeom prst="rect">
              <a:avLst/>
            </a:prstGeom>
            <a:ln w="9525" cap="flat" cmpd="sng" algn="ctr">
              <a:solidFill>
                <a:schemeClr val="tx1">
                  <a:lumMod val="15000"/>
                  <a:lumOff val="85000"/>
                </a:schemeClr>
              </a:solidFill>
              <a:round/>
            </a:ln>
          </c:spPr>
        </c:majorGridlines>
        <c:numFmt formatCode="General" sourceLinked="1"/>
        <c:majorTickMark val="none"/>
        <c:minorTickMark val="none"/>
        <c:tickLblPos val="nextTo"/>
        <c:spPr bwMode="auto">
          <a:prstGeom prst="rect">
            <a:avLst/>
          </a:prstGeom>
          <a:noFill/>
          <a:ln>
            <a:noFill/>
          </a:ln>
        </c:spPr>
        <c:crossAx val="117248000"/>
        <c:crosses val="autoZero"/>
        <c:crossBetween val="between"/>
      </c:valAx>
      <c:spPr bwMode="auto">
        <a:prstGeom prst="rect">
          <a:avLst/>
        </a:prstGeom>
        <a:noFill/>
        <a:ln>
          <a:noFill/>
        </a:ln>
      </c:spPr>
    </c:plotArea>
    <c:plotVisOnly val="1"/>
    <c:dispBlanksAs val="gap"/>
    <c:showDLblsOverMax val="0"/>
  </c:chart>
  <c:spPr bwMode="auto">
    <a:prstGeom prst="rect">
      <a:avLst/>
    </a:prstGeom>
    <a:solidFill>
      <a:schemeClr val="bg1"/>
    </a:solidFill>
    <a:ln w="9525" cap="flat" cmpd="sng" algn="ctr">
      <a:noFill/>
      <a:round/>
    </a:ln>
  </c:spPr>
  <c:txPr>
    <a:bodyPr/>
    <a:lstStyle/>
    <a:p>
      <a:pPr>
        <a:defRPr sz="1000">
          <a:solidFill>
            <a:schemeClr val="tx1"/>
          </a:solidFill>
          <a:latin typeface="Times New Roman"/>
          <a:ea typeface="+mn-ea"/>
          <a:cs typeface="Times New Roman"/>
        </a:defRPr>
      </a:pPr>
      <a:endParaRPr lang="ru-RU"/>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mc="http://schemas.openxmlformats.org/markup-compatibility/2006" xmlns:c15="http://schemas.microsoft.com/office/drawing/2012/chart" xmlns:c14="http://schemas.microsoft.com/office/drawing/2007/8/2/chart" xmlns:c16r2="http://schemas.microsoft.com/office/drawing/2015/06/chart">
  <c:date1904 val="1"/>
  <c:lang val="ru-RU"/>
  <c:roundedCorners val="0"/>
  <mc:AlternateContent>
    <mc:Choice Requires="c14">
      <c14:style val="102"/>
    </mc:Choice>
    <mc:Fallback>
      <c:style val="2"/>
    </mc:Fallback>
  </mc:AlternateContent>
  <c:chart>
    <c:view3D>
      <c:rotX val="30"/>
      <c:perspective val="30"/>
    </c:view3D>
    <c:plotArea>
      <c:layout>
        <c:manualLayout>
          <c:layoutTarget val="inner"/>
          <c:xMode val="edge"/>
          <c:yMode val="edge"/>
          <c:x val="0.050710"/>
          <c:y val="0.056700"/>
          <c:w val="0.589390"/>
          <c:h val="0.917520"/>
        </c:manualLayout>
      </c:layout>
      <c:pie3DChart>
        <c:varyColors val="1"/>
        <c:ser>
          <c:idx val="0"/>
          <c:order val="0"/>
          <c:explosion val="25"/>
          <c:dLbls>
            <c:dLbl>
              <c:idx val="0"/>
              <c:dLblPos val="ctr"/>
              <c:layout>
                <c:manualLayout>
                  <c:x val="0.060850"/>
                  <c:y val="-0.151450"/>
                </c:manualLayout>
              </c:layout>
              <c:showBubbleSize val="0"/>
              <c:showCatName val="0"/>
              <c:showLegendKey val="0"/>
              <c:showPercent val="0"/>
              <c:showSerName val="0"/>
              <c:showVal val="1"/>
            </c:dLbl>
            <c:dLbl>
              <c:idx val="1"/>
              <c:dLblPos val="ctr"/>
              <c:layout>
                <c:manualLayout>
                  <c:x val="0.135680"/>
                  <c:y val="0.278990"/>
                </c:manualLayout>
              </c:layout>
              <c:showBubbleSize val="0"/>
              <c:showCatName val="0"/>
              <c:showLegendKey val="0"/>
              <c:showPercent val="0"/>
              <c:showSerName val="0"/>
              <c:showVal val="1"/>
            </c:dLbl>
            <c:dLbl>
              <c:idx val="2"/>
              <c:dLblPos val="ctr"/>
              <c:layout>
                <c:manualLayout>
                  <c:x val="-0.167190"/>
                  <c:y val="0.139500"/>
                </c:manualLayout>
              </c:layout>
              <c:showBubbleSize val="0"/>
              <c:showCatName val="0"/>
              <c:showLegendKey val="0"/>
              <c:showPercent val="0"/>
              <c:showSerName val="0"/>
              <c:showVal val="1"/>
            </c:dLbl>
            <c:dLbl>
              <c:idx val="3"/>
              <c:dLblPos val="ctr"/>
              <c:layout>
                <c:manualLayout>
                  <c:x val="-0.164650"/>
                  <c:y val="-0.018800"/>
                </c:manualLayout>
              </c:layout>
              <c:showBubbleSize val="0"/>
              <c:showCatName val="0"/>
              <c:showLegendKey val="0"/>
              <c:showPercent val="0"/>
              <c:showSerName val="0"/>
              <c:showVal val="1"/>
            </c:dLbl>
            <c:dLbl>
              <c:idx val="4"/>
              <c:dLblPos val="ctr"/>
              <c:layout>
                <c:manualLayout>
                  <c:x val="-0.137780"/>
                  <c:y val="-0.079530"/>
                </c:manualLayout>
              </c:layout>
              <c:showBubbleSize val="0"/>
              <c:showCatName val="0"/>
              <c:showLegendKey val="0"/>
              <c:showPercent val="0"/>
              <c:showSerName val="0"/>
              <c:showVal val="1"/>
            </c:dLbl>
            <c:dLbl>
              <c:idx val="5"/>
              <c:dLblPos val="ctr"/>
              <c:layout>
                <c:manualLayout>
                  <c:x val="-0.114430"/>
                  <c:y val="-0.118060"/>
                </c:manualLayout>
              </c:layout>
              <c:showBubbleSize val="0"/>
              <c:showCatName val="0"/>
              <c:showLegendKey val="0"/>
              <c:showPercent val="0"/>
              <c:showSerName val="0"/>
              <c:showVal val="1"/>
            </c:dLbl>
            <c:dLbl>
              <c:idx val="6"/>
              <c:dLblPos val="ctr"/>
              <c:layout>
                <c:manualLayout>
                  <c:x val="-0.064430"/>
                  <c:y val="-0.125200"/>
                </c:manualLayout>
              </c:layout>
              <c:showBubbleSize val="0"/>
              <c:showCatName val="0"/>
              <c:showLegendKey val="0"/>
              <c:showPercent val="0"/>
              <c:showSerName val="0"/>
              <c:showVal val="1"/>
            </c:dLbl>
            <c:dLbl>
              <c:idx val="7"/>
              <c:dLblPos val="ctr"/>
              <c:layout>
                <c:manualLayout>
                  <c:x val="-0.008210"/>
                  <c:y val="-0.124010"/>
                </c:manualLayout>
              </c:layout>
              <c:showBubbleSize val="0"/>
              <c:showCatName val="0"/>
              <c:showLegendKey val="0"/>
              <c:showPercent val="0"/>
              <c:showSerName val="0"/>
              <c:showVal val="1"/>
            </c:dLbl>
            <c:dLblPos val="ctr"/>
            <c:showBubbleSize val="0"/>
            <c:showCatName val="0"/>
            <c:showLeaderLines val="1"/>
            <c:showLegendKey val="0"/>
            <c:showPercent val="0"/>
            <c:showSerName val="0"/>
            <c:showVal val="1"/>
            <c:txPr>
              <a:bodyPr/>
              <a:lstStyle/>
              <a:p>
                <a:pPr>
                  <a:defRPr b="1"/>
                </a:pPr>
                <a:endParaRPr lang="ru-RU"/>
              </a:p>
            </c:txPr>
          </c:dLbls>
          <c:cat>
            <c:strRef>
              <c:f>ПРАВА!$B$67:$B$74</c:f>
              <c:strCache>
                <c:ptCount val="8"/>
                <c:pt idx="0">
                  <c:v xml:space="preserve">Социальные права</c:v>
                </c:pt>
                <c:pt idx="1">
                  <c:v xml:space="preserve">Соблюдение прав военнослужащих и членов их семей</c:v>
                </c:pt>
                <c:pt idx="2">
                  <c:v xml:space="preserve">Соблюдение прав правохранительными органами</c:v>
                </c:pt>
                <c:pt idx="3">
                  <c:v xml:space="preserve">Право на судебную защиту</c:v>
                </c:pt>
                <c:pt idx="4">
                  <c:v xml:space="preserve"> Защита прав человека в учреждениях уголовно-исполнительной системы</c:v>
                </c:pt>
                <c:pt idx="5">
                  <c:v xml:space="preserve">Право на безопасное дорожное движение</c:v>
                </c:pt>
                <c:pt idx="6">
                  <c:v xml:space="preserve">Имущественные права граждан</c:v>
                </c:pt>
                <c:pt idx="7">
                  <c:v>Иные</c:v>
                </c:pt>
              </c:strCache>
            </c:strRef>
          </c:cat>
          <c:val>
            <c:numRef>
              <c:f>ПРАВА!$C$67:$C$74</c:f>
              <c:numCache>
                <c:formatCode>General</c:formatCode>
                <c:ptCount val="8"/>
                <c:pt idx="0">
                  <c:v>233</c:v>
                </c:pt>
                <c:pt idx="1">
                  <c:v>225</c:v>
                </c:pt>
                <c:pt idx="2">
                  <c:v>53</c:v>
                </c:pt>
                <c:pt idx="3">
                  <c:v>41</c:v>
                </c:pt>
                <c:pt idx="4">
                  <c:v>59</c:v>
                </c:pt>
                <c:pt idx="5">
                  <c:v>20</c:v>
                </c:pt>
                <c:pt idx="6">
                  <c:v>10</c:v>
                </c:pt>
                <c:pt idx="7">
                  <c:v>56</c:v>
                </c:pt>
              </c:numCache>
            </c:numRef>
          </c:val>
        </c:ser>
        <c:dLbls>
          <c:showBubbleSize val="0"/>
          <c:showCatName val="0"/>
          <c:showLeaderLines val="0"/>
          <c:showLegendKey val="0"/>
          <c:showPercent val="0"/>
          <c:showSerName val="0"/>
          <c:showVal val="1"/>
        </c:dLbls>
      </c:pie3DChart>
    </c:plotArea>
    <c:legend>
      <c:legendPos val="r"/>
      <c:layout/>
      <c:overlay val="0"/>
    </c:legend>
    <c:plotVisOnly val="1"/>
    <c:showDLblsOverMax val="0"/>
  </c:chart>
  <c:spPr bwMode="auto">
    <a:prstGeom prst="rect">
      <a:avLst/>
    </a:prstGeom>
    <a:ln>
      <a:noFill/>
    </a:ln>
  </c:spPr>
  <c:txPr>
    <a:bodyPr/>
    <a:lstStyle/>
    <a:p>
      <a:pPr>
        <a:defRPr>
          <a:latin typeface="Times New Roman"/>
          <a:cs typeface="Times New Roman"/>
        </a:defRPr>
      </a:pPr>
      <a:endParaRPr lang="ru-RU"/>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mc="http://schemas.openxmlformats.org/markup-compatibility/2006" xmlns:c15="http://schemas.microsoft.com/office/drawing/2012/chart" xmlns:c14="http://schemas.microsoft.com/office/drawing/2007/8/2/chart" xmlns:c16r2="http://schemas.microsoft.com/office/drawing/2015/06/chart">
  <c:date1904 val="1"/>
  <c:lang val="ru-RU"/>
  <c:roundedCorners val="0"/>
  <mc:AlternateContent>
    <mc:Choice Requires="c14">
      <c14:style val="102"/>
    </mc:Choice>
    <mc:Fallback>
      <c:style val="2"/>
    </mc:Fallback>
  </mc:AlternateContent>
  <c:chart>
    <c:view3D>
      <c:rotX val="30"/>
      <c:perspective val="30"/>
    </c:view3D>
    <c:plotArea>
      <c:layout>
        <c:manualLayout>
          <c:layoutTarget val="inner"/>
          <c:xMode val="edge"/>
          <c:yMode val="edge"/>
          <c:x val="0.027020"/>
          <c:y val="0.045820"/>
          <c:w val="0.626080"/>
          <c:h val="0.913740"/>
        </c:manualLayout>
      </c:layout>
      <c:pie3DChart>
        <c:varyColors val="1"/>
        <c:ser>
          <c:idx val="0"/>
          <c:order val="0"/>
          <c:explosion val="25"/>
          <c:dLbls>
            <c:dLbl>
              <c:idx val="0"/>
              <c:layout>
                <c:manualLayout>
                  <c:x val="-0.053790"/>
                  <c:y val="0.200440"/>
                </c:manualLayout>
              </c:layout>
              <c:showBubbleSize val="0"/>
              <c:showCatName val="0"/>
              <c:showLegendKey val="0"/>
              <c:showPercent val="0"/>
              <c:showSerName val="0"/>
              <c:showVal val="1"/>
            </c:dLbl>
            <c:dLbl>
              <c:idx val="1"/>
              <c:layout>
                <c:manualLayout>
                  <c:x val="-0.026450"/>
                  <c:y val="0.191520"/>
                </c:manualLayout>
              </c:layout>
              <c:showBubbleSize val="0"/>
              <c:showCatName val="0"/>
              <c:showLegendKey val="0"/>
              <c:showPercent val="0"/>
              <c:showSerName val="0"/>
              <c:showVal val="1"/>
            </c:dLbl>
            <c:dLbl>
              <c:idx val="2"/>
              <c:layout>
                <c:manualLayout>
                  <c:x val="0.001580"/>
                  <c:y val="0.157350"/>
                </c:manualLayout>
              </c:layout>
              <c:showBubbleSize val="0"/>
              <c:showCatName val="0"/>
              <c:showLegendKey val="0"/>
              <c:showPercent val="0"/>
              <c:showSerName val="0"/>
              <c:showVal val="1"/>
            </c:dLbl>
            <c:dLbl>
              <c:idx val="3"/>
              <c:layout>
                <c:manualLayout>
                  <c:x val="-0.032581"/>
                  <c:y val="-0.045834"/>
                </c:manualLayout>
              </c:layout>
              <c:showBubbleSize val="0"/>
              <c:showCatName val="0"/>
              <c:showLegendKey val="0"/>
              <c:showPercent val="0"/>
              <c:showSerName val="0"/>
              <c:showVal val="1"/>
            </c:dLbl>
            <c:dLbl>
              <c:idx val="4"/>
              <c:layout>
                <c:manualLayout>
                  <c:x val="-0.014810"/>
                  <c:y val="-0.067195"/>
                </c:manualLayout>
              </c:layout>
              <c:showBubbleSize val="0"/>
              <c:showCatName val="0"/>
              <c:showLegendKey val="0"/>
              <c:showPercent val="0"/>
              <c:showSerName val="0"/>
              <c:showVal val="1"/>
            </c:dLbl>
            <c:dLbl>
              <c:idx val="5"/>
              <c:layout>
                <c:manualLayout>
                  <c:x val="0.017140"/>
                  <c:y val="-0.004030"/>
                </c:manualLayout>
              </c:layout>
              <c:showBubbleSize val="0"/>
              <c:showCatName val="0"/>
              <c:showLegendKey val="0"/>
              <c:showPercent val="0"/>
              <c:showSerName val="0"/>
              <c:showVal val="1"/>
            </c:dLbl>
            <c:dLbl>
              <c:idx val="6"/>
              <c:layout>
                <c:manualLayout>
                  <c:x val="-0.018341"/>
                  <c:y val="-0.084770"/>
                </c:manualLayout>
              </c:layout>
              <c:showBubbleSize val="0"/>
              <c:showCatName val="0"/>
              <c:showLegendKey val="0"/>
              <c:showPercent val="0"/>
              <c:showSerName val="0"/>
              <c:showVal val="1"/>
            </c:dLbl>
            <c:dLbl>
              <c:idx val="7"/>
              <c:layout>
                <c:manualLayout>
                  <c:x val="0.052210"/>
                  <c:y val="-0.019520"/>
                </c:manualLayout>
              </c:layout>
              <c:showBubbleSize val="0"/>
              <c:showCatName val="0"/>
              <c:showLegendKey val="0"/>
              <c:showPercent val="0"/>
              <c:showSerName val="0"/>
              <c:showVal val="1"/>
            </c:dLbl>
            <c:showBubbleSize val="0"/>
            <c:showCatName val="0"/>
            <c:showLeaderLines val="1"/>
            <c:showLegendKey val="0"/>
            <c:showPercent val="0"/>
            <c:showSerName val="0"/>
            <c:showVal val="1"/>
            <c:txPr>
              <a:bodyPr/>
              <a:lstStyle/>
              <a:p>
                <a:pPr>
                  <a:defRPr b="1"/>
                </a:pPr>
                <a:endParaRPr lang="ru-RU"/>
              </a:p>
            </c:txPr>
          </c:dLbls>
          <c:cat>
            <c:strRef>
              <c:f>ПРАВА!$B$149:$B$156</c:f>
              <c:strCache>
                <c:ptCount val="8"/>
                <c:pt idx="0">
                  <c:v xml:space="preserve">Социальные права</c:v>
                </c:pt>
                <c:pt idx="1">
                  <c:v xml:space="preserve">Соблюдение прав военнослужащих и членов их семей</c:v>
                </c:pt>
                <c:pt idx="2">
                  <c:v xml:space="preserve">Соблюдение прав правохранительными органами</c:v>
                </c:pt>
                <c:pt idx="3">
                  <c:v xml:space="preserve">Право на судебную защиту</c:v>
                </c:pt>
                <c:pt idx="4">
                  <c:v xml:space="preserve"> Защита прав человека в учреждениях уголовно-исполнительной системы</c:v>
                </c:pt>
                <c:pt idx="5">
                  <c:v xml:space="preserve">Право на безопасное дорожное движение</c:v>
                </c:pt>
                <c:pt idx="6">
                  <c:v xml:space="preserve">Имущественные права граждан</c:v>
                </c:pt>
                <c:pt idx="7">
                  <c:v>Иные</c:v>
                </c:pt>
              </c:strCache>
            </c:strRef>
          </c:cat>
          <c:val>
            <c:numRef>
              <c:f>ПРАВА!$C$149:$C$156</c:f>
              <c:numCache>
                <c:formatCode>General</c:formatCode>
                <c:ptCount val="8"/>
                <c:pt idx="0">
                  <c:v>1284</c:v>
                </c:pt>
                <c:pt idx="1">
                  <c:v>203</c:v>
                </c:pt>
                <c:pt idx="2">
                  <c:v>115</c:v>
                </c:pt>
                <c:pt idx="3">
                  <c:v>71</c:v>
                </c:pt>
                <c:pt idx="4">
                  <c:v>278</c:v>
                </c:pt>
                <c:pt idx="5">
                  <c:v>120</c:v>
                </c:pt>
                <c:pt idx="6">
                  <c:v>88</c:v>
                </c:pt>
                <c:pt idx="7">
                  <c:v>160</c:v>
                </c:pt>
              </c:numCache>
            </c:numRef>
          </c:val>
        </c:ser>
        <c:dLbls>
          <c:showBubbleSize val="0"/>
          <c:showCatName val="0"/>
          <c:showLeaderLines val="0"/>
          <c:showLegendKey val="0"/>
          <c:showPercent val="0"/>
          <c:showSerName val="0"/>
          <c:showVal val="0"/>
        </c:dLbls>
      </c:pie3DChart>
    </c:plotArea>
    <c:legend>
      <c:legendPos val="r"/>
      <c:layout/>
      <c:overlay val="0"/>
    </c:legend>
    <c:plotVisOnly val="1"/>
    <c:showDLblsOverMax val="0"/>
  </c:chart>
  <c:spPr bwMode="auto">
    <a:prstGeom prst="rect">
      <a:avLst/>
    </a:prstGeom>
    <a:ln>
      <a:noFill/>
    </a:ln>
  </c:spPr>
  <c:txPr>
    <a:bodyPr/>
    <a:lstStyle/>
    <a:p>
      <a:pPr>
        <a:defRPr>
          <a:latin typeface="Times New Roman"/>
          <a:cs typeface="Times New Roman"/>
        </a:defRPr>
      </a:pPr>
      <a:endParaRPr lang="ru-RU"/>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mc="http://schemas.openxmlformats.org/markup-compatibility/2006" xmlns:c15="http://schemas.microsoft.com/office/drawing/2012/chart" xmlns:c14="http://schemas.microsoft.com/office/drawing/2007/8/2/chart" xmlns:c16r2="http://schemas.microsoft.com/office/drawing/2015/06/chart">
  <c:date1904 val="1"/>
  <c:lang val="ru-RU"/>
  <c:roundedCorners val="0"/>
  <mc:AlternateContent>
    <mc:Choice Requires="c14">
      <c14:style val="102"/>
    </mc:Choice>
    <mc:Fallback>
      <c:style val="2"/>
    </mc:Fallback>
  </mc:AlternateContent>
  <c:chart>
    <c:plotArea>
      <c:layout/>
      <c:barChart>
        <c:barDir val="bar"/>
        <c:grouping val="clustered"/>
        <c:varyColors val="0"/>
        <c:ser>
          <c:idx val="0"/>
          <c:order val="0"/>
          <c:dLbls>
            <c:showBubbleSize val="0"/>
            <c:showCatName val="0"/>
            <c:showLeaderLines val="0"/>
            <c:showLegendKey val="0"/>
            <c:showPercent val="0"/>
            <c:showSerName val="0"/>
            <c:showVal val="1"/>
            <c:spPr bwMode="auto">
              <a:prstGeom prst="rect">
                <a:avLst/>
              </a:prstGeom>
              <a:ln>
                <a:noFill/>
              </a:ln>
            </c:spPr>
            <c:txPr>
              <a:bodyPr/>
              <a:lstStyle/>
              <a:p>
                <a:pPr>
                  <a:defRPr sz="1200">
                    <a:latin typeface="Times New Roman"/>
                    <a:cs typeface="Times New Roman"/>
                  </a:defRPr>
                </a:pPr>
                <a:endParaRPr lang="ru-RU"/>
              </a:p>
            </c:txPr>
          </c:dLbls>
          <c:cat>
            <c:strRef>
              <c:f>ВСЕГО!$B$63:$B$75</c:f>
              <c:strCache>
                <c:ptCount val="13"/>
                <c:pt idx="0">
                  <c:v xml:space="preserve">Иные </c:v>
                </c:pt>
                <c:pt idx="1">
                  <c:v xml:space="preserve">Работающее население</c:v>
                </c:pt>
                <c:pt idx="2">
                  <c:v xml:space="preserve">Осужденные и их родственники</c:v>
                </c:pt>
                <c:pt idx="3">
                  <c:v xml:space="preserve">Пенсионеры, ветераны труда</c:v>
                </c:pt>
                <c:pt idx="4">
                  <c:v>Инвалиды</c:v>
                </c:pt>
                <c:pt idx="5">
                  <c:v xml:space="preserve">Коллективные жалобы</c:v>
                </c:pt>
                <c:pt idx="6">
                  <c:v xml:space="preserve">Общественные организации</c:v>
                </c:pt>
                <c:pt idx="7">
                  <c:v xml:space="preserve">Сироты, лица из числа детей-сирот</c:v>
                </c:pt>
                <c:pt idx="8">
                  <c:v xml:space="preserve">Многодетные семьи</c:v>
                </c:pt>
                <c:pt idx="9">
                  <c:v>Адвокаты</c:v>
                </c:pt>
                <c:pt idx="10">
                  <c:v xml:space="preserve">Региональные УПЧ</c:v>
                </c:pt>
                <c:pt idx="11">
                  <c:v>Беженцы</c:v>
                </c:pt>
                <c:pt idx="12">
                  <c:v xml:space="preserve">Военнослужащие и члены их семей</c:v>
                </c:pt>
              </c:strCache>
            </c:strRef>
          </c:cat>
          <c:val>
            <c:numRef>
              <c:f>ВСЕГО!$C$63:$C$75</c:f>
              <c:numCache>
                <c:formatCode>General</c:formatCode>
                <c:ptCount val="13"/>
                <c:pt idx="0">
                  <c:v>109</c:v>
                </c:pt>
                <c:pt idx="1">
                  <c:v>201</c:v>
                </c:pt>
                <c:pt idx="2">
                  <c:v>56</c:v>
                </c:pt>
                <c:pt idx="3">
                  <c:v>23</c:v>
                </c:pt>
                <c:pt idx="4">
                  <c:v>21</c:v>
                </c:pt>
                <c:pt idx="5">
                  <c:v>13</c:v>
                </c:pt>
                <c:pt idx="6">
                  <c:v>3</c:v>
                </c:pt>
                <c:pt idx="7">
                  <c:v>7</c:v>
                </c:pt>
                <c:pt idx="8">
                  <c:v>6</c:v>
                </c:pt>
                <c:pt idx="9">
                  <c:v>15</c:v>
                </c:pt>
                <c:pt idx="10">
                  <c:v>10</c:v>
                </c:pt>
                <c:pt idx="11">
                  <c:v>8</c:v>
                </c:pt>
                <c:pt idx="12">
                  <c:v>225</c:v>
                </c:pt>
              </c:numCache>
            </c:numRef>
          </c:val>
        </c:ser>
        <c:dLbls>
          <c:showBubbleSize val="0"/>
          <c:showCatName val="0"/>
          <c:showLeaderLines val="0"/>
          <c:showLegendKey val="0"/>
          <c:showPercent val="0"/>
          <c:showSerName val="0"/>
          <c:showVal val="0"/>
        </c:dLbls>
        <c:gapWidth val="150"/>
        <c:axId val="98174848"/>
        <c:axId val="98176384"/>
      </c:barChart>
      <c:catAx>
        <c:axId val="98174848"/>
        <c:scaling>
          <c:orientation val="minMax"/>
        </c:scaling>
        <c:delete val="0"/>
        <c:axPos val="l"/>
        <c:majorTickMark val="out"/>
        <c:minorTickMark val="none"/>
        <c:tickLblPos val="nextTo"/>
        <c:txPr>
          <a:bodyPr/>
          <a:lstStyle/>
          <a:p>
            <a:pPr>
              <a:defRPr sz="1200">
                <a:latin typeface="Times New Roman"/>
                <a:cs typeface="Times New Roman"/>
              </a:defRPr>
            </a:pPr>
            <a:endParaRPr lang="ru-RU"/>
          </a:p>
        </c:txPr>
        <c:crossAx val="98176384"/>
        <c:crosses val="autoZero"/>
        <c:auto val="1"/>
        <c:lblAlgn val="ctr"/>
        <c:lblOffset val="100"/>
        <c:noMultiLvlLbl val="0"/>
      </c:catAx>
      <c:valAx>
        <c:axId val="98176384"/>
        <c:scaling>
          <c:orientation val="minMax"/>
        </c:scaling>
        <c:delete val="0"/>
        <c:axPos val="b"/>
        <c:majorGridlines>
          <c:spPr bwMode="auto"/>
        </c:majorGridlines>
        <c:numFmt formatCode="General" sourceLinked="1"/>
        <c:majorTickMark val="out"/>
        <c:minorTickMark val="none"/>
        <c:tickLblPos val="nextTo"/>
        <c:crossAx val="98174848"/>
        <c:crosses val="autoZero"/>
        <c:crossBetween val="between"/>
      </c:valAx>
    </c:plotArea>
    <c:plotVisOnly val="1"/>
    <c:showDLblsOverMax val="0"/>
  </c:chart>
  <c:spPr bwMode="auto">
    <a:prstGeom prst="rect">
      <a:avLst/>
    </a:prstGeom>
    <a:ln>
      <a:noFill/>
    </a:ln>
  </c:sp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mc="http://schemas.openxmlformats.org/markup-compatibility/2006" xmlns:c15="http://schemas.microsoft.com/office/drawing/2012/chart" xmlns:c14="http://schemas.microsoft.com/office/drawing/2007/8/2/chart" xmlns:c16r2="http://schemas.microsoft.com/office/drawing/2015/06/chart">
  <c:date1904 val="1"/>
  <c:lang val="ru-RU"/>
  <c:roundedCorners val="0"/>
  <mc:AlternateContent>
    <mc:Choice Requires="c14">
      <c14:style val="102"/>
    </mc:Choice>
    <mc:Fallback>
      <c:style val="2"/>
    </mc:Fallback>
  </mc:AlternateContent>
  <c:chart>
    <c:plotArea>
      <c:layout/>
      <c:barChart>
        <c:barDir val="col"/>
        <c:grouping val="clustered"/>
        <c:varyColors val="0"/>
        <c:ser>
          <c:idx val="0"/>
          <c:order val="0"/>
          <c:dLbls>
            <c:showBubbleSize val="0"/>
            <c:showCatName val="0"/>
            <c:showLeaderLines val="0"/>
            <c:showLegendKey val="0"/>
            <c:showPercent val="0"/>
            <c:showSerName val="0"/>
            <c:showVal val="1"/>
            <c:txPr>
              <a:bodyPr/>
              <a:lstStyle/>
              <a:p>
                <a:pPr>
                  <a:defRPr>
                    <a:latin typeface="Times New Roman"/>
                    <a:cs typeface="Times New Roman"/>
                  </a:defRPr>
                </a:pPr>
                <a:endParaRPr lang="ru-RU"/>
              </a:p>
            </c:txPr>
          </c:dLbls>
          <c:cat>
            <c:strRef>
              <c:f>ВСЕГО!$B$82:$B$86</c:f>
              <c:strCache>
                <c:ptCount val="5"/>
                <c:pt idx="0">
                  <c:v xml:space="preserve">территориальные органы федеральных органов исполнительной власти</c:v>
                </c:pt>
                <c:pt idx="1">
                  <c:v xml:space="preserve">органы исполнительной власти</c:v>
                </c:pt>
                <c:pt idx="2">
                  <c:v xml:space="preserve">органы местного самоуправления</c:v>
                </c:pt>
                <c:pt idx="3">
                  <c:v xml:space="preserve">юридические лица</c:v>
                </c:pt>
                <c:pt idx="4">
                  <c:v xml:space="preserve">физические лица</c:v>
                </c:pt>
              </c:strCache>
            </c:strRef>
          </c:cat>
          <c:val>
            <c:numRef>
              <c:f>ВСЕГО!$C$82:$C$86</c:f>
              <c:numCache>
                <c:formatCode>General</c:formatCode>
                <c:ptCount val="5"/>
                <c:pt idx="0">
                  <c:v>471</c:v>
                </c:pt>
                <c:pt idx="1">
                  <c:v>108</c:v>
                </c:pt>
                <c:pt idx="2">
                  <c:v>51</c:v>
                </c:pt>
                <c:pt idx="3">
                  <c:v>37</c:v>
                </c:pt>
                <c:pt idx="4">
                  <c:v>30</c:v>
                </c:pt>
              </c:numCache>
            </c:numRef>
          </c:val>
        </c:ser>
        <c:dLbls>
          <c:showBubbleSize val="0"/>
          <c:showCatName val="0"/>
          <c:showLeaderLines val="0"/>
          <c:showLegendKey val="0"/>
          <c:showPercent val="0"/>
          <c:showSerName val="0"/>
          <c:showVal val="0"/>
        </c:dLbls>
        <c:gapWidth val="150"/>
        <c:axId val="98302592"/>
        <c:axId val="48607616"/>
      </c:barChart>
      <c:catAx>
        <c:axId val="98302592"/>
        <c:scaling>
          <c:orientation val="minMax"/>
        </c:scaling>
        <c:delete val="0"/>
        <c:axPos val="b"/>
        <c:majorTickMark val="out"/>
        <c:minorTickMark val="none"/>
        <c:tickLblPos val="nextTo"/>
        <c:txPr>
          <a:bodyPr/>
          <a:lstStyle/>
          <a:p>
            <a:pPr>
              <a:defRPr>
                <a:latin typeface="Times New Roman"/>
                <a:cs typeface="Times New Roman"/>
              </a:defRPr>
            </a:pPr>
            <a:endParaRPr lang="ru-RU"/>
          </a:p>
        </c:txPr>
        <c:crossAx val="48607616"/>
        <c:crosses val="autoZero"/>
        <c:auto val="1"/>
        <c:lblAlgn val="ctr"/>
        <c:lblOffset val="100"/>
        <c:noMultiLvlLbl val="0"/>
      </c:catAx>
      <c:valAx>
        <c:axId val="48607616"/>
        <c:scaling>
          <c:orientation val="minMax"/>
        </c:scaling>
        <c:delete val="0"/>
        <c:axPos val="l"/>
        <c:majorGridlines>
          <c:spPr bwMode="auto"/>
        </c:majorGridlines>
        <c:numFmt formatCode="General" sourceLinked="1"/>
        <c:majorTickMark val="out"/>
        <c:minorTickMark val="none"/>
        <c:tickLblPos val="nextTo"/>
        <c:txPr>
          <a:bodyPr/>
          <a:lstStyle/>
          <a:p>
            <a:pPr>
              <a:defRPr>
                <a:latin typeface="Times New Roman"/>
                <a:cs typeface="Times New Roman"/>
              </a:defRPr>
            </a:pPr>
            <a:endParaRPr lang="ru-RU"/>
          </a:p>
        </c:txPr>
        <c:crossAx val="98302592"/>
        <c:crosses val="autoZero"/>
        <c:crossBetween val="between"/>
      </c:valAx>
    </c:plotArea>
    <c:plotVisOnly val="1"/>
    <c:showDLblsOverMax val="0"/>
  </c:chart>
  <c:spPr bwMode="auto">
    <a:prstGeom prst="rect">
      <a:avLst/>
    </a:prstGeom>
    <a:ln>
      <a:noFill/>
    </a:ln>
  </c:spPr>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mc="http://schemas.openxmlformats.org/markup-compatibility/2006" xmlns:c15="http://schemas.microsoft.com/office/drawing/2012/chart" xmlns:c14="http://schemas.microsoft.com/office/drawing/2007/8/2/chart" xmlns:c16r2="http://schemas.microsoft.com/office/drawing/2015/06/chart">
  <c:date1904 val="0"/>
  <c:lang val="ru-RU"/>
  <c:roundedCorners val="0"/>
  <mc:AlternateContent>
    <mc:Choice Requires="c14">
      <c14:style val="102"/>
    </mc:Choice>
    <mc:Fallback>
      <c:style val="2"/>
    </mc:Fallback>
  </mc:AlternateContent>
  <c:chart>
    <c:view3D>
      <c:rotX val="30"/>
      <c:perspective val="30"/>
    </c:view3D>
    <c:plotArea>
      <c:layout/>
      <c:pie3DChart>
        <c:varyColors val="1"/>
        <c:ser>
          <c:idx val="0"/>
          <c:order val="0"/>
          <c:explosion val="25"/>
          <c:dLbls>
            <c:dLbl>
              <c:idx val="0"/>
              <c:layout>
                <c:manualLayout>
                  <c:x val="0.030000"/>
                  <c:y val="0.042070"/>
                </c:manualLayout>
              </c:layout>
              <c:showBubbleSize val="0"/>
              <c:showCatName val="0"/>
              <c:showLegendKey val="0"/>
              <c:showPercent val="1"/>
              <c:showSerName val="0"/>
              <c:showVal val="1"/>
              <c:tx>
                <c:rich>
                  <a:bodyPr/>
                  <a:lstStyle/>
                  <a:p>
                    <a:pPr>
                      <a:defRPr/>
                    </a:pPr>
                    <a:r>
                      <a:rPr lang="ru-RU"/>
                      <a:t>1418, </a:t>
                    </a:r>
                    <a:endParaRPr/>
                  </a:p>
                  <a:p>
                    <a:pPr>
                      <a:defRPr/>
                    </a:pPr>
                    <a:r>
                      <a:rPr lang="ru-RU"/>
                      <a:t>47%</a:t>
                    </a:r>
                    <a:endParaRPr/>
                  </a:p>
                </c:rich>
              </c:tx>
            </c:dLbl>
            <c:dLbl>
              <c:idx val="1"/>
              <c:layout>
                <c:manualLayout>
                  <c:x val="-0.097260"/>
                  <c:y val="0.223020"/>
                </c:manualLayout>
              </c:layout>
              <c:showBubbleSize val="0"/>
              <c:showCatName val="0"/>
              <c:showLegendKey val="0"/>
              <c:showPercent val="1"/>
              <c:showSerName val="0"/>
              <c:showVal val="1"/>
              <c:tx>
                <c:rich>
                  <a:bodyPr/>
                  <a:lstStyle/>
                  <a:p>
                    <a:pPr>
                      <a:defRPr/>
                    </a:pPr>
                    <a:r>
                      <a:rPr lang="ru-RU"/>
                      <a:t>394, </a:t>
                    </a:r>
                    <a:endParaRPr/>
                  </a:p>
                  <a:p>
                    <a:pPr>
                      <a:defRPr/>
                    </a:pPr>
                    <a:r>
                      <a:rPr lang="ru-RU"/>
                      <a:t>13,1 %</a:t>
                    </a:r>
                    <a:endParaRPr/>
                  </a:p>
                </c:rich>
              </c:tx>
            </c:dLbl>
            <c:dLbl>
              <c:idx val="2"/>
              <c:layout>
                <c:manualLayout>
                  <c:x val="-0.014190"/>
                  <c:y val="0.032340"/>
                </c:manualLayout>
              </c:layout>
              <c:showBubbleSize val="0"/>
              <c:showCatName val="0"/>
              <c:showLegendKey val="0"/>
              <c:showPercent val="1"/>
              <c:showSerName val="0"/>
              <c:showVal val="1"/>
              <c:tx>
                <c:rich>
                  <a:bodyPr/>
                  <a:lstStyle/>
                  <a:p>
                    <a:pPr>
                      <a:defRPr/>
                    </a:pPr>
                    <a:r>
                      <a:rPr lang="ru-RU"/>
                      <a:t>1141, </a:t>
                    </a:r>
                    <a:endParaRPr/>
                  </a:p>
                  <a:p>
                    <a:pPr>
                      <a:defRPr/>
                    </a:pPr>
                    <a:r>
                      <a:rPr lang="ru-RU"/>
                      <a:t>37,8 %</a:t>
                    </a:r>
                    <a:endParaRPr/>
                  </a:p>
                </c:rich>
              </c:tx>
            </c:dLbl>
            <c:dLbl>
              <c:idx val="3"/>
              <c:layout>
                <c:manualLayout>
                  <c:x val="0.005600"/>
                  <c:y val="0.017600"/>
                </c:manualLayout>
              </c:layout>
              <c:showBubbleSize val="0"/>
              <c:showCatName val="0"/>
              <c:showLegendKey val="0"/>
              <c:showPercent val="1"/>
              <c:showSerName val="0"/>
              <c:showVal val="1"/>
              <c:tx>
                <c:rich>
                  <a:bodyPr/>
                  <a:lstStyle/>
                  <a:p>
                    <a:pPr>
                      <a:defRPr/>
                    </a:pPr>
                    <a:r>
                      <a:rPr lang="ru-RU"/>
                      <a:t>52, </a:t>
                    </a:r>
                    <a:endParaRPr/>
                  </a:p>
                  <a:p>
                    <a:pPr>
                      <a:defRPr/>
                    </a:pPr>
                    <a:r>
                      <a:rPr lang="ru-RU"/>
                      <a:t>1,7 %</a:t>
                    </a:r>
                    <a:endParaRPr/>
                  </a:p>
                </c:rich>
              </c:tx>
            </c:dLbl>
            <c:dLbl>
              <c:idx val="4"/>
              <c:layout>
                <c:manualLayout>
                  <c:x val="0.046200"/>
                  <c:y val="0.019470"/>
                </c:manualLayout>
              </c:layout>
              <c:showBubbleSize val="0"/>
              <c:showCatName val="0"/>
              <c:showLegendKey val="0"/>
              <c:showPercent val="1"/>
              <c:showSerName val="0"/>
              <c:showVal val="1"/>
              <c:tx>
                <c:rich>
                  <a:bodyPr/>
                  <a:lstStyle/>
                  <a:p>
                    <a:pPr>
                      <a:defRPr/>
                    </a:pPr>
                    <a:r>
                      <a:rPr lang="ru-RU"/>
                      <a:t>11, </a:t>
                    </a:r>
                    <a:endParaRPr/>
                  </a:p>
                  <a:p>
                    <a:pPr>
                      <a:defRPr/>
                    </a:pPr>
                    <a:r>
                      <a:rPr lang="ru-RU"/>
                      <a:t>0, 4 %</a:t>
                    </a:r>
                    <a:endParaRPr/>
                  </a:p>
                </c:rich>
              </c:tx>
            </c:dLbl>
            <c:showBubbleSize val="0"/>
            <c:showCatName val="0"/>
            <c:showLeaderLines val="0"/>
            <c:showLegendKey val="0"/>
            <c:showPercent val="1"/>
            <c:showSerName val="0"/>
            <c:showVal val="1"/>
            <c:txPr>
              <a:bodyPr/>
              <a:lstStyle/>
              <a:p>
                <a:pPr>
                  <a:defRPr>
                    <a:latin typeface="Times New Roman"/>
                    <a:cs typeface="Times New Roman"/>
                  </a:defRPr>
                </a:pPr>
                <a:endParaRPr lang="ru-RU"/>
              </a:p>
            </c:txPr>
          </c:dLbls>
          <c:cat>
            <c:strRef>
              <c:f>ПРАВА!$B$167:$B$171</c:f>
              <c:strCache>
                <c:ptCount val="5"/>
                <c:pt idx="0">
                  <c:v xml:space="preserve">Решено положительно</c:v>
                </c:pt>
                <c:pt idx="1">
                  <c:v xml:space="preserve">Передано по компетенции</c:v>
                </c:pt>
                <c:pt idx="2">
                  <c:v xml:space="preserve">Даны разъяснения</c:v>
                </c:pt>
                <c:pt idx="3">
                  <c:v xml:space="preserve">Доводы не подтвердились</c:v>
                </c:pt>
                <c:pt idx="4">
                  <c:v xml:space="preserve">На контроле, в работе</c:v>
                </c:pt>
              </c:strCache>
            </c:strRef>
          </c:cat>
          <c:val>
            <c:numRef>
              <c:f>ПРАВА!$C$167:$C$171</c:f>
              <c:numCache>
                <c:formatCode>General</c:formatCode>
                <c:ptCount val="5"/>
                <c:pt idx="0">
                  <c:v>1418</c:v>
                </c:pt>
                <c:pt idx="1">
                  <c:v>394</c:v>
                </c:pt>
                <c:pt idx="2">
                  <c:v>1141</c:v>
                </c:pt>
                <c:pt idx="3">
                  <c:v>52</c:v>
                </c:pt>
                <c:pt idx="4">
                  <c:v>11</c:v>
                </c:pt>
              </c:numCache>
            </c:numRef>
          </c:val>
        </c:ser>
        <c:ser>
          <c:idx val="1"/>
          <c:order val="1"/>
          <c:explosion val="25"/>
          <c:cat>
            <c:strRef>
              <c:f>ПРАВА!$B$167:$B$171</c:f>
              <c:strCache>
                <c:ptCount val="5"/>
                <c:pt idx="0">
                  <c:v xml:space="preserve">Решено положительно</c:v>
                </c:pt>
                <c:pt idx="1">
                  <c:v xml:space="preserve">Передано по компетенции</c:v>
                </c:pt>
                <c:pt idx="2">
                  <c:v xml:space="preserve">Даны разъяснения</c:v>
                </c:pt>
                <c:pt idx="3">
                  <c:v xml:space="preserve">Доводы не подтвердились</c:v>
                </c:pt>
                <c:pt idx="4">
                  <c:v xml:space="preserve">На контроле, в работе</c:v>
                </c:pt>
              </c:strCache>
            </c:strRef>
          </c:cat>
          <c:val>
            <c:numRef>
              <c:f>ПРАВА!$D$167:$D$171</c:f>
              <c:numCache>
                <c:formatCode>0.0</c:formatCode>
                <c:ptCount val="5"/>
                <c:pt idx="0">
                  <c:v>47.01591511936339</c:v>
                </c:pt>
                <c:pt idx="1">
                  <c:v>13.063660477453581</c:v>
                </c:pt>
                <c:pt idx="2">
                  <c:v>37.83156498673733</c:v>
                </c:pt>
                <c:pt idx="3">
                  <c:v>1.7241379310344827</c:v>
                </c:pt>
                <c:pt idx="4">
                  <c:v>0.3647214854111408</c:v>
                </c:pt>
              </c:numCache>
            </c:numRef>
          </c:val>
        </c:ser>
        <c:dLbls>
          <c:showBubbleSize val="0"/>
          <c:showCatName val="0"/>
          <c:showLeaderLines val="0"/>
          <c:showLegendKey val="0"/>
          <c:showPercent val="0"/>
          <c:showSerName val="0"/>
          <c:showVal val="0"/>
        </c:dLbls>
      </c:pie3DChart>
    </c:plotArea>
    <c:legend>
      <c:legendPos val="r"/>
      <c:layout>
        <c:manualLayout>
          <c:xMode val="edge"/>
          <c:yMode val="edge"/>
          <c:x val="0.698680"/>
          <c:y val="0.118910"/>
          <c:w val="0.287240"/>
          <c:h val="0.488450"/>
        </c:manualLayout>
      </c:layout>
      <c:overlay val="0"/>
      <c:txPr>
        <a:bodyPr/>
        <a:lstStyle/>
        <a:p>
          <a:pPr>
            <a:defRPr>
              <a:latin typeface="Times New Roman"/>
              <a:cs typeface="Times New Roman"/>
            </a:defRPr>
          </a:pPr>
          <a:endParaRPr lang="ru-RU"/>
        </a:p>
      </c:txPr>
    </c:legend>
    <c:plotVisOnly val="1"/>
    <c:showDLblsOverMax val="0"/>
  </c:chart>
  <c:spPr bwMode="auto">
    <a:prstGeom prst="rect">
      <a:avLst/>
    </a:prstGeom>
    <a:ln>
      <a:noFill/>
    </a:ln>
  </c:spPr>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mc="http://schemas.openxmlformats.org/markup-compatibility/2006" xmlns:c15="http://schemas.microsoft.com/office/drawing/2012/chart" xmlns:c14="http://schemas.microsoft.com/office/drawing/2007/8/2/chart" xmlns:c16r2="http://schemas.microsoft.com/office/drawing/2015/06/chart">
  <c:date1904 val="1"/>
  <c:lang val="ru-RU"/>
  <c:roundedCorners val="0"/>
  <mc:AlternateContent>
    <mc:Choice Requires="c14">
      <c14:style val="102"/>
    </mc:Choice>
    <mc:Fallback>
      <c:style val="2"/>
    </mc:Fallback>
  </mc:AlternateContent>
  <c:chart>
    <c:title>
      <c:tx>
        <c:rich>
          <a:bodyPr/>
          <a:lstStyle/>
          <a:p>
            <a:pPr>
              <a:defRPr sz="1800" b="1">
                <a:solidFill>
                  <a:schemeClr val="dk1">
                    <a:lumMod val="75000"/>
                    <a:lumOff val="25000"/>
                  </a:schemeClr>
                </a:solidFill>
                <a:latin typeface="+mn-lt"/>
                <a:ea typeface="+mn-ea"/>
                <a:cs typeface="+mn-cs"/>
              </a:defRPr>
            </a:pPr>
            <a:r>
              <a:rPr lang="ru-RU"/>
              <a:t>Защита прав человека в учреждениях уголовно-исполнительной системы</a:t>
            </a:r>
            <a:endParaRPr/>
          </a:p>
        </c:rich>
      </c:tx>
      <c:layout/>
      <c:overlay val="0"/>
      <c:spPr bwMode="auto">
        <a:prstGeom prst="rect">
          <a:avLst/>
        </a:prstGeom>
        <a:noFill/>
        <a:ln>
          <a:noFill/>
        </a:ln>
      </c:spPr>
    </c:title>
    <c:view3D>
      <c:rotX val="50"/>
      <c:depthPercent val="100"/>
      <c:perspective val="30"/>
    </c:view3D>
    <c:floor>
      <c:spPr bwMode="auto">
        <a:prstGeom prst="rect">
          <a:avLst/>
        </a:prstGeom>
        <a:noFill/>
        <a:ln>
          <a:noFill/>
        </a:ln>
      </c:spPr>
    </c:floor>
    <c:sideWall>
      <c:spPr bwMode="auto">
        <a:prstGeom prst="rect">
          <a:avLst/>
        </a:prstGeom>
        <a:noFill/>
        <a:ln>
          <a:noFill/>
        </a:ln>
      </c:spPr>
    </c:sideWall>
    <c:backWall>
      <c:spPr bwMode="auto">
        <a:prstGeom prst="rect">
          <a:avLst/>
        </a:prstGeom>
        <a:noFill/>
        <a:ln>
          <a:noFill/>
        </a:ln>
      </c:spPr>
    </c:backWall>
    <c:plotArea>
      <c:layout>
        <c:manualLayout>
          <c:layoutTarget val="inner"/>
          <c:xMode val="edge"/>
          <c:yMode val="edge"/>
          <c:x val="0.033430"/>
          <c:y val="0.367320"/>
          <c:w val="0.874990"/>
          <c:h val="0.573310"/>
        </c:manualLayout>
      </c:layout>
      <c:pie3DChart>
        <c:varyColors val="1"/>
        <c:ser>
          <c:idx val="0"/>
          <c:order val="0"/>
          <c:dPt>
            <c:idx val="0"/>
            <c:spPr bwMode="auto">
              <a:prstGeom prst="rect">
                <a:avLst/>
              </a:prstGeom>
              <a:solidFill>
                <a:schemeClr val="accent1"/>
              </a:solidFill>
              <a:ln>
                <a:noFill/>
              </a:ln>
            </c:spPr>
          </c:dPt>
          <c:dPt>
            <c:idx val="1"/>
            <c:spPr bwMode="auto">
              <a:prstGeom prst="rect">
                <a:avLst/>
              </a:prstGeom>
              <a:solidFill>
                <a:schemeClr val="accent2"/>
              </a:solidFill>
              <a:ln>
                <a:noFill/>
              </a:ln>
            </c:spPr>
          </c:dPt>
          <c:dPt>
            <c:idx val="2"/>
            <c:spPr bwMode="auto">
              <a:prstGeom prst="rect">
                <a:avLst/>
              </a:prstGeom>
              <a:solidFill>
                <a:schemeClr val="accent3"/>
              </a:solidFill>
              <a:ln>
                <a:noFill/>
              </a:ln>
            </c:spPr>
          </c:dPt>
          <c:dPt>
            <c:idx val="3"/>
            <c:spPr bwMode="auto">
              <a:prstGeom prst="rect">
                <a:avLst/>
              </a:prstGeom>
              <a:solidFill>
                <a:schemeClr val="accent4"/>
              </a:solidFill>
              <a:ln>
                <a:noFill/>
              </a:ln>
            </c:spPr>
          </c:dPt>
          <c:dPt>
            <c:idx val="4"/>
            <c:spPr bwMode="auto">
              <a:prstGeom prst="rect">
                <a:avLst/>
              </a:prstGeom>
              <a:solidFill>
                <a:schemeClr val="accent5"/>
              </a:solidFill>
              <a:ln>
                <a:noFill/>
              </a:ln>
            </c:spPr>
          </c:dPt>
          <c:dPt>
            <c:idx val="5"/>
            <c:spPr bwMode="auto">
              <a:prstGeom prst="rect">
                <a:avLst/>
              </a:prstGeom>
              <a:solidFill>
                <a:schemeClr val="accent6"/>
              </a:solidFill>
              <a:ln>
                <a:noFill/>
              </a:ln>
            </c:spPr>
          </c:dPt>
          <c:dLbls>
            <c:dLblPos val="ctr"/>
            <c:showBubbleSize val="0"/>
            <c:showCatName val="0"/>
            <c:showLeaderLines val="1"/>
            <c:showLegendKey val="0"/>
            <c:showPercent val="1"/>
            <c:showSerName val="0"/>
            <c:showVal val="0"/>
            <c:spPr bwMode="auto">
              <a:prstGeom prst="rect">
                <a:avLst/>
              </a:prstGeom>
              <a:pattFill prst="pct75">
                <a:fgClr>
                  <a:schemeClr val="dk1">
                    <a:lumMod val="75000"/>
                    <a:lumOff val="25000"/>
                  </a:schemeClr>
                </a:fgClr>
                <a:bgClr>
                  <a:schemeClr val="dk1">
                    <a:lumMod val="65000"/>
                    <a:lumOff val="35000"/>
                  </a:schemeClr>
                </a:bgClr>
              </a:pattFill>
              <a:ln>
                <a:noFill/>
              </a:ln>
            </c:spPr>
            <c:txPr>
              <a:bodyPr/>
              <a:lstStyle/>
              <a:p>
                <a:pPr>
                  <a:defRPr sz="1000" b="1" i="0" u="none" strike="noStrike">
                    <a:solidFill>
                      <a:schemeClr val="lt1"/>
                    </a:solidFill>
                    <a:latin typeface="+mn-lt"/>
                    <a:ea typeface="+mn-ea"/>
                    <a:cs typeface="+mn-cs"/>
                  </a:defRPr>
                </a:pPr>
                <a:endParaRPr lang="ru-RU"/>
              </a:p>
            </c:txPr>
          </c:dLbls>
          <c:cat>
            <c:strRef>
              <c:f>Лист1!$A$1:$A$6</c:f>
              <c:strCache>
                <c:ptCount val="6"/>
                <c:pt idx="0">
                  <c:v xml:space="preserve">жалобы на медицину</c:v>
                </c:pt>
                <c:pt idx="1">
                  <c:v>УДО</c:v>
                </c:pt>
                <c:pt idx="2">
                  <c:v xml:space="preserve">на бытовые условия</c:v>
                </c:pt>
                <c:pt idx="3">
                  <c:v xml:space="preserve">на действия должностных лиц</c:v>
                </c:pt>
                <c:pt idx="4">
                  <c:v xml:space="preserve">на решение суда</c:v>
                </c:pt>
                <c:pt idx="5">
                  <c:v xml:space="preserve">иные вопросы</c:v>
                </c:pt>
              </c:strCache>
            </c:strRef>
          </c:cat>
          <c:val>
            <c:numRef>
              <c:f>Лист1!$B$1:$B$6</c:f>
              <c:numCache>
                <c:formatCode>General</c:formatCode>
                <c:ptCount val="6"/>
                <c:pt idx="0">
                  <c:v>148</c:v>
                </c:pt>
                <c:pt idx="1">
                  <c:v>32</c:v>
                </c:pt>
                <c:pt idx="2">
                  <c:v>22</c:v>
                </c:pt>
                <c:pt idx="3">
                  <c:v>34</c:v>
                </c:pt>
                <c:pt idx="4">
                  <c:v>43</c:v>
                </c:pt>
                <c:pt idx="5">
                  <c:v>58</c:v>
                </c:pt>
              </c:numCache>
            </c:numRef>
          </c:val>
        </c:ser>
        <c:ser>
          <c:idx val="1"/>
          <c:order val="1"/>
          <c:dPt>
            <c:idx val="0"/>
            <c:spPr bwMode="auto">
              <a:prstGeom prst="rect">
                <a:avLst/>
              </a:prstGeom>
              <a:solidFill>
                <a:schemeClr val="accent1"/>
              </a:solidFill>
              <a:ln>
                <a:noFill/>
              </a:ln>
            </c:spPr>
          </c:dPt>
          <c:dPt>
            <c:idx val="1"/>
            <c:spPr bwMode="auto">
              <a:prstGeom prst="rect">
                <a:avLst/>
              </a:prstGeom>
              <a:solidFill>
                <a:schemeClr val="accent2"/>
              </a:solidFill>
              <a:ln>
                <a:noFill/>
              </a:ln>
            </c:spPr>
          </c:dPt>
          <c:dPt>
            <c:idx val="2"/>
            <c:spPr bwMode="auto">
              <a:prstGeom prst="rect">
                <a:avLst/>
              </a:prstGeom>
              <a:solidFill>
                <a:schemeClr val="accent3"/>
              </a:solidFill>
              <a:ln>
                <a:noFill/>
              </a:ln>
            </c:spPr>
          </c:dPt>
          <c:dPt>
            <c:idx val="3"/>
            <c:spPr bwMode="auto">
              <a:prstGeom prst="rect">
                <a:avLst/>
              </a:prstGeom>
              <a:solidFill>
                <a:schemeClr val="accent4"/>
              </a:solidFill>
              <a:ln>
                <a:noFill/>
              </a:ln>
            </c:spPr>
          </c:dPt>
          <c:dPt>
            <c:idx val="4"/>
            <c:spPr bwMode="auto">
              <a:prstGeom prst="rect">
                <a:avLst/>
              </a:prstGeom>
              <a:solidFill>
                <a:schemeClr val="accent5"/>
              </a:solidFill>
              <a:ln>
                <a:noFill/>
              </a:ln>
            </c:spPr>
          </c:dPt>
          <c:dPt>
            <c:idx val="5"/>
            <c:spPr bwMode="auto">
              <a:prstGeom prst="rect">
                <a:avLst/>
              </a:prstGeom>
              <a:solidFill>
                <a:schemeClr val="accent6"/>
              </a:solidFill>
              <a:ln>
                <a:noFill/>
              </a:ln>
            </c:spPr>
          </c:dPt>
          <c:dLbls>
            <c:dLblPos val="ctr"/>
            <c:showBubbleSize val="0"/>
            <c:showCatName val="0"/>
            <c:showLeaderLines val="1"/>
            <c:showLegendKey val="0"/>
            <c:showPercent val="1"/>
            <c:showSerName val="0"/>
            <c:showVal val="0"/>
            <c:spPr bwMode="auto">
              <a:prstGeom prst="rect">
                <a:avLst/>
              </a:prstGeom>
              <a:pattFill prst="pct75">
                <a:fgClr>
                  <a:schemeClr val="dk1">
                    <a:lumMod val="75000"/>
                    <a:lumOff val="25000"/>
                  </a:schemeClr>
                </a:fgClr>
                <a:bgClr>
                  <a:schemeClr val="dk1">
                    <a:lumMod val="65000"/>
                    <a:lumOff val="35000"/>
                  </a:schemeClr>
                </a:bgClr>
              </a:pattFill>
              <a:ln>
                <a:noFill/>
              </a:ln>
            </c:spPr>
            <c:txPr>
              <a:bodyPr/>
              <a:lstStyle/>
              <a:p>
                <a:pPr>
                  <a:defRPr sz="1000" b="1" i="0" u="none" strike="noStrike">
                    <a:solidFill>
                      <a:schemeClr val="lt1"/>
                    </a:solidFill>
                    <a:latin typeface="+mn-lt"/>
                    <a:ea typeface="+mn-ea"/>
                    <a:cs typeface="+mn-cs"/>
                  </a:defRPr>
                </a:pPr>
                <a:endParaRPr lang="ru-RU"/>
              </a:p>
            </c:txPr>
          </c:dLbls>
          <c:cat>
            <c:strRef>
              <c:f>Лист1!$A$1:$A$6</c:f>
              <c:strCache>
                <c:ptCount val="6"/>
                <c:pt idx="0">
                  <c:v xml:space="preserve">жалобы на медицину</c:v>
                </c:pt>
                <c:pt idx="1">
                  <c:v>УДО</c:v>
                </c:pt>
                <c:pt idx="2">
                  <c:v xml:space="preserve">на бытовые условия</c:v>
                </c:pt>
                <c:pt idx="3">
                  <c:v xml:space="preserve">на действия должностных лиц</c:v>
                </c:pt>
                <c:pt idx="4">
                  <c:v xml:space="preserve">на решение суда</c:v>
                </c:pt>
                <c:pt idx="5">
                  <c:v xml:space="preserve">иные вопросы</c:v>
                </c:pt>
              </c:strCache>
            </c:strRef>
          </c:cat>
          <c:val>
            <c:numRef>
              <c:f>Лист1!$C$1:$C$6</c:f>
              <c:numCache>
                <c:formatCode>0.00</c:formatCode>
                <c:ptCount val="6"/>
                <c:pt idx="0" formatCode="0.0">
                  <c:v>43.91691394658756</c:v>
                </c:pt>
                <c:pt idx="1">
                  <c:v>9.495548961424344</c:v>
                </c:pt>
                <c:pt idx="2" formatCode="0.0">
                  <c:v>6.5281899109792265</c:v>
                </c:pt>
                <c:pt idx="3" formatCode="0.0">
                  <c:v>10.089020771513349</c:v>
                </c:pt>
                <c:pt idx="4" formatCode="0.0">
                  <c:v>12.759643916913959</c:v>
                </c:pt>
                <c:pt idx="5" formatCode="0.0">
                  <c:v>17.210682492581586</c:v>
                </c:pt>
              </c:numCache>
            </c:numRef>
          </c:val>
        </c:ser>
        <c:dLbls>
          <c:showBubbleSize val="0"/>
          <c:showCatName val="0"/>
          <c:showLeaderLines val="0"/>
          <c:showLegendKey val="0"/>
          <c:showPercent val="1"/>
          <c:showSerName val="0"/>
          <c:showVal val="0"/>
        </c:dLbls>
      </c:pie3DChart>
      <c:spPr bwMode="auto">
        <a:prstGeom prst="rect">
          <a:avLst/>
        </a:prstGeom>
        <a:noFill/>
        <a:ln>
          <a:noFill/>
        </a:ln>
      </c:spPr>
    </c:plotArea>
    <c:legend>
      <c:legendPos val="r"/>
      <c:layout>
        <c:manualLayout>
          <c:xMode val="edge"/>
          <c:yMode val="edge"/>
          <c:x val="0.720705"/>
          <c:y val="0.601365"/>
        </c:manualLayout>
      </c:layout>
      <c:overlay val="0"/>
      <c:spPr bwMode="auto">
        <a:prstGeom prst="rect">
          <a:avLst/>
        </a:prstGeom>
        <a:solidFill>
          <a:schemeClr val="lt1">
            <a:lumMod val="95000"/>
            <a:alpha val="39000"/>
          </a:schemeClr>
        </a:solidFill>
        <a:ln>
          <a:noFill/>
        </a:ln>
        <a:effectLst/>
      </c:spPr>
      <c:txPr>
        <a:bodyPr rot="0" spcFirstLastPara="1" vertOverflow="ellipsis" vert="horz" wrap="square" anchor="ctr" anchorCtr="1"/>
        <a:lstStyle/>
        <a:p>
          <a:pPr>
            <a:defRPr sz="900">
              <a:solidFill>
                <a:schemeClr val="dk1">
                  <a:lumMod val="75000"/>
                  <a:lumOff val="25000"/>
                </a:schemeClr>
              </a:solidFill>
              <a:latin typeface="+mn-lt"/>
              <a:ea typeface="+mn-ea"/>
              <a:cs typeface="+mn-cs"/>
            </a:defRPr>
          </a:pPr>
          <a:endParaRPr lang="ru-RU"/>
        </a:p>
      </c:txPr>
    </c:legend>
    <c:plotVisOnly val="1"/>
    <c:dispBlanksAs val="zero"/>
    <c:showDLblsOverMax val="0"/>
  </c:chart>
  <c:spPr bwMode="auto">
    <a:prstGeom prst="rect">
      <a:avLst/>
    </a:prstGeom>
    <a:gradFill>
      <a:gsLst>
        <a:gs pos="0">
          <a:schemeClr val="lt1"/>
        </a:gs>
        <a:gs pos="39000">
          <a:schemeClr val="lt1"/>
        </a:gs>
        <a:gs pos="100000">
          <a:schemeClr val="lt1">
            <a:lumMod val="75000"/>
          </a:schemeClr>
        </a:gs>
      </a:gsLst>
      <a:path path="circle"/>
    </a:gradFill>
    <a:ln w="9525" cap="flat" cmpd="sng" algn="ctr">
      <a:solidFill>
        <a:schemeClr val="dk1">
          <a:lumMod val="25000"/>
          <a:lumOff val="75000"/>
        </a:schemeClr>
      </a:solidFill>
      <a:round/>
    </a:ln>
  </c:spPr>
  <c:txPr>
    <a:bodyPr/>
    <a:lstStyle/>
    <a:p>
      <a:pPr>
        <a:defRPr sz="900">
          <a:solidFill>
            <a:schemeClr val="dk1"/>
          </a:solidFill>
          <a:latin typeface="+mn-lt"/>
          <a:ea typeface="+mn-ea"/>
          <a:cs typeface="+mn-cs"/>
        </a:defRPr>
      </a:pPr>
      <a:endParaRPr lang="ru-RU"/>
    </a:p>
  </c:txPr>
  <c:externalData r:id="rId1">
    <c:autoUpdate val="0"/>
  </c:externalData>
</c:chartSpace>
</file>

<file path=word/diagrams/_rels/data1.xml.rels><?xml version="1.0" encoding="UTF-8" standalone="yes"?><Relationships xmlns="http://schemas.openxmlformats.org/package/2006/relationships"><Relationship Id="rId1" Type="http://schemas.microsoft.com/office/2007/relationships/diagramDrawing" Target="diagrams/drawing1.xml" /></Relationships>
</file>

<file path=word/diagrams/_rels/drawing1.xml.rels><?xml version="1.0" encoding="UTF-8" standalone="yes"?><Relationships xmlns="http://schemas.openxmlformats.org/package/2006/relationships"></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xmlns:r="http://schemas.openxmlformats.org/officeDocument/2006/relationships">
  <dgm:ptLst>
    <dgm:pt modelId="{212CF881-D095-4391-AAFA-71B4348B7D6B}" type="doc">
      <dgm:prSet loTypeId="urn:microsoft.com/office/officeart/2005/8/layout/pyramid4" loCatId="pyramid" qsTypeId="urn:microsoft.com/office/officeart/2005/8/quickstyle/simple1" qsCatId="simple" csTypeId="urn:microsoft.com/office/officeart/2005/8/colors/accent1_2" csCatId="accent1" phldr="1"/>
      <dgm:spPr bwMode="auto"/>
      <dgm:t>
        <a:bodyPr/>
        <a:lstStyle/>
        <a:p>
          <a:pPr>
            <a:defRPr/>
          </a:pPr>
          <a:endParaRPr lang="ru-RU"/>
        </a:p>
      </dgm:t>
    </dgm:pt>
    <dgm:pt modelId="{F18D556D-EE11-40C2-BEE9-C912D50FD527}">
      <dgm:prSet phldrT="[Текст]" custT="1"/>
      <dgm:spPr bwMode="auto"/>
      <dgm:t>
        <a:bodyPr vert="horz" anchor="ctr"/>
        <a:lstStyle/>
        <a:p>
          <a:pPr algn="ctr" defTabSz="466723">
            <a:lnSpc>
              <a:spcPct val="90000"/>
            </a:lnSpc>
            <a:spcBef>
              <a:spcPts val="0"/>
            </a:spcBef>
            <a:spcAft>
              <a:spcPts val="0"/>
            </a:spcAft>
            <a:defRPr/>
          </a:pPr>
          <a:r>
            <a:rPr lang="ru-RU" sz="900" b="1">
              <a:latin typeface="Times New Roman"/>
              <a:cs typeface="Times New Roman"/>
            </a:rPr>
            <a:t>Устные </a:t>
          </a:r>
          <a:endParaRPr sz="900" b="1"/>
        </a:p>
        <a:p>
          <a:pPr algn="ctr" defTabSz="466723">
            <a:lnSpc>
              <a:spcPct val="90000"/>
            </a:lnSpc>
            <a:spcBef>
              <a:spcPts val="0"/>
            </a:spcBef>
            <a:spcAft>
              <a:spcPts val="0"/>
            </a:spcAft>
            <a:defRPr/>
          </a:pPr>
          <a:r>
            <a:rPr lang="ru-RU" sz="900" b="1">
              <a:latin typeface="Times New Roman"/>
              <a:cs typeface="Times New Roman"/>
            </a:rPr>
            <a:t>обращения</a:t>
          </a:r>
          <a:endParaRPr sz="900"/>
        </a:p>
      </dgm:t>
    </dgm:pt>
    <dgm:pt modelId="{F72EAB1E-77AD-4ACD-9868-C4FEFE035D9B}" type="parTrans" cxnId="{B35FC30F-C054-411D-A291-1DF82E0EAC44}">
      <dgm:prSet/>
      <dgm:spPr bwMode="auto"/>
      <dgm:t>
        <a:bodyPr/>
        <a:lstStyle/>
        <a:p>
          <a:pPr>
            <a:defRPr/>
          </a:pPr>
          <a:endParaRPr lang="ru-RU" sz="1050">
            <a:latin typeface="Times New Roman"/>
            <a:cs typeface="Times New Roman"/>
          </a:endParaRPr>
        </a:p>
      </dgm:t>
    </dgm:pt>
    <dgm:pt modelId="{B61430B8-2DAB-4EB9-A1EB-394AAEC15B1F}" type="sibTrans" cxnId="{B35FC30F-C054-411D-A291-1DF82E0EAC44}">
      <dgm:prSet/>
      <dgm:spPr bwMode="auto"/>
      <dgm:t>
        <a:bodyPr/>
        <a:lstStyle/>
        <a:p>
          <a:pPr>
            <a:defRPr/>
          </a:pPr>
          <a:endParaRPr lang="ru-RU" sz="1050">
            <a:latin typeface="Times New Roman"/>
            <a:cs typeface="Times New Roman"/>
          </a:endParaRPr>
        </a:p>
      </dgm:t>
    </dgm:pt>
    <dgm:pt modelId="{0084D7A5-B129-45F4-A049-32D7F437411A}">
      <dgm:prSet phldrT="[Текст]" custT="1"/>
      <dgm:spPr bwMode="auto"/>
      <dgm:t>
        <a:bodyPr vert="horz" anchor="ctr"/>
        <a:lstStyle/>
        <a:p>
          <a:pPr algn="ctr" defTabSz="466723">
            <a:lnSpc>
              <a:spcPct val="90000"/>
            </a:lnSpc>
            <a:spcBef>
              <a:spcPts val="0"/>
            </a:spcBef>
            <a:spcAft>
              <a:spcPts val="0"/>
            </a:spcAft>
            <a:defRPr/>
          </a:pPr>
          <a:r>
            <a:rPr lang="ru-RU" sz="900" b="1">
              <a:latin typeface="Times New Roman"/>
              <a:cs typeface="Times New Roman"/>
            </a:rPr>
            <a:t>Личный</a:t>
          </a:r>
          <a:endParaRPr sz="900" b="1"/>
        </a:p>
        <a:p>
          <a:pPr algn="ctr" defTabSz="466723">
            <a:lnSpc>
              <a:spcPct val="90000"/>
            </a:lnSpc>
            <a:spcBef>
              <a:spcPts val="0"/>
            </a:spcBef>
            <a:spcAft>
              <a:spcPts val="0"/>
            </a:spcAft>
            <a:defRPr/>
          </a:pPr>
          <a:r>
            <a:rPr lang="ru-RU" sz="900" b="1">
              <a:latin typeface="Times New Roman"/>
              <a:cs typeface="Times New Roman"/>
            </a:rPr>
            <a:t> прием</a:t>
          </a:r>
          <a:endParaRPr/>
        </a:p>
      </dgm:t>
    </dgm:pt>
    <dgm:pt modelId="{9AA2930B-3C77-4905-964E-91171D94B5B6}" type="parTrans" cxnId="{28F1925B-6796-4216-8E05-F2A24E19B1B3}">
      <dgm:prSet/>
      <dgm:spPr bwMode="auto"/>
      <dgm:t>
        <a:bodyPr/>
        <a:lstStyle/>
        <a:p>
          <a:pPr>
            <a:defRPr/>
          </a:pPr>
          <a:endParaRPr lang="ru-RU" sz="1050">
            <a:latin typeface="Times New Roman"/>
            <a:cs typeface="Times New Roman"/>
          </a:endParaRPr>
        </a:p>
      </dgm:t>
    </dgm:pt>
    <dgm:pt modelId="{6C35CDBD-6C15-47CA-8182-A60707D7D6C2}" type="sibTrans" cxnId="{28F1925B-6796-4216-8E05-F2A24E19B1B3}">
      <dgm:prSet/>
      <dgm:spPr bwMode="auto"/>
      <dgm:t>
        <a:bodyPr/>
        <a:lstStyle/>
        <a:p>
          <a:pPr>
            <a:defRPr/>
          </a:pPr>
          <a:endParaRPr lang="ru-RU" sz="1050">
            <a:latin typeface="Times New Roman"/>
            <a:cs typeface="Times New Roman"/>
          </a:endParaRPr>
        </a:p>
      </dgm:t>
    </dgm:pt>
    <dgm:pt modelId="{7B003053-9140-4754-9FA6-0AA82254176E}">
      <dgm:prSet phldrT="[Текст]" custT="1"/>
      <dgm:spPr bwMode="auto"/>
      <dgm:t>
        <a:bodyPr vert="horz" anchor="ctr"/>
        <a:lstStyle/>
        <a:p>
          <a:pPr algn="ctr" defTabSz="466723">
            <a:lnSpc>
              <a:spcPct val="90000"/>
            </a:lnSpc>
            <a:spcBef>
              <a:spcPts val="0"/>
            </a:spcBef>
            <a:spcAft>
              <a:spcPts val="0"/>
            </a:spcAft>
            <a:defRPr/>
          </a:pPr>
          <a:r>
            <a:rPr lang="ru-RU" sz="900" b="1">
              <a:latin typeface="Times New Roman"/>
              <a:cs typeface="Times New Roman"/>
            </a:rPr>
            <a:t>Письменные</a:t>
          </a:r>
          <a:endParaRPr sz="900" b="1"/>
        </a:p>
        <a:p>
          <a:pPr algn="ctr" defTabSz="466723">
            <a:lnSpc>
              <a:spcPct val="90000"/>
            </a:lnSpc>
            <a:spcBef>
              <a:spcPts val="0"/>
            </a:spcBef>
            <a:spcAft>
              <a:spcPts val="0"/>
            </a:spcAft>
            <a:defRPr/>
          </a:pPr>
          <a:r>
            <a:rPr lang="ru-RU" sz="900" b="1">
              <a:latin typeface="Times New Roman"/>
              <a:cs typeface="Times New Roman"/>
            </a:rPr>
            <a:t> жалобы</a:t>
          </a:r>
          <a:endParaRPr sz="1000"/>
        </a:p>
      </dgm:t>
    </dgm:pt>
    <dgm:pt modelId="{5F000098-4D18-48BF-AA7D-40A2DA6CC32D}" type="parTrans" cxnId="{260D26EA-A8C3-4919-BBCA-E5B8E5FE79F1}">
      <dgm:prSet/>
      <dgm:spPr bwMode="auto"/>
      <dgm:t>
        <a:bodyPr/>
        <a:lstStyle/>
        <a:p>
          <a:pPr>
            <a:defRPr/>
          </a:pPr>
          <a:endParaRPr lang="ru-RU" sz="1050">
            <a:latin typeface="Times New Roman"/>
            <a:cs typeface="Times New Roman"/>
          </a:endParaRPr>
        </a:p>
      </dgm:t>
    </dgm:pt>
    <dgm:pt modelId="{0AC8F2DF-1FBB-4F6D-A1EE-C0ECDDF37083}" type="sibTrans" cxnId="{260D26EA-A8C3-4919-BBCA-E5B8E5FE79F1}">
      <dgm:prSet/>
      <dgm:spPr bwMode="auto"/>
      <dgm:t>
        <a:bodyPr/>
        <a:lstStyle/>
        <a:p>
          <a:pPr>
            <a:defRPr/>
          </a:pPr>
          <a:endParaRPr lang="ru-RU" sz="1050">
            <a:latin typeface="Times New Roman"/>
            <a:cs typeface="Times New Roman"/>
          </a:endParaRPr>
        </a:p>
      </dgm:t>
    </dgm:pt>
    <dgm:pt modelId="{B77A64FD-EF26-4C92-BCFA-6E3DA96695E2}">
      <dgm:prSet phldrT="[Текст]" custT="1"/>
      <dgm:spPr bwMode="auto"/>
      <dgm:t>
        <a:bodyPr vert="horz" anchor="ctr"/>
        <a:lstStyle/>
        <a:p>
          <a:pPr algn="ctr" defTabSz="466723">
            <a:lnSpc>
              <a:spcPct val="90000"/>
            </a:lnSpc>
            <a:spcBef>
              <a:spcPts val="0"/>
            </a:spcBef>
            <a:spcAft>
              <a:spcPts val="0"/>
            </a:spcAft>
            <a:defRPr/>
          </a:pPr>
          <a:endParaRPr/>
        </a:p>
        <a:p>
          <a:pPr algn="ctr" defTabSz="466723">
            <a:lnSpc>
              <a:spcPct val="90000"/>
            </a:lnSpc>
            <a:spcBef>
              <a:spcPts val="0"/>
            </a:spcBef>
            <a:spcAft>
              <a:spcPts val="0"/>
            </a:spcAft>
            <a:defRPr/>
          </a:pPr>
          <a:endParaRPr lang="ru-RU" sz="1050">
            <a:latin typeface="Times New Roman"/>
            <a:cs typeface="Times New Roman"/>
          </a:endParaRPr>
        </a:p>
        <a:p>
          <a:pPr algn="ctr" defTabSz="466723">
            <a:lnSpc>
              <a:spcPct val="90000"/>
            </a:lnSpc>
            <a:spcBef>
              <a:spcPts val="0"/>
            </a:spcBef>
            <a:spcAft>
              <a:spcPts val="0"/>
            </a:spcAft>
            <a:defRPr/>
          </a:pPr>
          <a:r>
            <a:rPr lang="ru-RU" sz="900" b="1">
              <a:latin typeface="Times New Roman"/>
              <a:cs typeface="Times New Roman"/>
            </a:rPr>
            <a:t>Сигналы</a:t>
          </a:r>
          <a:endParaRPr sz="900" b="1"/>
        </a:p>
        <a:p>
          <a:pPr algn="ctr" defTabSz="466723">
            <a:lnSpc>
              <a:spcPct val="90000"/>
            </a:lnSpc>
            <a:spcBef>
              <a:spcPts val="0"/>
            </a:spcBef>
            <a:spcAft>
              <a:spcPts val="0"/>
            </a:spcAft>
            <a:defRPr/>
          </a:pPr>
          <a:r>
            <a:rPr lang="ru-RU" sz="900" b="1">
              <a:latin typeface="Times New Roman"/>
              <a:cs typeface="Times New Roman"/>
            </a:rPr>
            <a:t> в СМИ </a:t>
          </a:r>
          <a:endParaRPr sz="900" b="1"/>
        </a:p>
        <a:p>
          <a:pPr algn="ctr" defTabSz="466723">
            <a:lnSpc>
              <a:spcPct val="90000"/>
            </a:lnSpc>
            <a:spcBef>
              <a:spcPts val="0"/>
            </a:spcBef>
            <a:spcAft>
              <a:spcPts val="0"/>
            </a:spcAft>
            <a:defRPr/>
          </a:pPr>
          <a:r>
            <a:rPr lang="ru-RU" sz="900" b="1">
              <a:latin typeface="Times New Roman"/>
              <a:cs typeface="Times New Roman"/>
            </a:rPr>
            <a:t>и в соцсетях</a:t>
          </a:r>
          <a:endParaRPr sz="900"/>
        </a:p>
      </dgm:t>
    </dgm:pt>
    <dgm:pt modelId="{CE90A5AE-FFA3-4D45-87D0-480CA581755E}" type="parTrans" cxnId="{A62B4412-48A1-414C-B17B-57A48ED2CB2D}">
      <dgm:prSet/>
      <dgm:spPr bwMode="auto"/>
      <dgm:t>
        <a:bodyPr/>
        <a:lstStyle/>
        <a:p>
          <a:pPr>
            <a:defRPr/>
          </a:pPr>
          <a:endParaRPr lang="ru-RU" sz="1050">
            <a:latin typeface="Times New Roman"/>
            <a:cs typeface="Times New Roman"/>
          </a:endParaRPr>
        </a:p>
      </dgm:t>
    </dgm:pt>
    <dgm:pt modelId="{DA2C7478-9AE4-4379-96BB-EA137DB36849}" type="sibTrans" cxnId="{A62B4412-48A1-414C-B17B-57A48ED2CB2D}">
      <dgm:prSet/>
      <dgm:spPr bwMode="auto"/>
      <dgm:t>
        <a:bodyPr/>
        <a:lstStyle/>
        <a:p>
          <a:pPr>
            <a:defRPr/>
          </a:pPr>
          <a:endParaRPr lang="ru-RU" sz="1050">
            <a:latin typeface="Times New Roman"/>
            <a:cs typeface="Times New Roman"/>
          </a:endParaRPr>
        </a:p>
      </dgm:t>
    </dgm:pt>
    <dgm:pt modelId="{40D0BA45-B0F7-482D-8A3D-7784E35576DE}" type="pres">
      <dgm:prSet presAssocID="{212CF881-D095-4391-AAFA-71B4348B7D6B}" presName="compositeShape" presStyleCnt="0">
        <dgm:presLayoutVars>
          <dgm:chMax val="9"/>
          <dgm:dir val="norm"/>
          <dgm:resizeHandles val="exact"/>
        </dgm:presLayoutVars>
      </dgm:prSet>
      <dgm:spPr bwMode="auto"/>
      <dgm:t>
        <a:bodyPr/>
        <a:lstStyle/>
        <a:p>
          <a:pPr>
            <a:defRPr/>
          </a:pPr>
          <a:endParaRPr lang="ru-RU"/>
        </a:p>
      </dgm:t>
    </dgm:pt>
    <dgm:pt modelId="{22A6E11A-F14E-4AFD-93B0-48A9BCE64ACA}" type="pres">
      <dgm:prSet presAssocID="{212CF881-D095-4391-AAFA-71B4348B7D6B}" presName="triangle1" presStyleLbl="node1" presStyleIdx="0" presStyleCnt="4">
        <dgm:presLayoutVars>
          <dgm:bulletEnabled val="1"/>
        </dgm:presLayoutVars>
      </dgm:prSet>
      <dgm:spPr bwMode="auto"/>
      <dgm:t>
        <a:bodyPr/>
        <a:lstStyle/>
        <a:p>
          <a:pPr>
            <a:defRPr/>
          </a:pPr>
          <a:endParaRPr lang="ru-RU"/>
        </a:p>
      </dgm:t>
    </dgm:pt>
    <dgm:pt modelId="{8B6DDFBA-4809-47D9-A045-5EB72EADFA1C}" type="pres">
      <dgm:prSet presAssocID="{212CF881-D095-4391-AAFA-71B4348B7D6B}" presName="triangle2" presStyleLbl="node1" presStyleIdx="1" presStyleCnt="4">
        <dgm:presLayoutVars>
          <dgm:bulletEnabled val="1"/>
        </dgm:presLayoutVars>
      </dgm:prSet>
      <dgm:spPr bwMode="auto"/>
      <dgm:t>
        <a:bodyPr/>
        <a:lstStyle/>
        <a:p>
          <a:pPr>
            <a:defRPr/>
          </a:pPr>
          <a:endParaRPr lang="ru-RU"/>
        </a:p>
      </dgm:t>
    </dgm:pt>
    <dgm:pt modelId="{EFE93096-3ED4-4344-9B7F-B657D96BAFE9}" type="pres">
      <dgm:prSet presAssocID="{212CF881-D095-4391-AAFA-71B4348B7D6B}" presName="triangle3" presStyleLbl="node1" presStyleIdx="2" presStyleCnt="4">
        <dgm:presLayoutVars>
          <dgm:bulletEnabled val="1"/>
        </dgm:presLayoutVars>
      </dgm:prSet>
      <dgm:spPr bwMode="auto"/>
      <dgm:t>
        <a:bodyPr/>
        <a:lstStyle/>
        <a:p>
          <a:pPr>
            <a:defRPr/>
          </a:pPr>
          <a:endParaRPr lang="ru-RU"/>
        </a:p>
      </dgm:t>
    </dgm:pt>
    <dgm:pt modelId="{EE9D7C48-9A96-4264-AF0E-D9B001BE395E}" type="pres">
      <dgm:prSet presAssocID="{212CF881-D095-4391-AAFA-71B4348B7D6B}" presName="triangle4" presStyleLbl="node1" presStyleIdx="3" presStyleCnt="4">
        <dgm:presLayoutVars>
          <dgm:bulletEnabled val="1"/>
        </dgm:presLayoutVars>
      </dgm:prSet>
      <dgm:spPr bwMode="auto"/>
      <dgm:t>
        <a:bodyPr/>
        <a:lstStyle/>
        <a:p>
          <a:pPr>
            <a:defRPr/>
          </a:pPr>
          <a:endParaRPr lang="ru-RU"/>
        </a:p>
      </dgm:t>
    </dgm:pt>
  </dgm:ptLst>
  <dgm:cxnLst>
    <dgm:cxn modelId="{28F1925B-6796-4216-8E05-F2A24E19B1B3}" srcId="{212CF881-D095-4391-AAFA-71B4348B7D6B}" destId="{0084D7A5-B129-45F4-A049-32D7F437411A}" srcOrd="1" destOrd="0" parTransId="{9AA2930B-3C77-4905-964E-91171D94B5B6}" sibTransId="{6C35CDBD-6C15-47CA-8182-A60707D7D6C2}"/>
    <dgm:cxn modelId="{3AA724A6-921E-4BFA-93E1-36D6F45FAB0E}" type="presOf" srcId="{F18D556D-EE11-40C2-BEE9-C912D50FD527}" destId="{22A6E11A-F14E-4AFD-93B0-48A9BCE64ACA}" srcOrd="0" destOrd="0" presId="urn:microsoft.com/office/officeart/2005/8/layout/pyramid4"/>
    <dgm:cxn modelId="{19067509-9A11-4C23-AD84-76E02B6E2E1E}" type="presOf" srcId="{0084D7A5-B129-45F4-A049-32D7F437411A}" destId="{8B6DDFBA-4809-47D9-A045-5EB72EADFA1C}" srcOrd="0" destOrd="0" presId="urn:microsoft.com/office/officeart/2005/8/layout/pyramid4"/>
    <dgm:cxn modelId="{A62B4412-48A1-414C-B17B-57A48ED2CB2D}" srcId="{212CF881-D095-4391-AAFA-71B4348B7D6B}" destId="{B77A64FD-EF26-4C92-BCFA-6E3DA96695E2}" srcOrd="3" destOrd="0" parTransId="{CE90A5AE-FFA3-4D45-87D0-480CA581755E}" sibTransId="{DA2C7478-9AE4-4379-96BB-EA137DB36849}"/>
    <dgm:cxn modelId="{B35FC30F-C054-411D-A291-1DF82E0EAC44}" srcId="{212CF881-D095-4391-AAFA-71B4348B7D6B}" destId="{F18D556D-EE11-40C2-BEE9-C912D50FD527}" srcOrd="0" destOrd="0" parTransId="{F72EAB1E-77AD-4ACD-9868-C4FEFE035D9B}" sibTransId="{B61430B8-2DAB-4EB9-A1EB-394AAEC15B1F}"/>
    <dgm:cxn modelId="{3EE2CFA7-DD6A-4FF5-83C5-5FCEF48AF880}" type="presOf" srcId="{B77A64FD-EF26-4C92-BCFA-6E3DA96695E2}" destId="{EE9D7C48-9A96-4264-AF0E-D9B001BE395E}" srcOrd="0" destOrd="0" presId="urn:microsoft.com/office/officeart/2005/8/layout/pyramid4"/>
    <dgm:cxn modelId="{C63FDD54-6D7B-4F79-951E-D9EDC02E82AA}" type="presOf" srcId="{212CF881-D095-4391-AAFA-71B4348B7D6B}" destId="{40D0BA45-B0F7-482D-8A3D-7784E35576DE}" srcOrd="0" destOrd="0" presId="urn:microsoft.com/office/officeart/2005/8/layout/pyramid4"/>
    <dgm:cxn modelId="{93575710-A6C6-40BE-A1AC-5525BA376C3E}" type="presOf" srcId="{7B003053-9140-4754-9FA6-0AA82254176E}" destId="{EFE93096-3ED4-4344-9B7F-B657D96BAFE9}" srcOrd="0" destOrd="0" presId="urn:microsoft.com/office/officeart/2005/8/layout/pyramid4"/>
    <dgm:cxn modelId="{260D26EA-A8C3-4919-BBCA-E5B8E5FE79F1}" srcId="{212CF881-D095-4391-AAFA-71B4348B7D6B}" destId="{7B003053-9140-4754-9FA6-0AA82254176E}" srcOrd="2" destOrd="0" parTransId="{5F000098-4D18-48BF-AA7D-40A2DA6CC32D}" sibTransId="{0AC8F2DF-1FBB-4F6D-A1EE-C0ECDDF37083}"/>
    <dgm:cxn modelId="{DB67CFC0-D76F-4B81-855A-4207678754CB}" type="presParOf" srcId="{40D0BA45-B0F7-482D-8A3D-7784E35576DE}" destId="{22A6E11A-F14E-4AFD-93B0-48A9BCE64ACA}" srcOrd="0" destOrd="0" presId="urn:microsoft.com/office/officeart/2005/8/layout/pyramid4"/>
    <dgm:cxn modelId="{4BC236F0-0952-4BE5-94E5-E68199813759}" type="presParOf" srcId="{40D0BA45-B0F7-482D-8A3D-7784E35576DE}" destId="{8B6DDFBA-4809-47D9-A045-5EB72EADFA1C}" srcOrd="1" destOrd="0" presId="urn:microsoft.com/office/officeart/2005/8/layout/pyramid4"/>
    <dgm:cxn modelId="{7F8CEEC4-6D95-42CD-96C5-CE2717D21D05}" type="presParOf" srcId="{40D0BA45-B0F7-482D-8A3D-7784E35576DE}" destId="{EFE93096-3ED4-4344-9B7F-B657D96BAFE9}" srcOrd="2" destOrd="0" presId="urn:microsoft.com/office/officeart/2005/8/layout/pyramid4"/>
    <dgm:cxn modelId="{18199A37-D45A-403E-B05F-FF3B00C783B8}" type="presParOf" srcId="{40D0BA45-B0F7-482D-8A3D-7784E35576DE}" destId="{EE9D7C48-9A96-4264-AF0E-D9B001BE395E}" srcOrd="3" destOrd="0" presId="urn:microsoft.com/office/officeart/2005/8/layout/pyramid4"/>
  </dgm:cxnLst>
  <dgm:bg/>
  <dgm:whole/>
  <dgm:extLst>
    <a:ext uri="http://schemas.microsoft.com/office/drawing/2008/diagram">
      <dsp:dataModelExt xmlns:dsp="http://schemas.microsoft.com/office/drawing/2008/diagram" relId="rId1" minVer="http://schemas.openxmlformats.org/drawingml/2006/diagram"/>
    </a:ext>
  </dgm:extLst>
</dgm:dataModel>
</file>

<file path=word/diagrams/drawing1.xml><?xml version="1.0" encoding="utf-8"?>
<dsp:drawing xmlns:dsp="http://schemas.microsoft.com/office/drawing/2008/diagram" xmlns:dgm="http://schemas.openxmlformats.org/drawingml/2006/diagram" xmlns:a="http://schemas.openxmlformats.org/drawingml/2006/main" xmlns:r="http://schemas.openxmlformats.org/officeDocument/2006/relationships">
  <dsp:spTree>
    <dsp:nvGrpSpPr>
      <dsp:cNvPr id="0" name=""/>
      <dsp:cNvGrpSpPr/>
    </dsp:nvGrpSpPr>
    <dsp:grpSpPr bwMode="auto">
      <a:xfrm>
        <a:off x="0" y="0"/>
        <a:ext cx="5397840" cy="2689923"/>
        <a:chOff x="0" y="0"/>
        <a:chExt cx="5397840" cy="2689923"/>
      </a:xfrm>
    </dsp:grpSpPr>
    <dsp:sp modelId="{22A6E11A-F14E-4AFD-93B0-48A9BCE64ACA}">
      <dsp:nvSpPr>
        <dsp:cNvPr id="0" name=""/>
        <dsp:cNvSpPr/>
      </dsp:nvSpPr>
      <dsp:spPr bwMode="auto">
        <a:xfrm>
          <a:off x="2026439" y="0"/>
          <a:ext cx="1344961" cy="1344961"/>
        </a:xfrm>
        <a:prstGeom prst="triangle">
          <a:avLst>
            <a:gd name="adj" fmla="val 5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rgbClr val="000000"/>
        </a:lnRef>
        <a:fillRef idx="1">
          <a:srgbClr val="000000"/>
        </a:fillRef>
        <a:effectRef idx="0">
          <a:srgbClr val="000000"/>
        </a:effectRef>
        <a:fontRef idx="minor">
          <a:schemeClr val="lt1"/>
        </a:fontRef>
      </dsp:style>
      <dsp:txBody>
        <a:bodyPr spcFirstLastPara="0" vert="horz" wrap="square" lIns="34290" tIns="34290" rIns="34290" bIns="34290" numCol="1" spcCol="1270" anchor="ctr" anchorCtr="0">
          <a:noAutofit/>
        </a:bodyPr>
        <a:lstStyle/>
        <a:p>
          <a:pPr lvl="0" algn="ctr" defTabSz="466723">
            <a:lnSpc>
              <a:spcPct val="90000"/>
            </a:lnSpc>
            <a:spcBef>
              <a:spcPts val="0"/>
            </a:spcBef>
            <a:spcAft>
              <a:spcPts val="0"/>
            </a:spcAft>
            <a:defRPr/>
          </a:pPr>
          <a:r>
            <a:rPr lang="ru-RU" sz="900" b="1">
              <a:latin typeface="Times New Roman"/>
              <a:cs typeface="Times New Roman"/>
            </a:rPr>
            <a:t>Устные </a:t>
          </a:r>
          <a:endParaRPr sz="900" b="1"/>
        </a:p>
        <a:p>
          <a:pPr lvl="0" algn="ctr" defTabSz="466723">
            <a:lnSpc>
              <a:spcPct val="90000"/>
            </a:lnSpc>
            <a:spcBef>
              <a:spcPts val="0"/>
            </a:spcBef>
            <a:spcAft>
              <a:spcPts val="0"/>
            </a:spcAft>
            <a:defRPr/>
          </a:pPr>
          <a:r>
            <a:rPr lang="ru-RU" sz="900" b="1">
              <a:latin typeface="Times New Roman"/>
              <a:cs typeface="Times New Roman"/>
            </a:rPr>
            <a:t>обращения</a:t>
          </a:r>
          <a:endParaRPr sz="900"/>
        </a:p>
      </dsp:txBody>
      <dsp:txXfrm>
        <a:off x="2026439" y="0"/>
        <a:ext cx="1344961" cy="1344961"/>
      </dsp:txXfrm>
    </dsp:sp>
    <dsp:sp modelId="{8B6DDFBA-4809-47D9-A045-5EB72EADFA1C}">
      <dsp:nvSpPr>
        <dsp:cNvPr id="0" name=""/>
        <dsp:cNvSpPr/>
      </dsp:nvSpPr>
      <dsp:spPr bwMode="auto">
        <a:xfrm>
          <a:off x="1353958" y="1344961"/>
          <a:ext cx="1344961" cy="1344961"/>
        </a:xfrm>
        <a:prstGeom prst="triangle">
          <a:avLst>
            <a:gd name="adj" fmla="val 5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rgbClr val="000000"/>
        </a:lnRef>
        <a:fillRef idx="1">
          <a:srgbClr val="000000"/>
        </a:fillRef>
        <a:effectRef idx="0">
          <a:srgbClr val="000000"/>
        </a:effectRef>
        <a:fontRef idx="minor">
          <a:schemeClr val="lt1"/>
        </a:fontRef>
      </dsp:style>
      <dsp:txBody>
        <a:bodyPr spcFirstLastPara="0" vert="horz" wrap="square" lIns="34290" tIns="34290" rIns="34290" bIns="34290" numCol="1" spcCol="1270" anchor="ctr" anchorCtr="0">
          <a:noAutofit/>
        </a:bodyPr>
        <a:lstStyle/>
        <a:p>
          <a:pPr lvl="0" algn="ctr" defTabSz="466723">
            <a:lnSpc>
              <a:spcPct val="90000"/>
            </a:lnSpc>
            <a:spcBef>
              <a:spcPts val="0"/>
            </a:spcBef>
            <a:spcAft>
              <a:spcPts val="0"/>
            </a:spcAft>
            <a:defRPr/>
          </a:pPr>
          <a:r>
            <a:rPr lang="ru-RU" sz="900" b="1">
              <a:latin typeface="Times New Roman"/>
              <a:cs typeface="Times New Roman"/>
            </a:rPr>
            <a:t>Личный</a:t>
          </a:r>
          <a:endParaRPr sz="900" b="1"/>
        </a:p>
        <a:p>
          <a:pPr lvl="0" algn="ctr" defTabSz="466723">
            <a:lnSpc>
              <a:spcPct val="90000"/>
            </a:lnSpc>
            <a:spcBef>
              <a:spcPts val="0"/>
            </a:spcBef>
            <a:spcAft>
              <a:spcPts val="0"/>
            </a:spcAft>
            <a:defRPr/>
          </a:pPr>
          <a:r>
            <a:rPr lang="ru-RU" sz="900" b="1">
              <a:latin typeface="Times New Roman"/>
              <a:cs typeface="Times New Roman"/>
            </a:rPr>
            <a:t> прием</a:t>
          </a:r>
          <a:endParaRPr/>
        </a:p>
      </dsp:txBody>
      <dsp:txXfrm>
        <a:off x="1353958" y="1344961"/>
        <a:ext cx="1344961" cy="1344961"/>
      </dsp:txXfrm>
    </dsp:sp>
    <dsp:sp modelId="{EFE93096-3ED4-4344-9B7F-B657D96BAFE9}">
      <dsp:nvSpPr>
        <dsp:cNvPr id="0" name=""/>
        <dsp:cNvSpPr/>
      </dsp:nvSpPr>
      <dsp:spPr bwMode="auto">
        <a:xfrm rot="10800000">
          <a:off x="2026439" y="1344961"/>
          <a:ext cx="1344961" cy="1344961"/>
        </a:xfrm>
        <a:prstGeom prst="triangle">
          <a:avLst>
            <a:gd name="adj" fmla="val 5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rgbClr val="000000"/>
        </a:lnRef>
        <a:fillRef idx="1">
          <a:srgbClr val="000000"/>
        </a:fillRef>
        <a:effectRef idx="0">
          <a:srgbClr val="000000"/>
        </a:effectRef>
        <a:fontRef idx="minor">
          <a:schemeClr val="lt1"/>
        </a:fontRef>
      </dsp:style>
      <dsp:txBody>
        <a:bodyPr spcFirstLastPara="0" vert="horz" wrap="square" lIns="34290" tIns="34290" rIns="34290" bIns="34290" numCol="1" spcCol="1270" anchor="ctr" anchorCtr="0">
          <a:noAutofit/>
        </a:bodyPr>
        <a:lstStyle/>
        <a:p>
          <a:pPr lvl="0" algn="ctr" defTabSz="466723">
            <a:lnSpc>
              <a:spcPct val="90000"/>
            </a:lnSpc>
            <a:spcBef>
              <a:spcPts val="0"/>
            </a:spcBef>
            <a:spcAft>
              <a:spcPts val="0"/>
            </a:spcAft>
            <a:defRPr/>
          </a:pPr>
          <a:r>
            <a:rPr lang="ru-RU" sz="900" b="1">
              <a:latin typeface="Times New Roman"/>
              <a:cs typeface="Times New Roman"/>
            </a:rPr>
            <a:t>Письменные</a:t>
          </a:r>
          <a:endParaRPr sz="900" b="1"/>
        </a:p>
        <a:p>
          <a:pPr lvl="0" algn="ctr" defTabSz="466723">
            <a:lnSpc>
              <a:spcPct val="90000"/>
            </a:lnSpc>
            <a:spcBef>
              <a:spcPts val="0"/>
            </a:spcBef>
            <a:spcAft>
              <a:spcPts val="0"/>
            </a:spcAft>
            <a:defRPr/>
          </a:pPr>
          <a:r>
            <a:rPr lang="ru-RU" sz="900" b="1">
              <a:latin typeface="Times New Roman"/>
              <a:cs typeface="Times New Roman"/>
            </a:rPr>
            <a:t> жалобы</a:t>
          </a:r>
          <a:endParaRPr sz="1000"/>
        </a:p>
      </dsp:txBody>
      <dsp:txXfrm rot="10800000">
        <a:off x="2026439" y="1344961"/>
        <a:ext cx="1344961" cy="1344961"/>
      </dsp:txXfrm>
    </dsp:sp>
    <dsp:sp modelId="{EE9D7C48-9A96-4264-AF0E-D9B001BE395E}">
      <dsp:nvSpPr>
        <dsp:cNvPr id="0" name=""/>
        <dsp:cNvSpPr/>
      </dsp:nvSpPr>
      <dsp:spPr bwMode="auto">
        <a:xfrm>
          <a:off x="2698920" y="1344961"/>
          <a:ext cx="1344961" cy="1344961"/>
        </a:xfrm>
        <a:prstGeom prst="triangle">
          <a:avLst>
            <a:gd name="adj" fmla="val 5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rgbClr val="000000"/>
        </a:lnRef>
        <a:fillRef idx="1">
          <a:srgbClr val="000000"/>
        </a:fillRef>
        <a:effectRef idx="0">
          <a:srgbClr val="000000"/>
        </a:effectRef>
        <a:fontRef idx="minor">
          <a:schemeClr val="lt1"/>
        </a:fontRef>
      </dsp:style>
      <dsp:txBody>
        <a:bodyPr spcFirstLastPara="0" vert="horz" wrap="square" lIns="137160" tIns="137160" rIns="137160" bIns="137160" numCol="1" spcCol="1270" anchor="ctr" anchorCtr="0">
          <a:noAutofit/>
        </a:bodyPr>
        <a:lstStyle/>
        <a:p>
          <a:pPr lvl="0" algn="ctr" defTabSz="466723">
            <a:lnSpc>
              <a:spcPct val="90000"/>
            </a:lnSpc>
            <a:spcBef>
              <a:spcPts val="0"/>
            </a:spcBef>
            <a:spcAft>
              <a:spcPts val="0"/>
            </a:spcAft>
            <a:defRPr/>
          </a:pPr>
          <a:endParaRPr/>
        </a:p>
        <a:p>
          <a:pPr lvl="0" algn="ctr" defTabSz="466723">
            <a:lnSpc>
              <a:spcPct val="90000"/>
            </a:lnSpc>
            <a:spcBef>
              <a:spcPts val="0"/>
            </a:spcBef>
            <a:spcAft>
              <a:spcPts val="0"/>
            </a:spcAft>
            <a:defRPr/>
          </a:pPr>
          <a:endParaRPr lang="ru-RU" sz="1050">
            <a:latin typeface="Times New Roman"/>
            <a:cs typeface="Times New Roman"/>
          </a:endParaRPr>
        </a:p>
        <a:p>
          <a:pPr lvl="0" algn="ctr" defTabSz="466723">
            <a:lnSpc>
              <a:spcPct val="90000"/>
            </a:lnSpc>
            <a:spcBef>
              <a:spcPts val="0"/>
            </a:spcBef>
            <a:spcAft>
              <a:spcPts val="0"/>
            </a:spcAft>
            <a:defRPr/>
          </a:pPr>
          <a:r>
            <a:rPr lang="ru-RU" sz="900" b="1">
              <a:latin typeface="Times New Roman"/>
              <a:cs typeface="Times New Roman"/>
            </a:rPr>
            <a:t>Сигналы</a:t>
          </a:r>
          <a:endParaRPr sz="900" b="1"/>
        </a:p>
        <a:p>
          <a:pPr lvl="0" algn="ctr" defTabSz="466723">
            <a:lnSpc>
              <a:spcPct val="90000"/>
            </a:lnSpc>
            <a:spcBef>
              <a:spcPts val="0"/>
            </a:spcBef>
            <a:spcAft>
              <a:spcPts val="0"/>
            </a:spcAft>
            <a:defRPr/>
          </a:pPr>
          <a:r>
            <a:rPr lang="ru-RU" sz="900" b="1">
              <a:latin typeface="Times New Roman"/>
              <a:cs typeface="Times New Roman"/>
            </a:rPr>
            <a:t> в СМИ </a:t>
          </a:r>
          <a:endParaRPr sz="900" b="1"/>
        </a:p>
        <a:p>
          <a:pPr lvl="0" algn="ctr" defTabSz="466723">
            <a:lnSpc>
              <a:spcPct val="90000"/>
            </a:lnSpc>
            <a:spcBef>
              <a:spcPts val="0"/>
            </a:spcBef>
            <a:spcAft>
              <a:spcPts val="0"/>
            </a:spcAft>
            <a:defRPr/>
          </a:pPr>
          <a:r>
            <a:rPr lang="ru-RU" sz="900" b="1">
              <a:latin typeface="Times New Roman"/>
              <a:cs typeface="Times New Roman"/>
            </a:rPr>
            <a:t>и в соцсетях</a:t>
          </a:r>
          <a:endParaRPr sz="900"/>
        </a:p>
      </dsp:txBody>
      <dsp:txXfrm>
        <a:off x="2698920" y="1344961"/>
        <a:ext cx="1344961" cy="1344961"/>
      </dsp:txXfrm>
    </dsp:sp>
  </dsp:spTree>
</dsp:drawing>
</file>

<file path=word/diagrams/layout1.xml><?xml version="1.0" encoding="utf-8"?>
<dgm:layoutDef xmlns:dgm="http://schemas.openxmlformats.org/drawingml/2006/diagram" xmlns:a="http://schemas.openxmlformats.org/drawingml/2006/main" xmlns:r="http://schemas.openxmlformats.org/officeDocument/2006/relationships" uniqueId="urn:microsoft.com/office/officeart/2005/8/layout/pyramid4">
  <dgm:title val=""/>
  <dgm:desc val=""/>
  <dgm:catLst>
    <dgm:cat type="pyramid" pri="4000"/>
    <dgm:cat type="relationship" pri="9000"/>
  </dgm:catLst>
  <dgm:sampData>
    <dgm:dataModel>
      <dgm:ptLst>
        <dgm:pt modelId="0" type="doc"/>
        <dgm:pt modelId="1">
          <dgm:prSet phldr="1"/>
        </dgm:pt>
        <dgm:pt modelId="2">
          <dgm:prSet phldr="1"/>
        </dgm:pt>
        <dgm:pt modelId="3">
          <dgm:prSet phldr="1"/>
        </dgm:pt>
        <dgm:pt modelId="4">
          <dgm:prSet phldr="1"/>
        </dgm:pt>
      </dgm:ptLst>
      <dgm:cxnLst>
        <dgm:cxn modelId="5" srcId="0" destId="1" srcOrd="0" destOrd="0"/>
        <dgm:cxn modelId="6" srcId="0" destId="2" srcOrd="1" destOrd="0"/>
        <dgm:cxn modelId="7" srcId="0" destId="3" srcOrd="2" destOrd="0"/>
        <dgm:cxn modelId="8" srcId="0" destId="4" srcOrd="3" destOrd="0"/>
      </dgm:cxnLst>
      <dgm:bg/>
      <dgm:whole/>
    </dgm:dataModel>
  </dgm:sampData>
  <dgm:styleData useDef="1">
    <dgm:dataModel>
      <dgm:ptLst/>
      <dgm:bg/>
      <dgm:whole/>
    </dgm:dataModel>
  </dgm:styleData>
  <dgm:clrData useDef="1">
    <dgm:dataModel>
      <dgm:ptLst/>
      <dgm:bg/>
      <dgm:whole/>
    </dgm:dataModel>
  </dgm:clrData>
  <dgm:layoutNode name="compositeShape">
    <dgm:varLst>
      <dgm:chMax val="9"/>
      <dgm:dir val="norm"/>
      <dgm:resizeHandles val="exact"/>
    </dgm:varLst>
    <dgm:alg type="composite">
      <dgm:param type="ar" val="1"/>
    </dgm:alg>
    <dgm:shape r:blip="">
      <dgm:adjLst/>
    </dgm:shape>
    <dgm:presOf/>
    <dgm:choose name="Name0">
      <dgm:if name="Name1" axis="ch" ptType="node" func="cnt" op="lte" val="4">
        <dgm:choose name="Name2">
          <dgm:if name="Name3" axis="ch" ptType="node" func="cnt" op="equ" val="1">
            <dgm:constrLst>
              <dgm:constr type="primFontSz" for="ch" ptType="node" op="equ" val="65"/>
              <dgm:constr type="t" for="ch" forName="triangle1"/>
              <dgm:constr type="l" for="ch" forName="triangle1"/>
              <dgm:constr type="h" for="ch" forName="triangle1" refType="h"/>
              <dgm:constr type="w" for="ch" forName="triangle1" refType="h"/>
            </dgm:constrLst>
          </dgm:if>
          <dgm:else name="Name4">
            <dgm:constrLst>
              <dgm:constr type="primFontSz" for="ch" ptType="node" op="equ" val="65"/>
              <dgm:constr type="t" for="ch" forName="triangle1"/>
              <dgm:constr type="l" for="ch" forName="triangle1" refType="h" fact="0.250000"/>
              <dgm:constr type="h" for="ch" forName="triangle1" refType="h" fact="0.500000"/>
              <dgm:constr type="w" for="ch" forName="triangle1" refType="h" fact="0.500000"/>
              <dgm:constr type="t" for="ch" forName="triangle2" refType="h" fact="0.500000"/>
              <dgm:constr type="l" for="ch" forName="triangle2"/>
              <dgm:constr type="h" for="ch" forName="triangle2" refType="h" fact="0.500000"/>
              <dgm:constr type="w" for="ch" forName="triangle2" refType="h" fact="0.500000"/>
              <dgm:constr type="t" for="ch" forName="triangle3" refType="h" fact="0.500000"/>
              <dgm:constr type="l" for="ch" forName="triangle3" refType="h" fact="0.250000"/>
              <dgm:constr type="h" for="ch" forName="triangle3" refType="h" fact="0.500000"/>
              <dgm:constr type="w" for="ch" forName="triangle3" refType="h" fact="0.500000"/>
              <dgm:constr type="t" for="ch" forName="triangle4" refType="h" fact="0.500000"/>
              <dgm:constr type="l" for="ch" forName="triangle4" refType="h" fact="0.500000"/>
              <dgm:constr type="h" for="ch" forName="triangle4" refType="h" fact="0.500000"/>
              <dgm:constr type="w" for="ch" forName="triangle4" refType="h" fact="0.500000"/>
            </dgm:constrLst>
          </dgm:else>
        </dgm:choose>
      </dgm:if>
      <dgm:else name="Name5">
        <dgm:constrLst>
          <dgm:constr type="primFontSz" for="ch" ptType="node" op="equ" val="65"/>
          <dgm:constr type="t" for="ch" forName="triangle1"/>
          <dgm:constr type="l" for="ch" forName="triangle1" refType="h" fact="0.330000"/>
          <dgm:constr type="h" for="ch" forName="triangle1" refType="h" fact="0.330000"/>
          <dgm:constr type="w" for="ch" forName="triangle1" refType="h" fact="0.330000"/>
          <dgm:constr type="t" for="ch" forName="triangle2" refType="h" fact="0.330000"/>
          <dgm:constr type="l" for="ch" forName="triangle2" refType="h" fact="0.165000"/>
          <dgm:constr type="h" for="ch" forName="triangle2" refType="h" fact="0.330000"/>
          <dgm:constr type="w" for="ch" forName="triangle2" refType="h" fact="0.330000"/>
          <dgm:constr type="t" for="ch" forName="triangle3" refType="h" fact="0.330000"/>
          <dgm:constr type="l" for="ch" forName="triangle3" refType="h" fact="0.330000"/>
          <dgm:constr type="h" for="ch" forName="triangle3" refType="h" fact="0.330000"/>
          <dgm:constr type="w" for="ch" forName="triangle3" refType="h" fact="0.330000"/>
          <dgm:constr type="t" for="ch" forName="triangle4" refType="h" fact="0.330000"/>
          <dgm:constr type="l" for="ch" forName="triangle4" refType="h" fact="0.495000"/>
          <dgm:constr type="h" for="ch" forName="triangle4" refType="h" fact="0.330000"/>
          <dgm:constr type="w" for="ch" forName="triangle4" refType="h" fact="0.330000"/>
          <dgm:constr type="t" for="ch" forName="triangle5" refType="h" fact="0.660000"/>
          <dgm:constr type="l" for="ch" forName="triangle5"/>
          <dgm:constr type="h" for="ch" forName="triangle5" refType="h" fact="0.330000"/>
          <dgm:constr type="w" for="ch" forName="triangle5" refType="h" fact="0.330000"/>
          <dgm:constr type="t" for="ch" forName="triangle6" refType="h" fact="0.660000"/>
          <dgm:constr type="l" for="ch" forName="triangle6" refType="h" fact="0.165000"/>
          <dgm:constr type="h" for="ch" forName="triangle6" refType="h" fact="0.330000"/>
          <dgm:constr type="w" for="ch" forName="triangle6" refType="h" fact="0.330000"/>
          <dgm:constr type="t" for="ch" forName="triangle7" refType="h" fact="0.660000"/>
          <dgm:constr type="l" for="ch" forName="triangle7" refType="h" fact="0.330000"/>
          <dgm:constr type="h" for="ch" forName="triangle7" refType="h" fact="0.330000"/>
          <dgm:constr type="w" for="ch" forName="triangle7" refType="h" fact="0.330000"/>
          <dgm:constr type="t" for="ch" forName="triangle8" refType="h" fact="0.660000"/>
          <dgm:constr type="l" for="ch" forName="triangle8" refType="h" fact="0.495000"/>
          <dgm:constr type="h" for="ch" forName="triangle8" refType="h" fact="0.330000"/>
          <dgm:constr type="w" for="ch" forName="triangle8" refType="h" fact="0.330000"/>
          <dgm:constr type="t" for="ch" forName="triangle9" refType="h" fact="0.660000"/>
          <dgm:constr type="l" for="ch" forName="triangle9" refType="h" fact="0.660000"/>
          <dgm:constr type="h" for="ch" forName="triangle9" refType="h" fact="0.330000"/>
          <dgm:constr type="w" for="ch" forName="triangle9" refType="h" fact="0.330000"/>
        </dgm:constrLst>
      </dgm:else>
    </dgm:choose>
    <dgm:ruleLst/>
    <dgm:choose name="Name6">
      <dgm:if name="Name7" axis="ch" ptType="node" func="cnt" op="gte" val="1">
        <dgm:layoutNode name="triangle1" styleLbl="node1">
          <dgm:varLst>
            <dgm:bulletEnabled val="1"/>
          </dgm:varLst>
          <dgm:alg type="tx">
            <dgm:param type="txAnchorVertCh" val="mid"/>
          </dgm:alg>
          <dgm:shape type="triangle" r:blip="">
            <dgm:adjLst/>
          </dgm:shape>
          <dgm:presOf axis="ch desOrSelf" ptType="node node" st="1 1" cnt="1 0"/>
          <dgm:constrLst>
            <dgm:constr type="tMarg" refType="primFontSz" fact="0.300000"/>
            <dgm:constr type="bMarg" refType="primFontSz" fact="0.300000"/>
            <dgm:constr type="lMarg" refType="primFontSz" fact="0.300000"/>
            <dgm:constr type="rMarg" refType="primFontSz" fact="0.300000"/>
          </dgm:constrLst>
          <dgm:ruleLst>
            <dgm:rule type="primFontSz" val="5" fact="NaN" max="NaN"/>
          </dgm:ruleLst>
        </dgm:layoutNode>
      </dgm:if>
      <dgm:else name="Name8"/>
    </dgm:choose>
    <dgm:choose name="Name9">
      <dgm:if name="Name10" axis="ch" ptType="node" func="cnt" op="gte" val="2">
        <dgm:layoutNode name="triangle2" styleLbl="node1">
          <dgm:varLst>
            <dgm:bulletEnabled val="1"/>
          </dgm:varLst>
          <dgm:alg type="tx">
            <dgm:param type="txAnchorVertCh" val="mid"/>
          </dgm:alg>
          <dgm:shape type="triangle" r:blip="">
            <dgm:adjLst/>
          </dgm:shape>
          <dgm:choose name="Name11">
            <dgm:if name="Name12" func="var" arg="dir" op="equ" val="norm">
              <dgm:presOf axis="ch desOrSelf" ptType="node node" st="2 1" cnt="1 0"/>
            </dgm:if>
            <dgm:else name="Name13">
              <dgm:presOf axis="ch desOrSelf" ptType="node node" st="4 1" cnt="1 0"/>
            </dgm:else>
          </dgm:choose>
          <dgm:constrLst>
            <dgm:constr type="tMarg" refType="primFontSz" fact="0.300000"/>
            <dgm:constr type="bMarg" refType="primFontSz" fact="0.300000"/>
            <dgm:constr type="lMarg" refType="primFontSz" fact="0.300000"/>
            <dgm:constr type="rMarg" refType="primFontSz" fact="0.300000"/>
          </dgm:constrLst>
          <dgm:ruleLst>
            <dgm:rule type="primFontSz" val="5" fact="NaN" max="NaN"/>
          </dgm:ruleLst>
        </dgm:layoutNode>
        <dgm:layoutNode name="triangle3" styleLbl="node1">
          <dgm:varLst>
            <dgm:bulletEnabled val="1"/>
          </dgm:varLst>
          <dgm:alg type="tx">
            <dgm:param type="txAnchorVertCh" val="mid"/>
          </dgm:alg>
          <dgm:shape rot="180.000000" type="triangle" r:blip="">
            <dgm:adjLst/>
          </dgm:shape>
          <dgm:presOf axis="ch desOrSelf" ptType="node node" st="3 1" cnt="1 0"/>
          <dgm:constrLst>
            <dgm:constr type="tMarg" refType="primFontSz" fact="0.300000"/>
            <dgm:constr type="bMarg" refType="primFontSz" fact="0.300000"/>
            <dgm:constr type="lMarg" refType="primFontSz" fact="0.300000"/>
            <dgm:constr type="rMarg" refType="primFontSz" fact="0.300000"/>
          </dgm:constrLst>
          <dgm:ruleLst>
            <dgm:rule type="primFontSz" val="5" fact="NaN" max="NaN"/>
          </dgm:ruleLst>
        </dgm:layoutNode>
        <dgm:layoutNode name="triangle4" styleLbl="node1">
          <dgm:varLst>
            <dgm:bulletEnabled val="1"/>
          </dgm:varLst>
          <dgm:alg type="tx">
            <dgm:param type="txAnchorVertCh" val="mid"/>
          </dgm:alg>
          <dgm:shape type="triangle" r:blip="">
            <dgm:adjLst/>
          </dgm:shape>
          <dgm:choose name="Name14">
            <dgm:if name="Name15" func="var" arg="dir" op="equ" val="norm">
              <dgm:presOf axis="ch desOrSelf" ptType="node node" st="4 1" cnt="1 0"/>
            </dgm:if>
            <dgm:else name="Name16">
              <dgm:presOf axis="ch desOrSelf" ptType="node node" st="2 1" cnt="1 0"/>
            </dgm:else>
          </dgm:choose>
          <dgm:constrLst>
            <dgm:constr type="tMarg" refType="primFontSz" fact="0.300000"/>
            <dgm:constr type="bMarg" refType="primFontSz" fact="0.300000"/>
            <dgm:constr type="lMarg" refType="primFontSz" fact="0.300000"/>
            <dgm:constr type="rMarg" refType="primFontSz" fact="0.300000"/>
          </dgm:constrLst>
          <dgm:ruleLst>
            <dgm:rule type="primFontSz" val="5" fact="NaN" max="NaN"/>
          </dgm:ruleLst>
        </dgm:layoutNode>
      </dgm:if>
      <dgm:else name="Name17"/>
    </dgm:choose>
    <dgm:choose name="Name18">
      <dgm:if name="Name19" axis="ch" ptType="node" func="cnt" op="gte" val="5">
        <dgm:layoutNode name="triangle5" styleLbl="node1">
          <dgm:varLst>
            <dgm:bulletEnabled val="1"/>
          </dgm:varLst>
          <dgm:alg type="tx">
            <dgm:param type="txAnchorVertCh" val="mid"/>
          </dgm:alg>
          <dgm:shape type="triangle" r:blip="">
            <dgm:adjLst/>
          </dgm:shape>
          <dgm:choose name="Name20">
            <dgm:if name="Name21" func="var" arg="dir" op="equ" val="norm">
              <dgm:presOf axis="ch desOrSelf" ptType="node node" st="5 1" cnt="1 0"/>
            </dgm:if>
            <dgm:else name="Name22">
              <dgm:presOf axis="ch desOrSelf" ptType="node node" st="9 1" cnt="1 0"/>
            </dgm:else>
          </dgm:choose>
          <dgm:constrLst>
            <dgm:constr type="tMarg" refType="primFontSz" fact="0.300000"/>
            <dgm:constr type="bMarg" refType="primFontSz" fact="0.300000"/>
            <dgm:constr type="lMarg" refType="primFontSz" fact="0.300000"/>
            <dgm:constr type="rMarg" refType="primFontSz" fact="0.300000"/>
          </dgm:constrLst>
          <dgm:ruleLst>
            <dgm:rule type="primFontSz" val="5" fact="NaN" max="NaN"/>
          </dgm:ruleLst>
        </dgm:layoutNode>
        <dgm:layoutNode name="triangle6" styleLbl="node1">
          <dgm:varLst>
            <dgm:bulletEnabled val="1"/>
          </dgm:varLst>
          <dgm:alg type="tx">
            <dgm:param type="txAnchorVertCh" val="mid"/>
          </dgm:alg>
          <dgm:shape rot="180.000000" type="triangle" r:blip="">
            <dgm:adjLst/>
          </dgm:shape>
          <dgm:choose name="Name23">
            <dgm:if name="Name24" func="var" arg="dir" op="equ" val="norm">
              <dgm:presOf axis="ch desOrSelf" ptType="node node" st="6 1" cnt="1 0"/>
            </dgm:if>
            <dgm:else name="Name25">
              <dgm:presOf axis="ch desOrSelf" ptType="node node" st="8 1" cnt="1 0"/>
            </dgm:else>
          </dgm:choose>
          <dgm:constrLst>
            <dgm:constr type="tMarg" refType="primFontSz" fact="0.300000"/>
            <dgm:constr type="bMarg" refType="primFontSz" fact="0.300000"/>
            <dgm:constr type="lMarg" refType="primFontSz" fact="0.300000"/>
            <dgm:constr type="rMarg" refType="primFontSz" fact="0.300000"/>
          </dgm:constrLst>
          <dgm:ruleLst>
            <dgm:rule type="primFontSz" val="5" fact="NaN" max="NaN"/>
          </dgm:ruleLst>
        </dgm:layoutNode>
        <dgm:layoutNode name="triangle7" styleLbl="node1">
          <dgm:varLst>
            <dgm:bulletEnabled val="1"/>
          </dgm:varLst>
          <dgm:alg type="tx">
            <dgm:param type="txAnchorVertCh" val="mid"/>
          </dgm:alg>
          <dgm:shape type="triangle" r:blip="">
            <dgm:adjLst/>
          </dgm:shape>
          <dgm:presOf axis="ch desOrSelf" ptType="node node" st="7 1" cnt="1 0"/>
          <dgm:constrLst>
            <dgm:constr type="tMarg" refType="primFontSz" fact="0.300000"/>
            <dgm:constr type="bMarg" refType="primFontSz" fact="0.300000"/>
            <dgm:constr type="lMarg" refType="primFontSz" fact="0.300000"/>
            <dgm:constr type="rMarg" refType="primFontSz" fact="0.300000"/>
          </dgm:constrLst>
          <dgm:ruleLst>
            <dgm:rule type="primFontSz" val="5" fact="NaN" max="NaN"/>
          </dgm:ruleLst>
        </dgm:layoutNode>
        <dgm:layoutNode name="triangle8" styleLbl="node1">
          <dgm:varLst>
            <dgm:bulletEnabled val="1"/>
          </dgm:varLst>
          <dgm:alg type="tx">
            <dgm:param type="txAnchorVertCh" val="mid"/>
          </dgm:alg>
          <dgm:shape rot="180.000000" type="triangle" r:blip="">
            <dgm:adjLst/>
          </dgm:shape>
          <dgm:choose name="Name26">
            <dgm:if name="Name27" func="var" arg="dir" op="equ" val="norm">
              <dgm:presOf axis="ch desOrSelf" ptType="node node" st="8 1" cnt="1 0"/>
            </dgm:if>
            <dgm:else name="Name28">
              <dgm:presOf axis="ch desOrSelf" ptType="node node" st="6 1" cnt="1 0"/>
            </dgm:else>
          </dgm:choose>
          <dgm:constrLst>
            <dgm:constr type="tMarg" refType="primFontSz" fact="0.300000"/>
            <dgm:constr type="bMarg" refType="primFontSz" fact="0.300000"/>
            <dgm:constr type="lMarg" refType="primFontSz" fact="0.300000"/>
            <dgm:constr type="rMarg" refType="primFontSz" fact="0.300000"/>
          </dgm:constrLst>
          <dgm:ruleLst>
            <dgm:rule type="primFontSz" val="5" fact="NaN" max="NaN"/>
          </dgm:ruleLst>
        </dgm:layoutNode>
        <dgm:layoutNode name="triangle9" styleLbl="node1">
          <dgm:varLst>
            <dgm:bulletEnabled val="1"/>
          </dgm:varLst>
          <dgm:alg type="tx">
            <dgm:param type="txAnchorVertCh" val="mid"/>
          </dgm:alg>
          <dgm:shape type="triangle" r:blip="">
            <dgm:adjLst/>
          </dgm:shape>
          <dgm:choose name="Name29">
            <dgm:if name="Name30" func="var" arg="dir" op="equ" val="norm">
              <dgm:presOf axis="ch desOrSelf" ptType="node node" st="9 1" cnt="1 0"/>
            </dgm:if>
            <dgm:else name="Name31">
              <dgm:presOf axis="ch desOrSelf" ptType="node node" st="5 1" cnt="1 0"/>
            </dgm:else>
          </dgm:choose>
          <dgm:constrLst>
            <dgm:constr type="tMarg" refType="primFontSz" fact="0.300000"/>
            <dgm:constr type="bMarg" refType="primFontSz" fact="0.300000"/>
            <dgm:constr type="lMarg" refType="primFontSz" fact="0.300000"/>
            <dgm:constr type="rMarg" refType="primFontSz" fact="0.300000"/>
          </dgm:constrLst>
          <dgm:ruleLst>
            <dgm:rule type="primFontSz" val="5" fact="NaN" max="NaN"/>
          </dgm:ruleLst>
        </dgm:layoutNode>
      </dgm:if>
      <dgm:else name="Name32"/>
    </dgm:choose>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a:bodyPr/>
      <a:p>
        <a:pPr>
          <a:defRPr/>
        </a:pPr>
        <a:endParaRPr/>
      </a:p>
    </dgm:txPr>
    <dgm:style>
      <a:lnRef idx="2">
        <a:srgbClr val="000000"/>
      </a:lnRef>
      <a:fillRef idx="1">
        <a:srgbClr val="000000"/>
      </a:fillRef>
      <a:effectRef idx="0">
        <a:srgbClr val="000000"/>
      </a:effectRef>
      <a:fontRef idx="minor">
        <a:schemeClr val="lt1"/>
      </a:fontRef>
    </dgm:style>
  </dgm:styleLbl>
  <dgm:styleLbl name="lnNode1">
    <dgm:scene3d>
      <a:camera prst="orthographicFront"/>
      <a:lightRig rig="threePt" dir="t"/>
    </dgm:scene3d>
    <dgm:sp3d/>
    <dgm:txPr>
      <a:bodyPr/>
      <a:p>
        <a:pPr>
          <a:defRPr/>
        </a:pPr>
        <a:endParaRPr/>
      </a:p>
    </dgm:txPr>
    <dgm:style>
      <a:lnRef idx="2">
        <a:srgbClr val="000000"/>
      </a:lnRef>
      <a:fillRef idx="1">
        <a:srgbClr val="000000"/>
      </a:fillRef>
      <a:effectRef idx="0">
        <a:srgbClr val="000000"/>
      </a:effectRef>
      <a:fontRef idx="minor">
        <a:schemeClr val="lt1"/>
      </a:fontRef>
    </dgm:style>
  </dgm:styleLbl>
  <dgm:styleLbl name="vennNode1">
    <dgm:scene3d>
      <a:camera prst="orthographicFront"/>
      <a:lightRig rig="threePt" dir="t"/>
    </dgm:scene3d>
    <dgm:sp3d/>
    <dgm:txPr>
      <a:bodyPr/>
      <a:p>
        <a:pPr>
          <a:defRPr/>
        </a:pPr>
        <a:endParaRPr/>
      </a:p>
    </dgm:txPr>
    <dgm:style>
      <a:lnRef idx="2">
        <a:srgbClr val="000000"/>
      </a:lnRef>
      <a:fillRef idx="1">
        <a:srgbClr val="000000"/>
      </a:fillRef>
      <a:effectRef idx="0">
        <a:srgbClr val="000000"/>
      </a:effectRef>
      <a:fontRef idx="minor">
        <a:schemeClr val="tx1"/>
      </a:fontRef>
    </dgm:style>
  </dgm:styleLbl>
  <dgm:styleLbl name="alignNode1">
    <dgm:scene3d>
      <a:camera prst="orthographicFront"/>
      <a:lightRig rig="threePt" dir="t"/>
    </dgm:scene3d>
    <dgm:sp3d/>
    <dgm:txPr>
      <a:bodyPr/>
      <a:p>
        <a:pPr>
          <a:defRPr/>
        </a:pPr>
        <a:endParaRPr/>
      </a:p>
    </dgm:txPr>
    <dgm:style>
      <a:lnRef idx="2">
        <a:srgbClr val="000000"/>
      </a:lnRef>
      <a:fillRef idx="1">
        <a:srgbClr val="000000"/>
      </a:fillRef>
      <a:effectRef idx="0">
        <a:srgbClr val="000000"/>
      </a:effectRef>
      <a:fontRef idx="minor">
        <a:schemeClr val="lt1"/>
      </a:fontRef>
    </dgm:style>
  </dgm:styleLbl>
  <dgm:styleLbl name="node1">
    <dgm:scene3d>
      <a:camera prst="orthographicFront"/>
      <a:lightRig rig="threePt" dir="t"/>
    </dgm:scene3d>
    <dgm:sp3d/>
    <dgm:txPr>
      <a:bodyPr/>
      <a:p>
        <a:pPr>
          <a:defRPr/>
        </a:pPr>
        <a:endParaRPr/>
      </a:p>
    </dgm:txPr>
    <dgm:style>
      <a:lnRef idx="2">
        <a:srgbClr val="000000"/>
      </a:lnRef>
      <a:fillRef idx="1">
        <a:srgbClr val="000000"/>
      </a:fillRef>
      <a:effectRef idx="0">
        <a:srgbClr val="000000"/>
      </a:effectRef>
      <a:fontRef idx="minor">
        <a:schemeClr val="lt1"/>
      </a:fontRef>
    </dgm:style>
  </dgm:styleLbl>
  <dgm:styleLbl name="node2">
    <dgm:scene3d>
      <a:camera prst="orthographicFront"/>
      <a:lightRig rig="threePt" dir="t"/>
    </dgm:scene3d>
    <dgm:sp3d/>
    <dgm:txPr>
      <a:bodyPr/>
      <a:p>
        <a:pPr>
          <a:defRPr/>
        </a:pPr>
        <a:endParaRPr/>
      </a:p>
    </dgm:txPr>
    <dgm:style>
      <a:lnRef idx="2">
        <a:srgbClr val="000000"/>
      </a:lnRef>
      <a:fillRef idx="1">
        <a:srgbClr val="000000"/>
      </a:fillRef>
      <a:effectRef idx="0">
        <a:srgbClr val="000000"/>
      </a:effectRef>
      <a:fontRef idx="minor">
        <a:schemeClr val="lt1"/>
      </a:fontRef>
    </dgm:style>
  </dgm:styleLbl>
  <dgm:styleLbl name="node3">
    <dgm:scene3d>
      <a:camera prst="orthographicFront"/>
      <a:lightRig rig="threePt" dir="t"/>
    </dgm:scene3d>
    <dgm:sp3d/>
    <dgm:txPr>
      <a:bodyPr/>
      <a:p>
        <a:pPr>
          <a:defRPr/>
        </a:pPr>
        <a:endParaRPr/>
      </a:p>
    </dgm:txPr>
    <dgm:style>
      <a:lnRef idx="2">
        <a:srgbClr val="000000"/>
      </a:lnRef>
      <a:fillRef idx="1">
        <a:srgbClr val="000000"/>
      </a:fillRef>
      <a:effectRef idx="0">
        <a:srgbClr val="000000"/>
      </a:effectRef>
      <a:fontRef idx="minor">
        <a:schemeClr val="lt1"/>
      </a:fontRef>
    </dgm:style>
  </dgm:styleLbl>
  <dgm:styleLbl name="node4">
    <dgm:scene3d>
      <a:camera prst="orthographicFront"/>
      <a:lightRig rig="threePt" dir="t"/>
    </dgm:scene3d>
    <dgm:sp3d/>
    <dgm:txPr>
      <a:bodyPr/>
      <a:p>
        <a:pPr>
          <a:defRPr/>
        </a:pPr>
        <a:endParaRPr/>
      </a:p>
    </dgm:txPr>
    <dgm:style>
      <a:lnRef idx="2">
        <a:srgbClr val="000000"/>
      </a:lnRef>
      <a:fillRef idx="1">
        <a:srgbClr val="000000"/>
      </a:fillRef>
      <a:effectRef idx="0">
        <a:srgbClr val="000000"/>
      </a:effectRef>
      <a:fontRef idx="minor">
        <a:schemeClr val="lt1"/>
      </a:fontRef>
    </dgm:style>
  </dgm:styleLbl>
  <dgm:styleLbl name="fgImgPlace1">
    <dgm:scene3d>
      <a:camera prst="orthographicFront"/>
      <a:lightRig rig="threePt" dir="t"/>
    </dgm:scene3d>
    <dgm:sp3d/>
    <dgm:txPr>
      <a:bodyPr/>
      <a:p>
        <a:pPr>
          <a:defRPr/>
        </a:pPr>
        <a:endParaRPr/>
      </a:p>
    </dgm:txPr>
    <dgm:style>
      <a:lnRef idx="2">
        <a:srgbClr val="000000"/>
      </a:lnRef>
      <a:fillRef idx="1">
        <a:srgbClr val="000000"/>
      </a:fillRef>
      <a:effectRef idx="0">
        <a:srgbClr val="000000"/>
      </a:effectRef>
      <a:fontRef idx="minor"/>
    </dgm:style>
  </dgm:styleLbl>
  <dgm:styleLbl name="alignImgPlace1">
    <dgm:scene3d>
      <a:camera prst="orthographicFront"/>
      <a:lightRig rig="threePt" dir="t"/>
    </dgm:scene3d>
    <dgm:sp3d/>
    <dgm:txPr>
      <a:bodyPr/>
      <a:p>
        <a:pPr>
          <a:defRPr/>
        </a:pPr>
        <a:endParaRPr/>
      </a:p>
    </dgm:txPr>
    <dgm:style>
      <a:lnRef idx="2">
        <a:srgbClr val="000000"/>
      </a:lnRef>
      <a:fillRef idx="1">
        <a:srgbClr val="000000"/>
      </a:fillRef>
      <a:effectRef idx="0">
        <a:srgbClr val="000000"/>
      </a:effectRef>
      <a:fontRef idx="minor"/>
    </dgm:style>
  </dgm:styleLbl>
  <dgm:styleLbl name="bgImgPlace1">
    <dgm:scene3d>
      <a:camera prst="orthographicFront"/>
      <a:lightRig rig="threePt" dir="t"/>
    </dgm:scene3d>
    <dgm:sp3d/>
    <dgm:txPr>
      <a:bodyPr/>
      <a:p>
        <a:pPr>
          <a:defRPr/>
        </a:pPr>
        <a:endParaRPr/>
      </a:p>
    </dgm:txPr>
    <dgm:style>
      <a:lnRef idx="2">
        <a:srgbClr val="000000"/>
      </a:lnRef>
      <a:fillRef idx="1">
        <a:srgbClr val="000000"/>
      </a:fillRef>
      <a:effectRef idx="0">
        <a:srgbClr val="000000"/>
      </a:effectRef>
      <a:fontRef idx="minor"/>
    </dgm:style>
  </dgm:styleLbl>
  <dgm:styleLbl name="sibTrans2D1">
    <dgm:scene3d>
      <a:camera prst="orthographicFront"/>
      <a:lightRig rig="threePt" dir="t"/>
    </dgm:scene3d>
    <dgm:sp3d/>
    <dgm:txPr>
      <a:bodyPr/>
      <a:p>
        <a:pPr>
          <a:defRPr/>
        </a:pPr>
        <a:endParaRPr/>
      </a:p>
    </dgm:txPr>
    <dgm:style>
      <a:lnRef idx="0">
        <a:srgbClr val="000000"/>
      </a:lnRef>
      <a:fillRef idx="1">
        <a:srgbClr val="000000"/>
      </a:fillRef>
      <a:effectRef idx="0">
        <a:srgbClr val="000000"/>
      </a:effectRef>
      <a:fontRef idx="minor">
        <a:schemeClr val="lt1"/>
      </a:fontRef>
    </dgm:style>
  </dgm:styleLbl>
  <dgm:styleLbl name="fgSibTrans2D1">
    <dgm:scene3d>
      <a:camera prst="orthographicFront"/>
      <a:lightRig rig="threePt" dir="t"/>
    </dgm:scene3d>
    <dgm:sp3d/>
    <dgm:txPr>
      <a:bodyPr/>
      <a:p>
        <a:pPr>
          <a:defRPr/>
        </a:pPr>
        <a:endParaRPr/>
      </a:p>
    </dgm:txPr>
    <dgm:style>
      <a:lnRef idx="0">
        <a:srgbClr val="000000"/>
      </a:lnRef>
      <a:fillRef idx="1">
        <a:srgbClr val="000000"/>
      </a:fillRef>
      <a:effectRef idx="0">
        <a:srgbClr val="000000"/>
      </a:effectRef>
      <a:fontRef idx="minor">
        <a:schemeClr val="lt1"/>
      </a:fontRef>
    </dgm:style>
  </dgm:styleLbl>
  <dgm:styleLbl name="bgSibTrans2D1">
    <dgm:scene3d>
      <a:camera prst="orthographicFront"/>
      <a:lightRig rig="threePt" dir="t"/>
    </dgm:scene3d>
    <dgm:sp3d/>
    <dgm:txPr>
      <a:bodyPr/>
      <a:p>
        <a:pPr>
          <a:defRPr/>
        </a:pPr>
        <a:endParaRPr/>
      </a:p>
    </dgm:txPr>
    <dgm:style>
      <a:lnRef idx="0">
        <a:srgbClr val="000000"/>
      </a:lnRef>
      <a:fillRef idx="1">
        <a:srgbClr val="000000"/>
      </a:fillRef>
      <a:effectRef idx="0">
        <a:srgbClr val="000000"/>
      </a:effectRef>
      <a:fontRef idx="minor">
        <a:schemeClr val="lt1"/>
      </a:fontRef>
    </dgm:style>
  </dgm:styleLbl>
  <dgm:styleLbl name="sibTrans1D1">
    <dgm:scene3d>
      <a:camera prst="orthographicFront"/>
      <a:lightRig rig="threePt" dir="t"/>
    </dgm:scene3d>
    <dgm:sp3d/>
    <dgm:txPr>
      <a:bodyPr/>
      <a:p>
        <a:pPr>
          <a:defRPr/>
        </a:pPr>
        <a:endParaRPr/>
      </a:p>
    </dgm:txPr>
    <dgm:style>
      <a:lnRef idx="1">
        <a:srgbClr val="000000"/>
      </a:lnRef>
      <a:fillRef idx="0">
        <a:srgbClr val="000000"/>
      </a:fillRef>
      <a:effectRef idx="0">
        <a:srgbClr val="000000"/>
      </a:effectRef>
      <a:fontRef idx="minor"/>
    </dgm:style>
  </dgm:styleLbl>
  <dgm:styleLbl name="callout">
    <dgm:scene3d>
      <a:camera prst="orthographicFront"/>
      <a:lightRig rig="threePt" dir="t"/>
    </dgm:scene3d>
    <dgm:sp3d/>
    <dgm:txPr>
      <a:bodyPr/>
      <a:p>
        <a:pPr>
          <a:defRPr/>
        </a:pPr>
        <a:endParaRPr/>
      </a:p>
    </dgm:txPr>
    <dgm:style>
      <a:lnRef idx="2">
        <a:srgbClr val="000000"/>
      </a:lnRef>
      <a:fillRef idx="1">
        <a:srgbClr val="000000"/>
      </a:fillRef>
      <a:effectRef idx="0">
        <a:srgbClr val="000000"/>
      </a:effectRef>
      <a:fontRef idx="minor"/>
    </dgm:style>
  </dgm:styleLbl>
  <dgm:styleLbl name="asst0">
    <dgm:scene3d>
      <a:camera prst="orthographicFront"/>
      <a:lightRig rig="threePt" dir="t"/>
    </dgm:scene3d>
    <dgm:sp3d/>
    <dgm:txPr>
      <a:bodyPr/>
      <a:p>
        <a:pPr>
          <a:defRPr/>
        </a:pPr>
        <a:endParaRPr/>
      </a:p>
    </dgm:txPr>
    <dgm:style>
      <a:lnRef idx="2">
        <a:srgbClr val="000000"/>
      </a:lnRef>
      <a:fillRef idx="1">
        <a:srgbClr val="000000"/>
      </a:fillRef>
      <a:effectRef idx="0">
        <a:srgbClr val="000000"/>
      </a:effectRef>
      <a:fontRef idx="minor">
        <a:schemeClr val="lt1"/>
      </a:fontRef>
    </dgm:style>
  </dgm:styleLbl>
  <dgm:styleLbl name="asst1">
    <dgm:scene3d>
      <a:camera prst="orthographicFront"/>
      <a:lightRig rig="threePt" dir="t"/>
    </dgm:scene3d>
    <dgm:sp3d/>
    <dgm:txPr>
      <a:bodyPr/>
      <a:p>
        <a:pPr>
          <a:defRPr/>
        </a:pPr>
        <a:endParaRPr/>
      </a:p>
    </dgm:txPr>
    <dgm:style>
      <a:lnRef idx="2">
        <a:srgbClr val="000000"/>
      </a:lnRef>
      <a:fillRef idx="1">
        <a:srgbClr val="000000"/>
      </a:fillRef>
      <a:effectRef idx="0">
        <a:srgbClr val="000000"/>
      </a:effectRef>
      <a:fontRef idx="minor">
        <a:schemeClr val="lt1"/>
      </a:fontRef>
    </dgm:style>
  </dgm:styleLbl>
  <dgm:styleLbl name="asst2">
    <dgm:scene3d>
      <a:camera prst="orthographicFront"/>
      <a:lightRig rig="threePt" dir="t"/>
    </dgm:scene3d>
    <dgm:sp3d/>
    <dgm:txPr>
      <a:bodyPr/>
      <a:p>
        <a:pPr>
          <a:defRPr/>
        </a:pPr>
        <a:endParaRPr/>
      </a:p>
    </dgm:txPr>
    <dgm:style>
      <a:lnRef idx="2">
        <a:srgbClr val="000000"/>
      </a:lnRef>
      <a:fillRef idx="1">
        <a:srgbClr val="000000"/>
      </a:fillRef>
      <a:effectRef idx="0">
        <a:srgbClr val="000000"/>
      </a:effectRef>
      <a:fontRef idx="minor">
        <a:schemeClr val="lt1"/>
      </a:fontRef>
    </dgm:style>
  </dgm:styleLbl>
  <dgm:styleLbl name="asst3">
    <dgm:scene3d>
      <a:camera prst="orthographicFront"/>
      <a:lightRig rig="threePt" dir="t"/>
    </dgm:scene3d>
    <dgm:sp3d/>
    <dgm:txPr>
      <a:bodyPr/>
      <a:p>
        <a:pPr>
          <a:defRPr/>
        </a:pPr>
        <a:endParaRPr/>
      </a:p>
    </dgm:txPr>
    <dgm:style>
      <a:lnRef idx="2">
        <a:srgbClr val="000000"/>
      </a:lnRef>
      <a:fillRef idx="1">
        <a:srgbClr val="000000"/>
      </a:fillRef>
      <a:effectRef idx="0">
        <a:srgbClr val="000000"/>
      </a:effectRef>
      <a:fontRef idx="minor">
        <a:schemeClr val="lt1"/>
      </a:fontRef>
    </dgm:style>
  </dgm:styleLbl>
  <dgm:styleLbl name="asst4">
    <dgm:scene3d>
      <a:camera prst="orthographicFront"/>
      <a:lightRig rig="threePt" dir="t"/>
    </dgm:scene3d>
    <dgm:sp3d/>
    <dgm:txPr>
      <a:bodyPr/>
      <a:p>
        <a:pPr>
          <a:defRPr/>
        </a:pPr>
        <a:endParaRPr/>
      </a:p>
    </dgm:txPr>
    <dgm:style>
      <a:lnRef idx="2">
        <a:srgbClr val="000000"/>
      </a:lnRef>
      <a:fillRef idx="1">
        <a:srgbClr val="000000"/>
      </a:fillRef>
      <a:effectRef idx="0">
        <a:srgbClr val="000000"/>
      </a:effectRef>
      <a:fontRef idx="minor">
        <a:schemeClr val="lt1"/>
      </a:fontRef>
    </dgm:style>
  </dgm:styleLbl>
  <dgm:styleLbl name="parChTrans2D1">
    <dgm:scene3d>
      <a:camera prst="orthographicFront"/>
      <a:lightRig rig="threePt" dir="t"/>
    </dgm:scene3d>
    <dgm:sp3d/>
    <dgm:txPr>
      <a:bodyPr/>
      <a:p>
        <a:pPr>
          <a:defRPr/>
        </a:pPr>
        <a:endParaRPr/>
      </a:p>
    </dgm:txPr>
    <dgm:style>
      <a:lnRef idx="2">
        <a:srgbClr val="000000"/>
      </a:lnRef>
      <a:fillRef idx="1">
        <a:srgbClr val="000000"/>
      </a:fillRef>
      <a:effectRef idx="0">
        <a:srgbClr val="000000"/>
      </a:effectRef>
      <a:fontRef idx="minor">
        <a:schemeClr val="lt1"/>
      </a:fontRef>
    </dgm:style>
  </dgm:styleLbl>
  <dgm:styleLbl name="parChTrans2D2">
    <dgm:scene3d>
      <a:camera prst="orthographicFront"/>
      <a:lightRig rig="threePt" dir="t"/>
    </dgm:scene3d>
    <dgm:sp3d/>
    <dgm:txPr>
      <a:bodyPr/>
      <a:p>
        <a:pPr>
          <a:defRPr/>
        </a:pPr>
        <a:endParaRPr/>
      </a:p>
    </dgm:txPr>
    <dgm:style>
      <a:lnRef idx="2">
        <a:srgbClr val="000000"/>
      </a:lnRef>
      <a:fillRef idx="1">
        <a:srgbClr val="000000"/>
      </a:fillRef>
      <a:effectRef idx="0">
        <a:srgbClr val="000000"/>
      </a:effectRef>
      <a:fontRef idx="minor">
        <a:schemeClr val="lt1"/>
      </a:fontRef>
    </dgm:style>
  </dgm:styleLbl>
  <dgm:styleLbl name="parChTrans2D3">
    <dgm:scene3d>
      <a:camera prst="orthographicFront"/>
      <a:lightRig rig="threePt" dir="t"/>
    </dgm:scene3d>
    <dgm:sp3d/>
    <dgm:txPr>
      <a:bodyPr/>
      <a:p>
        <a:pPr>
          <a:defRPr/>
        </a:pPr>
        <a:endParaRPr/>
      </a:p>
    </dgm:txPr>
    <dgm:style>
      <a:lnRef idx="2">
        <a:srgbClr val="000000"/>
      </a:lnRef>
      <a:fillRef idx="1">
        <a:srgbClr val="000000"/>
      </a:fillRef>
      <a:effectRef idx="0">
        <a:srgbClr val="000000"/>
      </a:effectRef>
      <a:fontRef idx="minor">
        <a:schemeClr val="lt1"/>
      </a:fontRef>
    </dgm:style>
  </dgm:styleLbl>
  <dgm:styleLbl name="parChTrans2D4">
    <dgm:scene3d>
      <a:camera prst="orthographicFront"/>
      <a:lightRig rig="threePt" dir="t"/>
    </dgm:scene3d>
    <dgm:sp3d/>
    <dgm:txPr>
      <a:bodyPr/>
      <a:p>
        <a:pPr>
          <a:defRPr/>
        </a:pPr>
        <a:endParaRPr/>
      </a:p>
    </dgm:txPr>
    <dgm:style>
      <a:lnRef idx="2">
        <a:srgbClr val="000000"/>
      </a:lnRef>
      <a:fillRef idx="1">
        <a:srgbClr val="000000"/>
      </a:fillRef>
      <a:effectRef idx="0">
        <a:srgbClr val="000000"/>
      </a:effectRef>
      <a:fontRef idx="minor">
        <a:schemeClr val="lt1"/>
      </a:fontRef>
    </dgm:style>
  </dgm:styleLbl>
  <dgm:styleLbl name="parChTrans1D1">
    <dgm:scene3d>
      <a:camera prst="orthographicFront"/>
      <a:lightRig rig="threePt" dir="t"/>
    </dgm:scene3d>
    <dgm:sp3d/>
    <dgm:txPr>
      <a:bodyPr/>
      <a:p>
        <a:pPr>
          <a:defRPr/>
        </a:pPr>
        <a:endParaRPr/>
      </a:p>
    </dgm:txPr>
    <dgm:style>
      <a:lnRef idx="2">
        <a:srgbClr val="000000"/>
      </a:lnRef>
      <a:fillRef idx="0">
        <a:srgbClr val="000000"/>
      </a:fillRef>
      <a:effectRef idx="0">
        <a:srgbClr val="000000"/>
      </a:effectRef>
      <a:fontRef idx="minor"/>
    </dgm:style>
  </dgm:styleLbl>
  <dgm:styleLbl name="parChTrans1D2">
    <dgm:scene3d>
      <a:camera prst="orthographicFront"/>
      <a:lightRig rig="threePt" dir="t"/>
    </dgm:scene3d>
    <dgm:sp3d/>
    <dgm:txPr>
      <a:bodyPr/>
      <a:p>
        <a:pPr>
          <a:defRPr/>
        </a:pPr>
        <a:endParaRPr/>
      </a:p>
    </dgm:txPr>
    <dgm:style>
      <a:lnRef idx="2">
        <a:srgbClr val="000000"/>
      </a:lnRef>
      <a:fillRef idx="0">
        <a:srgbClr val="000000"/>
      </a:fillRef>
      <a:effectRef idx="0">
        <a:srgbClr val="000000"/>
      </a:effectRef>
      <a:fontRef idx="minor"/>
    </dgm:style>
  </dgm:styleLbl>
  <dgm:styleLbl name="parChTrans1D3">
    <dgm:scene3d>
      <a:camera prst="orthographicFront"/>
      <a:lightRig rig="threePt" dir="t"/>
    </dgm:scene3d>
    <dgm:sp3d/>
    <dgm:txPr>
      <a:bodyPr/>
      <a:p>
        <a:pPr>
          <a:defRPr/>
        </a:pPr>
        <a:endParaRPr/>
      </a:p>
    </dgm:txPr>
    <dgm:style>
      <a:lnRef idx="2">
        <a:srgbClr val="000000"/>
      </a:lnRef>
      <a:fillRef idx="0">
        <a:srgbClr val="000000"/>
      </a:fillRef>
      <a:effectRef idx="0">
        <a:srgbClr val="000000"/>
      </a:effectRef>
      <a:fontRef idx="minor"/>
    </dgm:style>
  </dgm:styleLbl>
  <dgm:styleLbl name="parChTrans1D4">
    <dgm:scene3d>
      <a:camera prst="orthographicFront"/>
      <a:lightRig rig="threePt" dir="t"/>
    </dgm:scene3d>
    <dgm:sp3d/>
    <dgm:txPr>
      <a:bodyPr/>
      <a:p>
        <a:pPr>
          <a:defRPr/>
        </a:pPr>
        <a:endParaRPr/>
      </a:p>
    </dgm:txPr>
    <dgm:style>
      <a:lnRef idx="2">
        <a:srgbClr val="000000"/>
      </a:lnRef>
      <a:fillRef idx="0">
        <a:srgbClr val="000000"/>
      </a:fillRef>
      <a:effectRef idx="0">
        <a:srgbClr val="000000"/>
      </a:effectRef>
      <a:fontRef idx="minor"/>
    </dgm:style>
  </dgm:styleLbl>
  <dgm:styleLbl name="fgAcc1">
    <dgm:scene3d>
      <a:camera prst="orthographicFront"/>
      <a:lightRig rig="threePt" dir="t"/>
    </dgm:scene3d>
    <dgm:sp3d/>
    <dgm:txPr>
      <a:bodyPr/>
      <a:p>
        <a:pPr>
          <a:defRPr/>
        </a:pPr>
        <a:endParaRPr/>
      </a:p>
    </dgm:txPr>
    <dgm:style>
      <a:lnRef idx="2">
        <a:srgbClr val="000000"/>
      </a:lnRef>
      <a:fillRef idx="1">
        <a:srgbClr val="000000"/>
      </a:fillRef>
      <a:effectRef idx="0">
        <a:srgbClr val="000000"/>
      </a:effectRef>
      <a:fontRef idx="minor"/>
    </dgm:style>
  </dgm:styleLbl>
  <dgm:styleLbl name="conFgAcc1">
    <dgm:scene3d>
      <a:camera prst="orthographicFront"/>
      <a:lightRig rig="threePt" dir="t"/>
    </dgm:scene3d>
    <dgm:sp3d/>
    <dgm:txPr>
      <a:bodyPr/>
      <a:p>
        <a:pPr>
          <a:defRPr/>
        </a:pPr>
        <a:endParaRPr/>
      </a:p>
    </dgm:txPr>
    <dgm:style>
      <a:lnRef idx="2">
        <a:srgbClr val="000000"/>
      </a:lnRef>
      <a:fillRef idx="1">
        <a:srgbClr val="000000"/>
      </a:fillRef>
      <a:effectRef idx="0">
        <a:srgbClr val="000000"/>
      </a:effectRef>
      <a:fontRef idx="minor"/>
    </dgm:style>
  </dgm:styleLbl>
  <dgm:styleLbl name="alignAcc1">
    <dgm:scene3d>
      <a:camera prst="orthographicFront"/>
      <a:lightRig rig="threePt" dir="t"/>
    </dgm:scene3d>
    <dgm:sp3d/>
    <dgm:txPr>
      <a:bodyPr/>
      <a:p>
        <a:pPr>
          <a:defRPr/>
        </a:pPr>
        <a:endParaRPr/>
      </a:p>
    </dgm:txPr>
    <dgm:style>
      <a:lnRef idx="2">
        <a:srgbClr val="000000"/>
      </a:lnRef>
      <a:fillRef idx="1">
        <a:srgbClr val="000000"/>
      </a:fillRef>
      <a:effectRef idx="0">
        <a:srgbClr val="000000"/>
      </a:effectRef>
      <a:fontRef idx="minor"/>
    </dgm:style>
  </dgm:styleLbl>
  <dgm:styleLbl name="trAlignAcc1">
    <dgm:scene3d>
      <a:camera prst="orthographicFront"/>
      <a:lightRig rig="threePt" dir="t"/>
    </dgm:scene3d>
    <dgm:sp3d/>
    <dgm:txPr>
      <a:bodyPr/>
      <a:p>
        <a:pPr>
          <a:defRPr/>
        </a:pPr>
        <a:endParaRPr/>
      </a:p>
    </dgm:txPr>
    <dgm:style>
      <a:lnRef idx="1">
        <a:srgbClr val="000000"/>
      </a:lnRef>
      <a:fillRef idx="1">
        <a:srgbClr val="000000"/>
      </a:fillRef>
      <a:effectRef idx="0">
        <a:srgbClr val="000000"/>
      </a:effectRef>
      <a:fontRef idx="minor"/>
    </dgm:style>
  </dgm:styleLbl>
  <dgm:styleLbl name="bgAcc1">
    <dgm:scene3d>
      <a:camera prst="orthographicFront"/>
      <a:lightRig rig="threePt" dir="t"/>
    </dgm:scene3d>
    <dgm:sp3d/>
    <dgm:txPr>
      <a:bodyPr/>
      <a:p>
        <a:pPr>
          <a:defRPr/>
        </a:pPr>
        <a:endParaRPr/>
      </a:p>
    </dgm:txPr>
    <dgm:style>
      <a:lnRef idx="2">
        <a:srgbClr val="000000"/>
      </a:lnRef>
      <a:fillRef idx="1">
        <a:srgbClr val="000000"/>
      </a:fillRef>
      <a:effectRef idx="0">
        <a:srgbClr val="000000"/>
      </a:effectRef>
      <a:fontRef idx="minor"/>
    </dgm:style>
  </dgm:styleLbl>
  <dgm:styleLbl name="solidFgAcc1">
    <dgm:scene3d>
      <a:camera prst="orthographicFront"/>
      <a:lightRig rig="threePt" dir="t"/>
    </dgm:scene3d>
    <dgm:sp3d/>
    <dgm:txPr>
      <a:bodyPr/>
      <a:p>
        <a:pPr>
          <a:defRPr/>
        </a:pPr>
        <a:endParaRPr/>
      </a:p>
    </dgm:txPr>
    <dgm:style>
      <a:lnRef idx="2">
        <a:srgbClr val="000000"/>
      </a:lnRef>
      <a:fillRef idx="1">
        <a:srgbClr val="000000"/>
      </a:fillRef>
      <a:effectRef idx="0">
        <a:srgbClr val="000000"/>
      </a:effectRef>
      <a:fontRef idx="minor"/>
    </dgm:style>
  </dgm:styleLbl>
  <dgm:styleLbl name="solidAlignAcc1">
    <dgm:scene3d>
      <a:camera prst="orthographicFront"/>
      <a:lightRig rig="threePt" dir="t"/>
    </dgm:scene3d>
    <dgm:sp3d/>
    <dgm:txPr>
      <a:bodyPr/>
      <a:p>
        <a:pPr>
          <a:defRPr/>
        </a:pPr>
        <a:endParaRPr/>
      </a:p>
    </dgm:txPr>
    <dgm:style>
      <a:lnRef idx="2">
        <a:srgbClr val="000000"/>
      </a:lnRef>
      <a:fillRef idx="1">
        <a:srgbClr val="000000"/>
      </a:fillRef>
      <a:effectRef idx="0">
        <a:srgbClr val="000000"/>
      </a:effectRef>
      <a:fontRef idx="minor"/>
    </dgm:style>
  </dgm:styleLbl>
  <dgm:styleLbl name="solidBgAcc1">
    <dgm:scene3d>
      <a:camera prst="orthographicFront"/>
      <a:lightRig rig="threePt" dir="t"/>
    </dgm:scene3d>
    <dgm:sp3d/>
    <dgm:txPr>
      <a:bodyPr/>
      <a:p>
        <a:pPr>
          <a:defRPr/>
        </a:pPr>
        <a:endParaRPr/>
      </a:p>
    </dgm:txPr>
    <dgm:style>
      <a:lnRef idx="2">
        <a:srgbClr val="000000"/>
      </a:lnRef>
      <a:fillRef idx="1">
        <a:srgbClr val="000000"/>
      </a:fillRef>
      <a:effectRef idx="0">
        <a:srgbClr val="000000"/>
      </a:effectRef>
      <a:fontRef idx="minor"/>
    </dgm:style>
  </dgm:styleLbl>
  <dgm:styleLbl name="fgAccFollowNode1">
    <dgm:scene3d>
      <a:camera prst="orthographicFront"/>
      <a:lightRig rig="threePt" dir="t"/>
    </dgm:scene3d>
    <dgm:sp3d/>
    <dgm:txPr>
      <a:bodyPr/>
      <a:p>
        <a:pPr>
          <a:defRPr/>
        </a:pPr>
        <a:endParaRPr/>
      </a:p>
    </dgm:txPr>
    <dgm:style>
      <a:lnRef idx="2">
        <a:srgbClr val="000000"/>
      </a:lnRef>
      <a:fillRef idx="1">
        <a:srgbClr val="000000"/>
      </a:fillRef>
      <a:effectRef idx="0">
        <a:srgbClr val="000000"/>
      </a:effectRef>
      <a:fontRef idx="minor"/>
    </dgm:style>
  </dgm:styleLbl>
  <dgm:styleLbl name="alignAccFollowNode1">
    <dgm:scene3d>
      <a:camera prst="orthographicFront"/>
      <a:lightRig rig="threePt" dir="t"/>
    </dgm:scene3d>
    <dgm:sp3d/>
    <dgm:txPr>
      <a:bodyPr/>
      <a:p>
        <a:pPr>
          <a:defRPr/>
        </a:pPr>
        <a:endParaRPr/>
      </a:p>
    </dgm:txPr>
    <dgm:style>
      <a:lnRef idx="2">
        <a:srgbClr val="000000"/>
      </a:lnRef>
      <a:fillRef idx="1">
        <a:srgbClr val="000000"/>
      </a:fillRef>
      <a:effectRef idx="0">
        <a:srgbClr val="000000"/>
      </a:effectRef>
      <a:fontRef idx="minor"/>
    </dgm:style>
  </dgm:styleLbl>
  <dgm:styleLbl name="bgAccFollowNode1">
    <dgm:scene3d>
      <a:camera prst="orthographicFront"/>
      <a:lightRig rig="threePt" dir="t"/>
    </dgm:scene3d>
    <dgm:sp3d/>
    <dgm:txPr>
      <a:bodyPr/>
      <a:p>
        <a:pPr>
          <a:defRPr/>
        </a:pPr>
        <a:endParaRPr/>
      </a:p>
    </dgm:txPr>
    <dgm:style>
      <a:lnRef idx="2">
        <a:srgbClr val="000000"/>
      </a:lnRef>
      <a:fillRef idx="1">
        <a:srgbClr val="000000"/>
      </a:fillRef>
      <a:effectRef idx="0">
        <a:srgbClr val="000000"/>
      </a:effectRef>
      <a:fontRef idx="minor"/>
    </dgm:style>
  </dgm:styleLbl>
  <dgm:styleLbl name="fgAcc0">
    <dgm:scene3d>
      <a:camera prst="orthographicFront"/>
      <a:lightRig rig="threePt" dir="t"/>
    </dgm:scene3d>
    <dgm:sp3d/>
    <dgm:txPr>
      <a:bodyPr/>
      <a:p>
        <a:pPr>
          <a:defRPr/>
        </a:pPr>
        <a:endParaRPr/>
      </a:p>
    </dgm:txPr>
    <dgm:style>
      <a:lnRef idx="2">
        <a:srgbClr val="000000"/>
      </a:lnRef>
      <a:fillRef idx="1">
        <a:srgbClr val="000000"/>
      </a:fillRef>
      <a:effectRef idx="0">
        <a:srgbClr val="000000"/>
      </a:effectRef>
      <a:fontRef idx="minor"/>
    </dgm:style>
  </dgm:styleLbl>
  <dgm:styleLbl name="fgAcc2">
    <dgm:scene3d>
      <a:camera prst="orthographicFront"/>
      <a:lightRig rig="threePt" dir="t"/>
    </dgm:scene3d>
    <dgm:sp3d/>
    <dgm:txPr>
      <a:bodyPr/>
      <a:p>
        <a:pPr>
          <a:defRPr/>
        </a:pPr>
        <a:endParaRPr/>
      </a:p>
    </dgm:txPr>
    <dgm:style>
      <a:lnRef idx="2">
        <a:srgbClr val="000000"/>
      </a:lnRef>
      <a:fillRef idx="1">
        <a:srgbClr val="000000"/>
      </a:fillRef>
      <a:effectRef idx="0">
        <a:srgbClr val="000000"/>
      </a:effectRef>
      <a:fontRef idx="minor"/>
    </dgm:style>
  </dgm:styleLbl>
  <dgm:styleLbl name="fgAcc3">
    <dgm:scene3d>
      <a:camera prst="orthographicFront"/>
      <a:lightRig rig="threePt" dir="t"/>
    </dgm:scene3d>
    <dgm:sp3d/>
    <dgm:txPr>
      <a:bodyPr/>
      <a:p>
        <a:pPr>
          <a:defRPr/>
        </a:pPr>
        <a:endParaRPr/>
      </a:p>
    </dgm:txPr>
    <dgm:style>
      <a:lnRef idx="2">
        <a:srgbClr val="000000"/>
      </a:lnRef>
      <a:fillRef idx="1">
        <a:srgbClr val="000000"/>
      </a:fillRef>
      <a:effectRef idx="0">
        <a:srgbClr val="000000"/>
      </a:effectRef>
      <a:fontRef idx="minor"/>
    </dgm:style>
  </dgm:styleLbl>
  <dgm:styleLbl name="fgAcc4">
    <dgm:scene3d>
      <a:camera prst="orthographicFront"/>
      <a:lightRig rig="threePt" dir="t"/>
    </dgm:scene3d>
    <dgm:sp3d/>
    <dgm:txPr>
      <a:bodyPr/>
      <a:p>
        <a:pPr>
          <a:defRPr/>
        </a:pPr>
        <a:endParaRPr/>
      </a:p>
    </dgm:txPr>
    <dgm:style>
      <a:lnRef idx="2">
        <a:srgbClr val="000000"/>
      </a:lnRef>
      <a:fillRef idx="1">
        <a:srgbClr val="000000"/>
      </a:fillRef>
      <a:effectRef idx="0">
        <a:srgbClr val="000000"/>
      </a:effectRef>
      <a:fontRef idx="minor"/>
    </dgm:style>
  </dgm:styleLbl>
  <dgm:styleLbl name="bgShp">
    <dgm:scene3d>
      <a:camera prst="orthographicFront"/>
      <a:lightRig rig="threePt" dir="t"/>
    </dgm:scene3d>
    <dgm:sp3d/>
    <dgm:txPr>
      <a:bodyPr/>
      <a:p>
        <a:pPr>
          <a:defRPr/>
        </a:pPr>
        <a:endParaRPr/>
      </a:p>
    </dgm:txPr>
    <dgm:style>
      <a:lnRef idx="0">
        <a:srgbClr val="000000"/>
      </a:lnRef>
      <a:fillRef idx="1">
        <a:srgbClr val="000000"/>
      </a:fillRef>
      <a:effectRef idx="0">
        <a:srgbClr val="000000"/>
      </a:effectRef>
      <a:fontRef idx="minor"/>
    </dgm:style>
  </dgm:styleLbl>
  <dgm:styleLbl name="dkBgShp">
    <dgm:scene3d>
      <a:camera prst="orthographicFront"/>
      <a:lightRig rig="threePt" dir="t"/>
    </dgm:scene3d>
    <dgm:sp3d/>
    <dgm:txPr>
      <a:bodyPr/>
      <a:p>
        <a:pPr>
          <a:defRPr/>
        </a:pPr>
        <a:endParaRPr/>
      </a:p>
    </dgm:txPr>
    <dgm:style>
      <a:lnRef idx="0">
        <a:srgbClr val="000000"/>
      </a:lnRef>
      <a:fillRef idx="1">
        <a:srgbClr val="000000"/>
      </a:fillRef>
      <a:effectRef idx="0">
        <a:srgbClr val="000000"/>
      </a:effectRef>
      <a:fontRef idx="minor"/>
    </dgm:style>
  </dgm:styleLbl>
  <dgm:styleLbl name="trBgShp">
    <dgm:scene3d>
      <a:camera prst="orthographicFront"/>
      <a:lightRig rig="threePt" dir="t"/>
    </dgm:scene3d>
    <dgm:sp3d/>
    <dgm:txPr>
      <a:bodyPr/>
      <a:p>
        <a:pPr>
          <a:defRPr/>
        </a:pPr>
        <a:endParaRPr/>
      </a:p>
    </dgm:txPr>
    <dgm:style>
      <a:lnRef idx="0">
        <a:srgbClr val="000000"/>
      </a:lnRef>
      <a:fillRef idx="1">
        <a:srgbClr val="000000"/>
      </a:fillRef>
      <a:effectRef idx="0">
        <a:srgbClr val="000000"/>
      </a:effectRef>
      <a:fontRef idx="minor"/>
    </dgm:style>
  </dgm:styleLbl>
  <dgm:styleLbl name="fgShp">
    <dgm:scene3d>
      <a:camera prst="orthographicFront"/>
      <a:lightRig rig="threePt" dir="t"/>
    </dgm:scene3d>
    <dgm:sp3d/>
    <dgm:txPr>
      <a:bodyPr/>
      <a:p>
        <a:pPr>
          <a:defRPr/>
        </a:pPr>
        <a:endParaRPr/>
      </a:p>
    </dgm:txPr>
    <dgm:style>
      <a:lnRef idx="2">
        <a:srgbClr val="000000"/>
      </a:lnRef>
      <a:fillRef idx="1">
        <a:srgbClr val="000000"/>
      </a:fillRef>
      <a:effectRef idx="0">
        <a:srgbClr val="000000"/>
      </a:effectRef>
      <a:fontRef idx="minor"/>
    </dgm:style>
  </dgm:styleLbl>
  <dgm:styleLbl name="revTx">
    <dgm:scene3d>
      <a:camera prst="orthographicFront"/>
      <a:lightRig rig="threePt" dir="t"/>
    </dgm:scene3d>
    <dgm:sp3d/>
    <dgm:txPr>
      <a:bodyPr/>
      <a:p>
        <a:pPr>
          <a:defRPr/>
        </a:pPr>
        <a:endParaRPr/>
      </a:p>
    </dgm:txPr>
    <dgm:style>
      <a:lnRef idx="0">
        <a:srgbClr val="000000"/>
      </a:lnRef>
      <a:fillRef idx="0">
        <a:srgbClr val="000000"/>
      </a:fillRef>
      <a:effectRef idx="0">
        <a:srgbClr val="000000"/>
      </a:effectRef>
      <a:fontRef idx="minor"/>
    </dgm:style>
  </dgm:styleLbl>
</dgm:styleDef>
</file>

<file path=word/theme/theme1.xml><?xml version="1.0" encoding="utf-8"?>
<a:theme xmlns:a="http://schemas.openxmlformats.org/drawingml/2006/main" xmlns:r="http://schemas.openxmlformats.org/officeDocument/2006/relationships" xmlns:p="http://schemas.openxmlformats.org/presentation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Arial"/>
        <a:cs typeface="Arial"/>
      </a:majorFont>
      <a:minorFont>
        <a:latin typeface="Calibri"/>
        <a:ea typeface="Arial"/>
        <a:cs typeface="Arial"/>
      </a:minorFont>
    </a:fontScheme>
    <a:fmtScheme name="Стандартная">
      <a:fillStyleLst>
        <a:solidFill>
          <a:schemeClr val="phClr"/>
        </a:solidFill>
        <a:gradFill>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gradFill>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gradFill>
        <a:gradFill>
          <a:gsLst>
            <a:gs pos="0">
              <a:schemeClr val="phClr">
                <a:tint val="80000"/>
                <a:satMod val="300000"/>
              </a:schemeClr>
            </a:gs>
            <a:gs pos="100000">
              <a:schemeClr val="phClr">
                <a:shade val="30000"/>
                <a:satMod val="200000"/>
              </a:schemeClr>
            </a:gs>
          </a:gsLst>
          <a:path path="circle"/>
        </a:gradFill>
      </a:bgFillStyleLst>
    </a:fmtScheme>
  </a:themeElements>
  <a:objectDefaults/>
</a:theme>
</file>

<file path=customXml/_rels/item1.xml.rels><?xml version="1.0" encoding="UTF-8" standalone="yes"?><Relationships xmlns="http://schemas.openxmlformats.org/package/2006/relationships"><Relationship Id="rId1" Type="http://schemas.openxmlformats.org/officeDocument/2006/relationships/customXmlProps" Target="itemProps1.xml" /></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B7594BB-F716-4A87-8B1A-E42FAEE9F7A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Application>Р7-Офис/2025.3.1.923</Application>
  <Company>SPecialiST RePack</Company>
  <DocSecurity>0</DocSecurity>
  <HyperlinksChanged>false</HyperlinksChanged>
  <LinksUpToDate>false</LinksUpToDate>
  <ScaleCrop>false</ScaleCrop>
  <SharedDoc>false</SharedDoc>
  <Template>Normal</Template>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knyazev_vi</dc:creator>
  <cp:lastModifiedBy>orlov_sa</cp:lastModifiedBy>
  <cp:revision>31</cp:revision>
  <dcterms:created xsi:type="dcterms:W3CDTF">2025-03-31T13:50:00Z</dcterms:created>
  <dcterms:modified xsi:type="dcterms:W3CDTF">2026-03-31T14:41:10Z</dcterms:modified>
</cp:coreProperties>
</file>